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A4ADA" w14:textId="77777777" w:rsidR="00832CB3" w:rsidRPr="00746487" w:rsidRDefault="00832CB3" w:rsidP="00D83E7E">
      <w:pPr>
        <w:pStyle w:val="ZPTitulkafakulta"/>
        <w:spacing w:before="0" w:after="0" w:line="240" w:lineRule="auto"/>
      </w:pPr>
      <w:r w:rsidRPr="00746487">
        <w:rPr>
          <w:noProof/>
        </w:rPr>
        <mc:AlternateContent>
          <mc:Choice Requires="wps">
            <w:drawing>
              <wp:inline distT="0" distB="0" distL="0" distR="0" wp14:anchorId="597C5F1B" wp14:editId="13597071">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2954BA00"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6ED61827" wp14:editId="26699278">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32704B79" w14:textId="77777777" w:rsidR="00832CB3" w:rsidRDefault="002A18FA" w:rsidP="00832CB3">
                            <w:pPr>
                              <w:pStyle w:val="ZPTitulkafakulta"/>
                            </w:pPr>
                            <w:r>
                              <w:t>Právnická fakulta</w:t>
                            </w:r>
                          </w:p>
                          <w:p w14:paraId="190C20A6" w14:textId="31AFDCC0" w:rsidR="00832CB3" w:rsidRDefault="00000000"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A17BD8">
                                  <w:t>Síťová analýza v právu</w:t>
                                </w:r>
                              </w:sdtContent>
                            </w:sdt>
                          </w:p>
                        </w:txbxContent>
                      </wps:txbx>
                      <wps:bodyPr rot="0" vert="horz" wrap="square" lIns="91440" tIns="45720" rIns="91440" bIns="45720" anchor="t" anchorCtr="0">
                        <a:spAutoFit/>
                      </wps:bodyPr>
                    </wps:wsp>
                  </a:graphicData>
                </a:graphic>
              </wp:inline>
            </w:drawing>
          </mc:Choice>
          <mc:Fallback>
            <w:pict>
              <v:shapetype w14:anchorId="597C5F1B"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" stroked="f">
                <v:textbox style="mso-fit-shape-to-text:t">
                  <w:txbxContent>
                    <w:p w14:paraId="2954BA00"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6ED61827" wp14:editId="26699278">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32704B79" w14:textId="77777777" w:rsidR="00832CB3" w:rsidRDefault="002A18FA" w:rsidP="00832CB3">
                      <w:pPr>
                        <w:pStyle w:val="ZPTitulkafakulta"/>
                      </w:pPr>
                      <w:r>
                        <w:t>Právnická fakulta</w:t>
                      </w:r>
                    </w:p>
                    <w:p w14:paraId="190C20A6" w14:textId="31AFDCC0" w:rsidR="00832CB3" w:rsidRDefault="00000000" w:rsidP="00940EE8">
                      <w:pPr>
                        <w:pStyle w:val="ZPTitulkanzev"/>
                      </w:pPr>
                      <w:sdt>
                        <w:sdt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A17BD8">
                            <w:t>Síťová analýza v právu</w:t>
                          </w:r>
                        </w:sdtContent>
                      </w:sdt>
                    </w:p>
                  </w:txbxContent>
                </v:textbox>
                <w10:anchorlock/>
              </v:shape>
            </w:pict>
          </mc:Fallback>
        </mc:AlternateContent>
      </w:r>
    </w:p>
    <w:p w14:paraId="7D56829B" w14:textId="77777777" w:rsidR="00832CB3" w:rsidRPr="00746487" w:rsidRDefault="002A18FA" w:rsidP="00832CB3">
      <w:pPr>
        <w:pStyle w:val="ZPTitulkahlavn"/>
      </w:pPr>
      <w:r>
        <w:t>Disertační práce</w:t>
      </w:r>
    </w:p>
    <w:p w14:paraId="7ADD6659" w14:textId="77777777" w:rsidR="00832CB3" w:rsidRPr="00746487" w:rsidRDefault="00000000" w:rsidP="00832CB3">
      <w:pPr>
        <w:pStyle w:val="ZPTitulkaautor"/>
      </w:pPr>
      <w:sdt>
        <w:sdtPr>
          <w:alias w:val="Autor"/>
          <w:tag w:val=""/>
          <w:id w:val="678628427"/>
          <w:placeholder>
            <w:docPart w:val="EBEA52A896664F37BBD44D3F69014874"/>
          </w:placeholder>
          <w:dataBinding w:prefixMappings="xmlns:ns0='http://purl.org/dc/elements/1.1/' xmlns:ns1='http://schemas.openxmlformats.org/package/2006/metadata/core-properties' " w:xpath="/ns1:coreProperties[1]/ns0:creator[1]" w:storeItemID="{6C3C8BC8-F283-45AE-878A-BAB7291924A1}"/>
          <w:text/>
        </w:sdtPr>
        <w:sdtContent>
          <w:r w:rsidR="00CC150A">
            <w:t>Tereza Novotná</w:t>
          </w:r>
        </w:sdtContent>
      </w:sdt>
    </w:p>
    <w:p w14:paraId="1AAC4FDB" w14:textId="77777777" w:rsidR="00832CB3" w:rsidRPr="00746487" w:rsidRDefault="00832CB3" w:rsidP="00704143">
      <w:pPr>
        <w:pStyle w:val="ZPTitulkadra"/>
      </w:pPr>
    </w:p>
    <w:p w14:paraId="5F805135" w14:textId="77777777" w:rsidR="00B75A1B" w:rsidRPr="00746487" w:rsidRDefault="00830CE4" w:rsidP="00704143">
      <w:pPr>
        <w:pStyle w:val="ZPPatatitulnstrnky"/>
        <w:keepNext w:val="0"/>
        <w:keepLines w:val="0"/>
        <w:widowControl w:val="0"/>
      </w:pPr>
      <w:r w:rsidRPr="00746487">
        <w:rPr>
          <w:noProof/>
        </w:rPr>
        <mc:AlternateContent>
          <mc:Choice Requires="wps">
            <w:drawing>
              <wp:inline distT="0" distB="0" distL="0" distR="0" wp14:anchorId="71714D6A" wp14:editId="22B3CDB3">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0C0CF735" w14:textId="58ED53C0" w:rsidR="00830CE4" w:rsidRDefault="002A18FA" w:rsidP="006E36ED">
                            <w:pPr>
                              <w:pStyle w:val="ZPTitulkahlavn"/>
                              <w:spacing w:after="340"/>
                            </w:pPr>
                            <w:r>
                              <w:t>Školitel</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835CB9">
                                  <w:t>JUDr. Mgr. Jakub Harašta, Ph.D.</w:t>
                                </w:r>
                              </w:sdtContent>
                            </w:sdt>
                          </w:p>
                          <w:bookmarkStart w:id="0" w:name="PRACOVISTE" w:displacedByCustomXml="next"/>
                          <w:sdt>
                            <w:sdtPr>
                              <w:alias w:val="PRACOVISTE"/>
                              <w:tag w:val="Pracoviště"/>
                              <w:id w:val="-1920018124"/>
                              <w:dataBinding w:xpath="/ns0:Properties[1]/ns0:Company[1]" w:storeItemID="{6668398D-A668-4E3E-A5EB-62B293D839F1}"/>
                              <w:comboBox w:lastValue="Ústav práva a technologií">
                                <w:listItem w:displayText="[Vyberte český název katedry nebo ústavu]" w:value=""/>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Content>
                              <w:p w14:paraId="68746AD1" w14:textId="3ED15F6A" w:rsidR="00FC6C95" w:rsidRPr="00581F80" w:rsidRDefault="00424963" w:rsidP="00FC6C95">
                                <w:pPr>
                                  <w:pStyle w:val="ZPTitulkahlavn"/>
                                </w:pPr>
                                <w:r>
                                  <w:t>Ústav práva a technologií</w:t>
                                </w:r>
                              </w:p>
                            </w:sdtContent>
                          </w:sdt>
                          <w:bookmarkEnd w:id="0" w:displacedByCustomXml="prev"/>
                          <w:p w14:paraId="5532D2F7" w14:textId="40DA664E" w:rsidR="00830CE4" w:rsidRDefault="002A18FA" w:rsidP="009263A5">
                            <w:pPr>
                              <w:pStyle w:val="ZPTitulkahlavn"/>
                            </w:pPr>
                            <w:r>
                              <w:rPr>
                                <w:lang w:val="en-US"/>
                              </w:rPr>
                              <w:t>Obor</w:t>
                            </w:r>
                            <w:r w:rsidR="009263A5">
                              <w:t xml:space="preserve"> </w:t>
                            </w:r>
                            <w:bookmarkStart w:id="1" w:name="OBOR"/>
                            <w:sdt>
                              <w:sdtPr>
                                <w:alias w:val="Obor"/>
                                <w:tag w:val="Obor"/>
                                <w:id w:val="-1196147481"/>
                                <w:comboBox>
                                  <w:listItem w:displayText="Vyberte český název oboru" w:value=""/>
                                  <w:listItem w:displayText="Dějiny práva a římské právo" w:value="Dějiny práva a římské právo"/>
                                  <w:listItem w:displayText="Finanční právo a finanční vědy" w:value="Finanční právo a finanční vědy"/>
                                  <w:listItem w:displayText="Mezinárodní a evropské právo" w:value="Mezinárodní a evropské právo"/>
                                  <w:listItem w:displayText="Mezinárodní právo soukromé" w:value="Mezinárodní právo soukromé"/>
                                  <w:listItem w:displayText="Občanské právo" w:value="Občanské právo"/>
                                  <w:listItem w:displayText="Obchodní právo" w:value="Obchodní právo"/>
                                  <w:listItem w:displayText="Pracovní právo" w:value="Pracovní právo"/>
                                  <w:listItem w:displayText="Právo informačních a komunikačních technologií" w:value="Právo informačních a komunikačních technologií"/>
                                  <w:listItem w:displayText="Správní právo a právo životního prostředí" w:value="Správní právo a právo životního prostředí"/>
                                  <w:listItem w:displayText="Teorie práva" w:value="Teorie práva"/>
                                  <w:listItem w:displayText="Trestní právo" w:value="Trestní právo"/>
                                  <w:listItem w:displayText="Ústavní právo a státověda" w:value="Ústavní právo a státověda"/>
                                </w:comboBox>
                              </w:sdtPr>
                              <w:sdtContent>
                                <w:r w:rsidR="00835CB9">
                                  <w:t>Právo informačních a komunikačních technologií</w:t>
                                </w:r>
                              </w:sdtContent>
                            </w:sdt>
                            <w:r w:rsidR="00061EC6">
                              <w:t xml:space="preserve"> </w:t>
                            </w:r>
                            <w:bookmarkEnd w:id="1"/>
                          </w:p>
                        </w:txbxContent>
                      </wps:txbx>
                      <wps:bodyPr rot="0" vert="horz" wrap="square" lIns="91440" tIns="45720" rIns="91440" bIns="45720" anchor="t" anchorCtr="0">
                        <a:spAutoFit/>
                      </wps:bodyPr>
                    </wps:wsp>
                  </a:graphicData>
                </a:graphic>
              </wp:inline>
            </w:drawing>
          </mc:Choice>
          <mc:Fallback>
            <w:pict>
              <v:shape w14:anchorId="71714D6A"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" stroked="f">
                <v:textbox style="mso-fit-shape-to-text:t">
                  <w:txbxContent>
                    <w:p w14:paraId="0C0CF735" w14:textId="58ED53C0" w:rsidR="00830CE4" w:rsidRDefault="002A18FA" w:rsidP="006E36ED">
                      <w:pPr>
                        <w:pStyle w:val="ZPTitulkahlavn"/>
                        <w:spacing w:after="340"/>
                      </w:pPr>
                      <w:r>
                        <w:t>Školitel</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835CB9">
                            <w:t>JUDr. Mgr. Jakub Harašta, Ph.D.</w:t>
                          </w:r>
                        </w:sdtContent>
                      </w:sdt>
                    </w:p>
                    <w:bookmarkStart w:id="2" w:name="PRACOVISTE" w:displacedByCustomXml="next"/>
                    <w:sdt>
                      <w:sdtPr>
                        <w:alias w:val="PRACOVISTE"/>
                        <w:tag w:val="Pracoviště"/>
                        <w:id w:val="-1920018124"/>
                        <w:dataBinding w:xpath="/ns0:Properties[1]/ns0:Company[1]" w:storeItemID="{6668398D-A668-4E3E-A5EB-62B293D839F1}"/>
                        <w:comboBox w:lastValue="Ústav práva a technologií">
                          <w:listItem w:displayText="[Vyberte český název katedry nebo ústavu]" w:value=""/>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Content>
                        <w:p w14:paraId="68746AD1" w14:textId="3ED15F6A" w:rsidR="00FC6C95" w:rsidRPr="00581F80" w:rsidRDefault="00424963" w:rsidP="00FC6C95">
                          <w:pPr>
                            <w:pStyle w:val="ZPTitulkahlavn"/>
                          </w:pPr>
                          <w:r>
                            <w:t>Ústav práva a technologií</w:t>
                          </w:r>
                        </w:p>
                      </w:sdtContent>
                    </w:sdt>
                    <w:bookmarkEnd w:id="2" w:displacedByCustomXml="prev"/>
                    <w:p w14:paraId="5532D2F7" w14:textId="40DA664E" w:rsidR="00830CE4" w:rsidRDefault="002A18FA" w:rsidP="009263A5">
                      <w:pPr>
                        <w:pStyle w:val="ZPTitulkahlavn"/>
                      </w:pPr>
                      <w:r>
                        <w:rPr>
                          <w:lang w:val="en-US"/>
                        </w:rPr>
                        <w:t>Obor</w:t>
                      </w:r>
                      <w:r w:rsidR="009263A5">
                        <w:t xml:space="preserve"> </w:t>
                      </w:r>
                      <w:bookmarkStart w:id="3" w:name="OBOR"/>
                      <w:sdt>
                        <w:sdtPr>
                          <w:alias w:val="Obor"/>
                          <w:tag w:val="Obor"/>
                          <w:id w:val="-1196147481"/>
                          <w:comboBox>
                            <w:listItem w:displayText="Vyberte český název oboru" w:value=""/>
                            <w:listItem w:displayText="Dějiny práva a římské právo" w:value="Dějiny práva a římské právo"/>
                            <w:listItem w:displayText="Finanční právo a finanční vědy" w:value="Finanční právo a finanční vědy"/>
                            <w:listItem w:displayText="Mezinárodní a evropské právo" w:value="Mezinárodní a evropské právo"/>
                            <w:listItem w:displayText="Mezinárodní právo soukromé" w:value="Mezinárodní právo soukromé"/>
                            <w:listItem w:displayText="Občanské právo" w:value="Občanské právo"/>
                            <w:listItem w:displayText="Obchodní právo" w:value="Obchodní právo"/>
                            <w:listItem w:displayText="Pracovní právo" w:value="Pracovní právo"/>
                            <w:listItem w:displayText="Právo informačních a komunikačních technologií" w:value="Právo informačních a komunikačních technologií"/>
                            <w:listItem w:displayText="Správní právo a právo životního prostředí" w:value="Správní právo a právo životního prostředí"/>
                            <w:listItem w:displayText="Teorie práva" w:value="Teorie práva"/>
                            <w:listItem w:displayText="Trestní právo" w:value="Trestní právo"/>
                            <w:listItem w:displayText="Ústavní právo a státověda" w:value="Ústavní právo a státověda"/>
                          </w:comboBox>
                        </w:sdtPr>
                        <w:sdtContent>
                          <w:r w:rsidR="00835CB9">
                            <w:t>Právo informačních a komunikačních technologií</w:t>
                          </w:r>
                        </w:sdtContent>
                      </w:sdt>
                      <w:r w:rsidR="00061EC6">
                        <w:t xml:space="preserve"> </w:t>
                      </w:r>
                      <w:bookmarkEnd w:id="3"/>
                    </w:p>
                  </w:txbxContent>
                </v:textbox>
                <w10:anchorlock/>
              </v:shape>
            </w:pict>
          </mc:Fallback>
        </mc:AlternateContent>
      </w:r>
    </w:p>
    <w:p w14:paraId="58B8577D" w14:textId="629EA233" w:rsidR="00825B26" w:rsidRPr="00746487" w:rsidRDefault="00DD5A2A" w:rsidP="00832CB3">
      <w:pPr>
        <w:pStyle w:val="ZPTitulkarok"/>
        <w:sectPr w:rsidR="00825B26" w:rsidRPr="00746487" w:rsidSect="002A18FA">
          <w:headerReference w:type="even" r:id="rId12"/>
          <w:footerReference w:type="even" r:id="rId13"/>
          <w:pgSz w:w="11906" w:h="16838" w:code="9"/>
          <w:pgMar w:top="2380" w:right="2020" w:bottom="2380" w:left="2020" w:header="1900" w:footer="1280" w:gutter="500"/>
          <w:cols w:space="708"/>
          <w:vAlign w:val="both"/>
          <w:docGrid w:linePitch="360"/>
        </w:sectPr>
      </w:pPr>
      <w:r w:rsidRPr="00746487">
        <w:t>Brno</w:t>
      </w:r>
      <w:r w:rsidR="007468F6" w:rsidRPr="00746487">
        <w:t xml:space="preserve"> </w:t>
      </w:r>
      <w:bookmarkStart w:id="4" w:name="ROK_ODEVZDANI"/>
      <w:sdt>
        <w:sdtPr>
          <w:alias w:val="Rok odevzdání"/>
          <w:tag w:val="ROK_ODEVZDANI"/>
          <w:id w:val="-513071692"/>
          <w:placeholder>
            <w:docPart w:val="EF8689645E11441FA74075A7FBF85A39"/>
          </w:placeholder>
          <w:text/>
        </w:sdtPr>
        <w:sdtContent>
          <w:r w:rsidR="00835CB9">
            <w:t>2023</w:t>
          </w:r>
        </w:sdtContent>
      </w:sdt>
      <w:bookmarkEnd w:id="4"/>
      <w:r w:rsidR="00194596">
        <w:t xml:space="preserve">  </w:t>
      </w:r>
    </w:p>
    <w:p w14:paraId="33012C34" w14:textId="29C532A2" w:rsidR="00E5465E" w:rsidRPr="00746487" w:rsidRDefault="00E5465E" w:rsidP="00F343E4">
      <w:pPr>
        <w:pStyle w:val="ZPTitulkadra"/>
      </w:pPr>
    </w:p>
    <w:p w14:paraId="4F099FE8" w14:textId="77777777" w:rsidR="004932BC" w:rsidRPr="00746487" w:rsidRDefault="002A18FA" w:rsidP="004932BC">
      <w:pPr>
        <w:pStyle w:val="inZPKlovslova"/>
        <w:jc w:val="center"/>
      </w:pPr>
      <w:r>
        <w:rPr>
          <w:noProof/>
        </w:rPr>
        <w:drawing>
          <wp:inline distT="0" distB="0" distL="0" distR="0" wp14:anchorId="66E71EF9" wp14:editId="4B9C1338">
            <wp:extent cx="1128889" cy="778933"/>
            <wp:effectExtent l="0" t="0" r="0"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28889" cy="778933"/>
                    </a:xfrm>
                    <a:prstGeom prst="rect">
                      <a:avLst/>
                    </a:prstGeom>
                  </pic:spPr>
                </pic:pic>
              </a:graphicData>
            </a:graphic>
          </wp:inline>
        </w:drawing>
      </w:r>
    </w:p>
    <w:p w14:paraId="3F485907" w14:textId="77777777" w:rsidR="00E5465E" w:rsidRPr="00746487" w:rsidRDefault="00E5465E" w:rsidP="00F343E4">
      <w:pPr>
        <w:pStyle w:val="ZPTitulkadra"/>
      </w:pPr>
    </w:p>
    <w:p w14:paraId="558C41E6" w14:textId="77777777" w:rsidR="00C35E32" w:rsidRPr="00746487" w:rsidRDefault="00C35E32" w:rsidP="00F343E4">
      <w:pPr>
        <w:pStyle w:val="ZPTitulkadra"/>
      </w:pPr>
    </w:p>
    <w:p w14:paraId="00C90507" w14:textId="77777777" w:rsidR="00C35E32" w:rsidRPr="00746487" w:rsidRDefault="00C35E32" w:rsidP="007C294D">
      <w:pPr>
        <w:pStyle w:val="inZPKlovslova"/>
        <w:sectPr w:rsidR="00C35E32" w:rsidRPr="00746487" w:rsidSect="002A18FA">
          <w:headerReference w:type="default" r:id="rId15"/>
          <w:headerReference w:type="first" r:id="rId16"/>
          <w:footerReference w:type="first" r:id="rId17"/>
          <w:type w:val="oddPage"/>
          <w:pgSz w:w="11906" w:h="16838" w:code="9"/>
          <w:pgMar w:top="2380" w:right="2020" w:bottom="2380" w:left="2020" w:header="1900" w:footer="1280" w:gutter="500"/>
          <w:pgNumType w:start="1"/>
          <w:cols w:space="708"/>
          <w:vAlign w:val="both"/>
          <w:docGrid w:linePitch="360"/>
        </w:sectPr>
      </w:pPr>
    </w:p>
    <w:p w14:paraId="3AD2834F" w14:textId="77777777" w:rsidR="002C0686" w:rsidRPr="00746487" w:rsidRDefault="002C0686" w:rsidP="00A00BBC">
      <w:pPr>
        <w:pStyle w:val="ZPNadpis1vodn"/>
      </w:pPr>
      <w:r w:rsidRPr="00746487">
        <w:lastRenderedPageBreak/>
        <w:t>Bibliografický záznam</w:t>
      </w:r>
    </w:p>
    <w:p w14:paraId="39043628" w14:textId="0C367BD8" w:rsidR="00BB6FEC" w:rsidRPr="00746487" w:rsidRDefault="00974A40" w:rsidP="00280732">
      <w:pPr>
        <w:pStyle w:val="ZPBibilografickzznam"/>
      </w:pPr>
      <w:r w:rsidRPr="00746487">
        <w:rPr>
          <w:rStyle w:val="ZPPKlbiblografie"/>
        </w:rPr>
        <w:t>Autor:</w:t>
      </w:r>
      <w:r w:rsidRPr="00746487">
        <w:tab/>
      </w:r>
      <w:sdt>
        <w:sdtPr>
          <w:alias w:val="Autor"/>
          <w:tag w:val=""/>
          <w:id w:val="-2076660119"/>
          <w:placeholder>
            <w:docPart w:val="7BA7505FF2774B84857BACCC4A11AE7D"/>
          </w:placeholder>
          <w:dataBinding w:prefixMappings="xmlns:ns0='http://purl.org/dc/elements/1.1/' xmlns:ns1='http://schemas.openxmlformats.org/package/2006/metadata/core-properties' " w:xpath="/ns1:coreProperties[1]/ns0:creator[1]" w:storeItemID="{6C3C8BC8-F283-45AE-878A-BAB7291924A1}"/>
          <w:text/>
        </w:sdtPr>
        <w:sdtContent>
          <w:r w:rsidR="00CC150A">
            <w:t>Tereza Novotná</w:t>
          </w:r>
        </w:sdtContent>
      </w:sdt>
      <w:r w:rsidRPr="00746487">
        <w:br/>
      </w:r>
      <w:r w:rsidR="002A18FA">
        <w:t>Právnická fakulta</w:t>
      </w:r>
      <w:r w:rsidR="006C2D7E">
        <w:br/>
      </w:r>
      <w:r w:rsidR="009263A5" w:rsidRPr="00746487">
        <w:t xml:space="preserve">Masarykova univerzita </w:t>
      </w:r>
      <w:r w:rsidRPr="00746487">
        <w:br/>
      </w:r>
      <w:r w:rsidR="002A18FA">
        <w:fldChar w:fldCharType="begin"/>
      </w:r>
      <w:r w:rsidR="002A18FA">
        <w:instrText xml:space="preserve"> REF PRACOVISTE \h </w:instrText>
      </w:r>
      <w:r w:rsidR="002A18FA">
        <w:fldChar w:fldCharType="separate"/>
      </w:r>
      <w:sdt>
        <w:sdtPr>
          <w:alias w:val="PRACOVISTE"/>
          <w:tag w:val="Pracoviště"/>
          <w:id w:val="-337157108"/>
          <w:dataBinding w:xpath="/ns0:Properties[1]/ns0:Company[1]" w:storeItemID="{6668398D-A668-4E3E-A5EB-62B293D839F1}"/>
          <w:comboBox w:lastValue="Ústav práva a technologií">
            <w:listItem w:displayText="[Vyberte český název katedry nebo ústavu]" w:value=""/>
            <w:listItem w:displayText="Katedra civilního práva procesního " w:value="Katedra civilního práva procesního "/>
            <w:listItem w:displayText="Katedra dějin státu a práva " w:value="Katedra dějin státu a práva "/>
            <w:listItem w:displayText="Katedra finančního práva a národního hospodářství " w:value="Katedra finančního práva a národního hospodářství "/>
            <w:listItem w:displayText="Katedra mezinárodního a evropského práva " w:value="Katedra mezinárodního a evropského práva "/>
            <w:listItem w:displayText="Katedra občanského práva " w:value="Katedra občanského práva "/>
            <w:listItem w:displayText="Katedra obchodního práva " w:value="Katedra obchodního práva "/>
            <w:listItem w:displayText="Katedra pracovního práva a sociálního zabezpečení " w:value="Katedra pracovního práva a sociálního zabezpečení "/>
            <w:listItem w:displayText="Katedra práva životního prostředí a pozemkového práva " w:value="Katedra práva životního prostředí a pozemkového práva "/>
            <w:listItem w:displayText="Katedra právní teorie " w:value="Katedra právní teorie "/>
            <w:listItem w:displayText="Katedra správní vědy a správního práva " w:value="Katedra správní vědy a správního práva "/>
            <w:listItem w:displayText="Katedra trestního práva " w:value="Katedra trestního práva "/>
            <w:listItem w:displayText="Katedra ústavního práva a politologie " w:value="Katedra ústavního práva a politologie "/>
            <w:listItem w:displayText="Ústav práva a technologií " w:value="Ústav práva a technologií "/>
            <w:listItem w:displayText="Ústav pro otázky soudnictví " w:value="Ústav pro otázky soudnictví "/>
          </w:comboBox>
        </w:sdtPr>
        <w:sdtContent>
          <w:r w:rsidR="00424963">
            <w:t>Ústav práva a technologií</w:t>
          </w:r>
        </w:sdtContent>
      </w:sdt>
      <w:r w:rsidR="002A18FA">
        <w:fldChar w:fldCharType="end"/>
      </w:r>
    </w:p>
    <w:p w14:paraId="719E7445" w14:textId="13C3B012" w:rsidR="00974A40" w:rsidRPr="00746487" w:rsidRDefault="00974A40" w:rsidP="00280732">
      <w:pPr>
        <w:pStyle w:val="ZPBibilografickzznam"/>
      </w:pPr>
      <w:r w:rsidRPr="00746487">
        <w:rPr>
          <w:rStyle w:val="ZPPKlbiblografie"/>
        </w:rPr>
        <w:t>Název práce:</w:t>
      </w:r>
      <w:r w:rsidRPr="00746487">
        <w:tab/>
      </w:r>
      <w:sdt>
        <w:sdtPr>
          <w:alias w:val="Název"/>
          <w:tag w:val=""/>
          <w:id w:val="1293642851"/>
          <w:placeholder>
            <w:docPart w:val="70417ADB52CB423BB465818EFD49F97E"/>
          </w:placeholder>
          <w:dataBinding w:prefixMappings="xmlns:ns0='http://purl.org/dc/elements/1.1/' xmlns:ns1='http://schemas.openxmlformats.org/package/2006/metadata/core-properties' " w:xpath="/ns1:coreProperties[1]/ns0:title[1]" w:storeItemID="{6C3C8BC8-F283-45AE-878A-BAB7291924A1}"/>
          <w:text/>
        </w:sdtPr>
        <w:sdtContent>
          <w:r w:rsidR="00A17BD8">
            <w:t>Síťová analýza v právu</w:t>
          </w:r>
        </w:sdtContent>
      </w:sdt>
    </w:p>
    <w:p w14:paraId="66DF6FCD" w14:textId="79AF7F2C" w:rsidR="00974A40" w:rsidRPr="00746487" w:rsidRDefault="00974A40" w:rsidP="00704143">
      <w:pPr>
        <w:pStyle w:val="ZPBibilografickzznam"/>
        <w:rPr>
          <w:rStyle w:val="ZPPKlbiblografie"/>
        </w:rPr>
      </w:pPr>
      <w:r w:rsidRPr="00746487">
        <w:rPr>
          <w:rStyle w:val="ZPPKlbiblografie"/>
        </w:rPr>
        <w:t>Studijní program:</w:t>
      </w:r>
      <w:r w:rsidRPr="00746487">
        <w:rPr>
          <w:rStyle w:val="ZPPKlbiblografie"/>
        </w:rPr>
        <w:tab/>
      </w:r>
      <w:r w:rsidR="002343C4">
        <w:t>Teoretické právní vědy (čtyřleté)</w:t>
      </w:r>
    </w:p>
    <w:p w14:paraId="24D10BAD" w14:textId="681C4CC4" w:rsidR="0091711B" w:rsidRPr="00746487" w:rsidRDefault="002A18FA" w:rsidP="00704143">
      <w:pPr>
        <w:pStyle w:val="ZPBibilografickzznam"/>
      </w:pPr>
      <w:r>
        <w:rPr>
          <w:rStyle w:val="ZPPKlbiblografie"/>
        </w:rPr>
        <w:t>Studijní obor</w:t>
      </w:r>
      <w:r w:rsidR="00974A40" w:rsidRPr="00746487">
        <w:rPr>
          <w:rStyle w:val="ZPPKlbiblografie"/>
        </w:rPr>
        <w:t>:</w:t>
      </w:r>
      <w:r w:rsidR="00974A40" w:rsidRPr="00746487">
        <w:tab/>
      </w:r>
      <w:r w:rsidR="00974A40" w:rsidRPr="00746487">
        <w:fldChar w:fldCharType="begin"/>
      </w:r>
      <w:r w:rsidR="00974A40" w:rsidRPr="00746487">
        <w:instrText xml:space="preserve"> REF OBOR \h  \* MERGEFORMAT </w:instrText>
      </w:r>
      <w:r w:rsidR="00974A40" w:rsidRPr="00746487">
        <w:fldChar w:fldCharType="separate"/>
      </w:r>
      <w:sdt>
        <w:sdtPr>
          <w:alias w:val="Obor"/>
          <w:tag w:val="Obor"/>
          <w:id w:val="-1328197925"/>
          <w:comboBox>
            <w:listItem w:displayText="Vyberte český název oboru" w:value=""/>
            <w:listItem w:displayText="Dějiny práva a římské právo" w:value="Dějiny práva a římské právo"/>
            <w:listItem w:displayText="Finanční právo a finanční vědy" w:value="Finanční právo a finanční vědy"/>
            <w:listItem w:displayText="Mezinárodní a evropské právo" w:value="Mezinárodní a evropské právo"/>
            <w:listItem w:displayText="Mezinárodní právo soukromé" w:value="Mezinárodní právo soukromé"/>
            <w:listItem w:displayText="Občanské právo" w:value="Občanské právo"/>
            <w:listItem w:displayText="Obchodní právo" w:value="Obchodní právo"/>
            <w:listItem w:displayText="Pracovní právo" w:value="Pracovní právo"/>
            <w:listItem w:displayText="Právo informačních a komunikačních technologií" w:value="Právo informačních a komunikačních technologií"/>
            <w:listItem w:displayText="Správní právo a právo životního prostředí" w:value="Správní právo a právo životního prostředí"/>
            <w:listItem w:displayText="Teorie práva" w:value="Teorie práva"/>
            <w:listItem w:displayText="Trestní právo" w:value="Trestní právo"/>
            <w:listItem w:displayText="Ústavní právo a státověda" w:value="Ústavní právo a státověda"/>
          </w:comboBox>
        </w:sdtPr>
        <w:sdtContent>
          <w:r w:rsidR="00703FF1">
            <w:t>Právo informačních a komunikačních technologií</w:t>
          </w:r>
        </w:sdtContent>
      </w:sdt>
      <w:r w:rsidR="00CC150A">
        <w:t xml:space="preserve"> </w:t>
      </w:r>
      <w:r w:rsidR="00974A40" w:rsidRPr="00746487">
        <w:fldChar w:fldCharType="end"/>
      </w:r>
    </w:p>
    <w:p w14:paraId="02B9BD86" w14:textId="0B5B1A0C" w:rsidR="00974A40" w:rsidRPr="00746487" w:rsidRDefault="002A18FA" w:rsidP="00704143">
      <w:pPr>
        <w:pStyle w:val="ZPBibilografickzznam"/>
      </w:pPr>
      <w:r>
        <w:rPr>
          <w:rStyle w:val="ZPPKlbiblografie"/>
        </w:rPr>
        <w:t>Školitel</w:t>
      </w:r>
      <w:r w:rsidR="00974A40" w:rsidRPr="00746487">
        <w:rPr>
          <w:rStyle w:val="ZPPKlbiblografie"/>
        </w:rPr>
        <w:t>:</w:t>
      </w:r>
      <w:r w:rsidR="00974A40" w:rsidRPr="00746487">
        <w:tab/>
      </w:r>
      <w:sdt>
        <w:sdtPr>
          <w:alias w:val="Vedoucí práce"/>
          <w:tag w:val=""/>
          <w:id w:val="1828940534"/>
          <w:placeholder>
            <w:docPart w:val="77CE9452F1694B49838DF3A93882AECB"/>
          </w:placeholder>
          <w:dataBinding w:prefixMappings="xmlns:ns0='http://schemas.openxmlformats.org/officeDocument/2006/extended-properties' " w:xpath="/ns0:Properties[1]/ns0:Manager[1]" w:storeItemID="{6668398D-A668-4E3E-A5EB-62B293D839F1}"/>
          <w:text/>
        </w:sdtPr>
        <w:sdtContent>
          <w:r w:rsidR="00835CB9">
            <w:t>JUDr. Mgr. Jakub Harašta, Ph.D.</w:t>
          </w:r>
        </w:sdtContent>
      </w:sdt>
    </w:p>
    <w:p w14:paraId="2AA870B5" w14:textId="3E3AFEDD" w:rsidR="00974A40" w:rsidRPr="00746487" w:rsidRDefault="002A18FA" w:rsidP="00704143">
      <w:pPr>
        <w:pStyle w:val="ZPBibilografickzznam"/>
      </w:pPr>
      <w:r>
        <w:rPr>
          <w:rStyle w:val="ZPPKlbiblografie"/>
          <w:lang w:val="en-US"/>
        </w:rPr>
        <w:t>Rok</w:t>
      </w:r>
      <w:r w:rsidR="00D21BED" w:rsidRPr="00746487">
        <w:rPr>
          <w:rStyle w:val="ZPPKlbiblografie"/>
        </w:rPr>
        <w:t>:</w:t>
      </w:r>
      <w:r w:rsidR="00974A40" w:rsidRPr="00746487">
        <w:tab/>
      </w:r>
      <w:r w:rsidR="00B67E52">
        <w:fldChar w:fldCharType="begin"/>
      </w:r>
      <w:r w:rsidR="00B67E52">
        <w:instrText xml:space="preserve"> REF ROK_ODEVZDANI \h </w:instrText>
      </w:r>
      <w:r w:rsidR="00B67E52">
        <w:fldChar w:fldCharType="separate"/>
      </w:r>
      <w:sdt>
        <w:sdtPr>
          <w:alias w:val="Rok odevzdání"/>
          <w:tag w:val="ROK_ODEVZDANI"/>
          <w:id w:val="1596746162"/>
          <w:placeholder>
            <w:docPart w:val="A2FB3DB9970748469CC874680C4AD0F6"/>
          </w:placeholder>
          <w:text/>
        </w:sdtPr>
        <w:sdtContent>
          <w:r w:rsidR="00703FF1">
            <w:t>2023</w:t>
          </w:r>
        </w:sdtContent>
      </w:sdt>
      <w:r w:rsidR="00B67E52">
        <w:fldChar w:fldCharType="end"/>
      </w:r>
    </w:p>
    <w:p w14:paraId="1AF89DFC" w14:textId="46015F1D" w:rsidR="00974A40" w:rsidRPr="00746487" w:rsidRDefault="00974A40" w:rsidP="00704143">
      <w:pPr>
        <w:pStyle w:val="ZPBibilografickzznam"/>
      </w:pPr>
      <w:r w:rsidRPr="00746487">
        <w:rPr>
          <w:rStyle w:val="ZPPKlbiblografie"/>
        </w:rPr>
        <w:t>Počet stran:</w:t>
      </w:r>
      <w:r w:rsidRPr="00746487">
        <w:tab/>
      </w:r>
      <w:r w:rsidR="00612ED3" w:rsidRPr="00746487">
        <w:rPr>
          <w:noProof/>
        </w:rPr>
        <w:fldChar w:fldCharType="begin"/>
      </w:r>
      <w:r w:rsidR="00612ED3" w:rsidRPr="00746487">
        <w:rPr>
          <w:noProof/>
        </w:rPr>
        <w:instrText xml:space="preserve"> NUMPAGES  \* Arabic  \* MERGEFORMAT </w:instrText>
      </w:r>
      <w:r w:rsidR="00612ED3" w:rsidRPr="00746487">
        <w:rPr>
          <w:noProof/>
        </w:rPr>
        <w:fldChar w:fldCharType="separate"/>
      </w:r>
      <w:r w:rsidR="00724227">
        <w:rPr>
          <w:noProof/>
        </w:rPr>
        <w:t>188</w:t>
      </w:r>
      <w:r w:rsidR="00612ED3" w:rsidRPr="00746487">
        <w:rPr>
          <w:noProof/>
        </w:rPr>
        <w:fldChar w:fldCharType="end"/>
      </w:r>
    </w:p>
    <w:p w14:paraId="4ED188F0" w14:textId="7511A219" w:rsidR="00A3028A" w:rsidRDefault="00974A40" w:rsidP="00704143">
      <w:pPr>
        <w:pStyle w:val="ZPBibilografickzznam"/>
      </w:pPr>
      <w:r w:rsidRPr="00746487">
        <w:rPr>
          <w:rStyle w:val="ZPPKlbiblografie"/>
        </w:rPr>
        <w:t>Klíčová slova:</w:t>
      </w:r>
      <w:r w:rsidRPr="00746487">
        <w:tab/>
      </w:r>
      <w:sdt>
        <w:sdtPr>
          <w:tag w:val="POLE_KEY_WORDS_CS"/>
          <w:id w:val="2087726934"/>
          <w:placeholder>
            <w:docPart w:val="58A2465687A7485D84CB149FA71E1F89"/>
          </w:placeholder>
          <w:text/>
        </w:sdtPr>
        <w:sdtContent>
          <w:r w:rsidR="002343C4">
            <w:t>síťová analýza, vyhledávání právních informací, soudní rozhodnutí, doc2vec, citační analýza, modelování témat, expertní evaluace, zpracování přirozeného jazyka</w:t>
          </w:r>
        </w:sdtContent>
      </w:sdt>
    </w:p>
    <w:p w14:paraId="577F4876" w14:textId="77777777" w:rsidR="000E1807" w:rsidRPr="00746487" w:rsidRDefault="000E1807" w:rsidP="00704143">
      <w:pPr>
        <w:pStyle w:val="ZPBibilografickzznam"/>
      </w:pPr>
      <w:r w:rsidRPr="00746487">
        <w:br w:type="page"/>
      </w:r>
    </w:p>
    <w:p w14:paraId="490BB893" w14:textId="77777777" w:rsidR="000E1807" w:rsidRPr="00F8678C" w:rsidRDefault="004F1C84" w:rsidP="00A00BBC">
      <w:pPr>
        <w:pStyle w:val="ZPNadpis1vodn"/>
      </w:pPr>
      <w:r w:rsidRPr="00F8678C">
        <w:lastRenderedPageBreak/>
        <w:t>Bibliographic</w:t>
      </w:r>
      <w:r w:rsidR="000E1807" w:rsidRPr="00F8678C">
        <w:t xml:space="preserve"> record</w:t>
      </w:r>
    </w:p>
    <w:p w14:paraId="61B4B3D8" w14:textId="38573A3F" w:rsidR="00BB6FEC" w:rsidRPr="007E5512" w:rsidRDefault="000E1807" w:rsidP="00EF006C">
      <w:pPr>
        <w:pStyle w:val="ZPBibilografickzznam"/>
      </w:pPr>
      <w:r w:rsidRPr="00F8678C">
        <w:rPr>
          <w:rStyle w:val="ZPPKlbiblografie"/>
        </w:rPr>
        <w:t>Author:</w:t>
      </w:r>
      <w:r w:rsidRPr="007E5512">
        <w:tab/>
      </w:r>
      <w:sdt>
        <w:sdtPr>
          <w:alias w:val="Autor"/>
          <w:tag w:val=""/>
          <w:id w:val="-1160154958"/>
          <w:placeholder>
            <w:docPart w:val="0C64BB55C15243E6B61E312AC126AB98"/>
          </w:placeholder>
          <w:dataBinding w:prefixMappings="xmlns:ns0='http://purl.org/dc/elements/1.1/' xmlns:ns1='http://schemas.openxmlformats.org/package/2006/metadata/core-properties' " w:xpath="/ns1:coreProperties[1]/ns0:creator[1]" w:storeItemID="{6C3C8BC8-F283-45AE-878A-BAB7291924A1}"/>
          <w:text/>
        </w:sdtPr>
        <w:sdtContent>
          <w:r w:rsidR="00CC150A">
            <w:t>Tereza Novotná</w:t>
          </w:r>
        </w:sdtContent>
      </w:sdt>
      <w:r w:rsidRPr="007E5512">
        <w:br/>
      </w:r>
      <w:r w:rsidR="002A18FA">
        <w:t>Faculty of Law</w:t>
      </w:r>
      <w:r w:rsidR="006C2D7E" w:rsidRPr="007E5512">
        <w:br/>
      </w:r>
      <w:r w:rsidR="009263A5" w:rsidRPr="007E5512">
        <w:t>Masaryk University</w:t>
      </w:r>
      <w:r w:rsidRPr="007E5512">
        <w:br/>
      </w:r>
      <w:sdt>
        <w:sdtPr>
          <w:alias w:val="PRACOVISTE_EN"/>
          <w:tag w:val="Pracoviště anglicky"/>
          <w:id w:val="-1745713891"/>
          <w:placeholder>
            <w:docPart w:val="E0833BCF1E39444D816A2B56FBBDFE25"/>
          </w:placeholder>
          <w:comboBox>
            <w:listItem w:displayText="[Vyberte anglický název katedry nebo ústavu]" w:value=""/>
            <w:listItem w:displayText="Department of Administrative Studies and Administrative Law " w:value="Department of Administrative Studies and Administrative Law "/>
            <w:listItem w:displayText="Department of Civil Law " w:value="Department of Civil Law "/>
            <w:listItem w:displayText="Department of Civil Procedure " w:value="Department of Civil Procedure "/>
            <w:listItem w:displayText="Department of Commercial Law " w:value="Department of Commercial Law "/>
            <w:listItem w:displayText="Department of Constitutional Law and Political Science " w:value="Department of Constitutional Law and Political Science "/>
            <w:listItem w:displayText="Department of Criminal Law " w:value="Department of Criminal Law "/>
            <w:listItem w:displayText="Department of Environmental Law and Land Law " w:value="Department of Environmental Law and Land Law "/>
            <w:listItem w:displayText="Department of Financial Law and Economics " w:value="Department of Financial Law and Economics "/>
            <w:listItem w:displayText="Department of International and European Law " w:value="Department of International and European Law "/>
            <w:listItem w:displayText="Department of Labour Law and Social Security Law " w:value="Department of Labour Law and Social Security Law "/>
            <w:listItem w:displayText="Department of Legal Theory " w:value="Department of Legal Theory "/>
            <w:listItem w:displayText="Department of the History of the State and Law " w:value="Department of the History of the State and Law "/>
            <w:listItem w:displayText="Institute of Law and Technology " w:value="Institute of Law and Technology "/>
            <w:listItem w:displayText="Judicial Studies Institute " w:value="Judicial Studies Institute "/>
          </w:comboBox>
        </w:sdtPr>
        <w:sdtContent>
          <w:r w:rsidR="00BB6A91">
            <w:t xml:space="preserve">Institute of Law and Technology </w:t>
          </w:r>
        </w:sdtContent>
      </w:sdt>
    </w:p>
    <w:p w14:paraId="6C645A81" w14:textId="23F670F8" w:rsidR="000E1807" w:rsidRPr="00746487" w:rsidRDefault="000E1807" w:rsidP="00704143">
      <w:pPr>
        <w:pStyle w:val="ZPBibilografickzznam"/>
        <w:rPr>
          <w:lang w:val="en-GB"/>
        </w:rPr>
      </w:pPr>
      <w:r w:rsidRPr="00746487">
        <w:rPr>
          <w:rStyle w:val="ZPPKlbiblografie"/>
          <w:lang w:val="en-GB"/>
        </w:rPr>
        <w:t>Title of Thesis:</w:t>
      </w:r>
      <w:r w:rsidRPr="00746487">
        <w:rPr>
          <w:lang w:val="en-GB"/>
        </w:rPr>
        <w:tab/>
      </w:r>
      <w:sdt>
        <w:sdtPr>
          <w:rPr>
            <w:lang w:val="en-GB"/>
          </w:rPr>
          <w:id w:val="-469832108"/>
          <w:placeholder>
            <w:docPart w:val="3FFC6E0FE1444DBD8AE1B77A0E007DC0"/>
          </w:placeholder>
          <w:text/>
        </w:sdtPr>
        <w:sdtContent>
          <w:r w:rsidR="00BB6A91">
            <w:rPr>
              <w:lang w:val="en-GB"/>
            </w:rPr>
            <w:t>Network analysis in law</w:t>
          </w:r>
        </w:sdtContent>
      </w:sdt>
    </w:p>
    <w:p w14:paraId="60F0FC6D" w14:textId="18A37523" w:rsidR="000E1807" w:rsidRPr="00746487" w:rsidRDefault="00D21BED" w:rsidP="00704143">
      <w:pPr>
        <w:pStyle w:val="ZPBibilografickzznam"/>
        <w:rPr>
          <w:rStyle w:val="ZPPKlbiblografie"/>
          <w:lang w:val="en-GB"/>
        </w:rPr>
      </w:pPr>
      <w:r w:rsidRPr="00746487">
        <w:rPr>
          <w:rStyle w:val="ZPPKlbiblografie"/>
          <w:lang w:val="en-GB"/>
        </w:rPr>
        <w:t>Degree Programme</w:t>
      </w:r>
      <w:r w:rsidR="000E1807" w:rsidRPr="00746487">
        <w:rPr>
          <w:rStyle w:val="ZPPKlbiblografie"/>
          <w:lang w:val="en-GB"/>
        </w:rPr>
        <w:t>:</w:t>
      </w:r>
      <w:r w:rsidR="000E1807" w:rsidRPr="00746487">
        <w:rPr>
          <w:rStyle w:val="ZPPKlbiblografie"/>
          <w:lang w:val="en-GB"/>
        </w:rPr>
        <w:tab/>
      </w:r>
      <w:r w:rsidR="002343C4">
        <w:t>Theoretical Legal Sciences (4-years)</w:t>
      </w:r>
    </w:p>
    <w:p w14:paraId="1810BB4A" w14:textId="558530EE" w:rsidR="0091711B" w:rsidRPr="00762881" w:rsidRDefault="002A18FA" w:rsidP="00704143">
      <w:pPr>
        <w:pStyle w:val="ZPBibilografickzznam"/>
      </w:pPr>
      <w:r>
        <w:rPr>
          <w:rStyle w:val="ZPPKlbiblografie"/>
          <w:lang w:val="en-GB"/>
        </w:rPr>
        <w:t>Field of Study</w:t>
      </w:r>
      <w:r w:rsidR="000E1807" w:rsidRPr="00746487">
        <w:rPr>
          <w:rStyle w:val="ZPPKlbiblografie"/>
          <w:lang w:val="en-GB"/>
        </w:rPr>
        <w:t>:</w:t>
      </w:r>
      <w:r w:rsidR="000E1807" w:rsidRPr="00746487">
        <w:rPr>
          <w:lang w:val="en-GB"/>
        </w:rPr>
        <w:tab/>
      </w:r>
      <w:sdt>
        <w:sdtPr>
          <w:rPr>
            <w:lang w:val="en-GB"/>
          </w:rPr>
          <w:alias w:val="Obor"/>
          <w:tag w:val="Obor"/>
          <w:id w:val="1746539756"/>
          <w:placeholder>
            <w:docPart w:val="0CBAFC47D1DA4A4786C7AA7FB5869A1F"/>
          </w:placeholder>
          <w:comboBox>
            <w:listItem w:displayText="Vyberte anglický název oboru" w:value=""/>
            <w:listItem w:displayText="Administrative and Environmental Law" w:value="Administrative and Environmental Law"/>
            <w:listItem w:displayText="Civil Law" w:value="Civil Law"/>
            <w:listItem w:displayText="Commercial Law" w:value="Commercial Law"/>
            <w:listItem w:displayText="Constitutional Law and Theory of State" w:value="Constitutional Law and Theory of State"/>
            <w:listItem w:displayText="Criminal Law" w:value="Criminal Law"/>
            <w:listItem w:displayText="Financial Law and Financial Science" w:value="Financial Law and Financial Science"/>
            <w:listItem w:displayText="History of the Law and Roman Law" w:value="History of the Law and Roman Law"/>
            <w:listItem w:displayText="International and European Law" w:value="International and European Law"/>
            <w:listItem w:displayText="Labour Law" w:value="Labour Law"/>
            <w:listItem w:displayText="Law Information and Communication Technologies" w:value="Law Information and Communication Technologies"/>
            <w:listItem w:displayText="Private International Law" w:value="Private International Law"/>
            <w:listItem w:displayText="Theory of Law" w:value="Theory of Law"/>
          </w:comboBox>
        </w:sdtPr>
        <w:sdtContent>
          <w:r w:rsidR="00BB6A91">
            <w:rPr>
              <w:lang w:val="en-GB"/>
            </w:rPr>
            <w:t>Law Information and Communication Technologies</w:t>
          </w:r>
        </w:sdtContent>
      </w:sdt>
    </w:p>
    <w:p w14:paraId="54EDC99E" w14:textId="6B38DB09" w:rsidR="000E1807" w:rsidRPr="00746487" w:rsidRDefault="00D21BED" w:rsidP="00704143">
      <w:pPr>
        <w:pStyle w:val="ZPBibilografickzznam"/>
        <w:rPr>
          <w:lang w:val="en-GB"/>
        </w:rPr>
      </w:pPr>
      <w:r w:rsidRPr="00746487">
        <w:rPr>
          <w:rStyle w:val="ZPPKlbiblografie"/>
          <w:lang w:val="en-GB"/>
        </w:rPr>
        <w:t>Supervisor</w:t>
      </w:r>
      <w:r w:rsidR="000E1807" w:rsidRPr="00746487">
        <w:rPr>
          <w:rStyle w:val="ZPPKlbiblografie"/>
          <w:lang w:val="en-GB"/>
        </w:rPr>
        <w:t>:</w:t>
      </w:r>
      <w:r w:rsidR="000E1807" w:rsidRPr="00746487">
        <w:rPr>
          <w:lang w:val="en-GB"/>
        </w:rPr>
        <w:tab/>
      </w:r>
      <w:sdt>
        <w:sdtPr>
          <w:rPr>
            <w:lang w:val="en-GB"/>
          </w:rPr>
          <w:alias w:val="Vedoucí práce"/>
          <w:tag w:val=""/>
          <w:id w:val="-1442070207"/>
          <w:placeholder>
            <w:docPart w:val="7E96710C19BD4D6F9587AC9BBDA5A40D"/>
          </w:placeholder>
          <w:dataBinding w:prefixMappings="xmlns:ns0='http://schemas.openxmlformats.org/officeDocument/2006/extended-properties' " w:xpath="/ns0:Properties[1]/ns0:Manager[1]" w:storeItemID="{6668398D-A668-4E3E-A5EB-62B293D839F1}"/>
          <w:text/>
        </w:sdtPr>
        <w:sdtContent>
          <w:r w:rsidR="00835CB9">
            <w:rPr>
              <w:lang w:val="en-GB"/>
            </w:rPr>
            <w:t>JUDr. Mgr. Jakub Harašta, Ph.D.</w:t>
          </w:r>
        </w:sdtContent>
      </w:sdt>
    </w:p>
    <w:p w14:paraId="415C9408" w14:textId="32AA5E0F" w:rsidR="000E1807" w:rsidRPr="00746487" w:rsidRDefault="002A18FA" w:rsidP="00704143">
      <w:pPr>
        <w:pStyle w:val="ZPBibilografickzznam"/>
        <w:rPr>
          <w:lang w:val="en-GB"/>
        </w:rPr>
      </w:pPr>
      <w:r>
        <w:rPr>
          <w:rStyle w:val="ZPPKlbiblografie"/>
          <w:lang w:val="en-GB"/>
        </w:rPr>
        <w:t>Year</w:t>
      </w:r>
      <w:r w:rsidR="00D21BED" w:rsidRPr="00746487">
        <w:rPr>
          <w:rStyle w:val="ZPPKlbiblografie"/>
          <w:lang w:val="en-GB"/>
        </w:rPr>
        <w:t>:</w:t>
      </w:r>
      <w:r w:rsidR="000E1807" w:rsidRPr="00746487">
        <w:rPr>
          <w:lang w:val="en-GB"/>
        </w:rPr>
        <w:tab/>
      </w:r>
      <w:r w:rsidR="00B67E52">
        <w:rPr>
          <w:lang w:val="en-GB"/>
        </w:rPr>
        <w:fldChar w:fldCharType="begin"/>
      </w:r>
      <w:r w:rsidR="00B67E52">
        <w:rPr>
          <w:lang w:val="en-GB"/>
        </w:rPr>
        <w:instrText xml:space="preserve"> REF ROK_ODEVZDANI \h </w:instrText>
      </w:r>
      <w:r w:rsidR="00B67E52">
        <w:rPr>
          <w:lang w:val="en-GB"/>
        </w:rPr>
      </w:r>
      <w:r w:rsidR="00B67E52">
        <w:rPr>
          <w:lang w:val="en-GB"/>
        </w:rPr>
        <w:fldChar w:fldCharType="separate"/>
      </w:r>
      <w:sdt>
        <w:sdtPr>
          <w:alias w:val="Rok odevzdání"/>
          <w:tag w:val="ROK_ODEVZDANI"/>
          <w:id w:val="233904403"/>
          <w:placeholder>
            <w:docPart w:val="AE164FF7A7ED4E05A0A7742A1C127836"/>
          </w:placeholder>
          <w:text/>
        </w:sdtPr>
        <w:sdtContent>
          <w:r w:rsidR="00BB6A91">
            <w:t>2023</w:t>
          </w:r>
        </w:sdtContent>
      </w:sdt>
      <w:r w:rsidR="00B67E52">
        <w:rPr>
          <w:lang w:val="en-GB"/>
        </w:rPr>
        <w:fldChar w:fldCharType="end"/>
      </w:r>
    </w:p>
    <w:p w14:paraId="17A7C463" w14:textId="5112F9CD" w:rsidR="000E1807" w:rsidRPr="00746487" w:rsidRDefault="00D21BED" w:rsidP="00704143">
      <w:pPr>
        <w:pStyle w:val="ZPBibilografickzznam"/>
        <w:rPr>
          <w:lang w:val="en-GB"/>
        </w:rPr>
      </w:pPr>
      <w:r w:rsidRPr="00746487">
        <w:rPr>
          <w:rStyle w:val="ZPPKlbiblografie"/>
          <w:lang w:val="en-GB"/>
        </w:rPr>
        <w:t>Number of Pages</w:t>
      </w:r>
      <w:r w:rsidR="000E1807" w:rsidRPr="00746487">
        <w:rPr>
          <w:rStyle w:val="ZPPKlbiblografie"/>
          <w:lang w:val="en-GB"/>
        </w:rPr>
        <w:t>:</w:t>
      </w:r>
      <w:r w:rsidR="000E1807" w:rsidRPr="00746487">
        <w:rPr>
          <w:lang w:val="en-GB"/>
        </w:rPr>
        <w:tab/>
      </w:r>
      <w:r w:rsidR="00612ED3" w:rsidRPr="00746487">
        <w:rPr>
          <w:lang w:val="en-GB"/>
        </w:rPr>
        <w:fldChar w:fldCharType="begin"/>
      </w:r>
      <w:r w:rsidR="00612ED3" w:rsidRPr="00746487">
        <w:rPr>
          <w:lang w:val="en-GB"/>
        </w:rPr>
        <w:instrText xml:space="preserve"> NUMPAGES  \* Arabic  \* MERGEFORMAT </w:instrText>
      </w:r>
      <w:r w:rsidR="00612ED3" w:rsidRPr="00746487">
        <w:rPr>
          <w:lang w:val="en-GB"/>
        </w:rPr>
        <w:fldChar w:fldCharType="separate"/>
      </w:r>
      <w:r w:rsidR="005407A1">
        <w:rPr>
          <w:noProof/>
          <w:lang w:val="en-GB"/>
        </w:rPr>
        <w:t>188</w:t>
      </w:r>
      <w:r w:rsidR="00612ED3" w:rsidRPr="00746487">
        <w:rPr>
          <w:lang w:val="en-GB"/>
        </w:rPr>
        <w:fldChar w:fldCharType="end"/>
      </w:r>
    </w:p>
    <w:p w14:paraId="1A25B666" w14:textId="7725E067" w:rsidR="00974A40" w:rsidRPr="00746487" w:rsidRDefault="000E1807" w:rsidP="00704143">
      <w:pPr>
        <w:pStyle w:val="ZPBibilografickzznam"/>
        <w:rPr>
          <w:lang w:val="en-GB"/>
        </w:rPr>
      </w:pPr>
      <w:r w:rsidRPr="00746487">
        <w:rPr>
          <w:rStyle w:val="ZPPKlbiblografie"/>
          <w:lang w:val="en-GB"/>
        </w:rPr>
        <w:t>K</w:t>
      </w:r>
      <w:r w:rsidR="00D21BED" w:rsidRPr="00746487">
        <w:rPr>
          <w:rStyle w:val="ZPPKlbiblografie"/>
          <w:lang w:val="en-GB"/>
        </w:rPr>
        <w:t>eywords</w:t>
      </w:r>
      <w:r w:rsidRPr="00746487">
        <w:rPr>
          <w:rStyle w:val="ZPPKlbiblografie"/>
          <w:lang w:val="en-GB"/>
        </w:rPr>
        <w:t>:</w:t>
      </w:r>
      <w:r w:rsidRPr="00746487">
        <w:rPr>
          <w:lang w:val="en-GB"/>
        </w:rPr>
        <w:tab/>
      </w:r>
      <w:sdt>
        <w:sdtPr>
          <w:rPr>
            <w:lang w:val="en-GB"/>
          </w:rPr>
          <w:tag w:val="POLE_KEY_WORDS"/>
          <w:id w:val="112340290"/>
          <w:placeholder>
            <w:docPart w:val="3BF812584C074465A38779038489EA30"/>
          </w:placeholder>
          <w:text/>
        </w:sdtPr>
        <w:sdtContent>
          <w:r w:rsidR="002343C4">
            <w:rPr>
              <w:lang w:val="en-GB"/>
            </w:rPr>
            <w:t>network analysis, legal information retrieval, court decisions, doc2vec, citation analysis, topic modelling, expert evaluation, natural language processing</w:t>
          </w:r>
        </w:sdtContent>
      </w:sdt>
    </w:p>
    <w:p w14:paraId="33D335E1" w14:textId="77777777" w:rsidR="000E1807" w:rsidRPr="00746487" w:rsidRDefault="000E1807" w:rsidP="00704143">
      <w:pPr>
        <w:pStyle w:val="ZPBibilografickzznam"/>
        <w:sectPr w:rsidR="000E1807" w:rsidRPr="00746487" w:rsidSect="002A18FA">
          <w:headerReference w:type="default" r:id="rId18"/>
          <w:footerReference w:type="even" r:id="rId19"/>
          <w:footerReference w:type="default" r:id="rId20"/>
          <w:type w:val="evenPage"/>
          <w:pgSz w:w="11906" w:h="16838" w:code="9"/>
          <w:pgMar w:top="2380" w:right="2020" w:bottom="2380" w:left="2020" w:header="1900" w:footer="1280" w:gutter="500"/>
          <w:cols w:space="708"/>
          <w:docGrid w:linePitch="360"/>
        </w:sectPr>
      </w:pPr>
    </w:p>
    <w:p w14:paraId="48C6D5E0" w14:textId="77777777" w:rsidR="0077567B" w:rsidRPr="00746487" w:rsidRDefault="0077567B" w:rsidP="00A00BBC">
      <w:pPr>
        <w:pStyle w:val="ZPNadpis1vodn"/>
      </w:pPr>
      <w:r w:rsidRPr="00746487">
        <w:lastRenderedPageBreak/>
        <w:t>A</w:t>
      </w:r>
      <w:r w:rsidR="00DD1BF2">
        <w:t>notace</w:t>
      </w:r>
    </w:p>
    <w:p w14:paraId="0F07C3C0" w14:textId="44833EF4" w:rsidR="00C96B30" w:rsidRPr="00746487" w:rsidRDefault="007B6991" w:rsidP="00C96B30">
      <w:pPr>
        <w:pStyle w:val="ZPZklad"/>
      </w:pPr>
      <w:r>
        <w:t>Tato práce se zabývá experimentální aplikací síťové analýzy</w:t>
      </w:r>
      <w:r w:rsidR="00684D9C">
        <w:t xml:space="preserve"> a souvisejících metod</w:t>
      </w:r>
      <w:r>
        <w:t xml:space="preserve"> na soudní rozhodnutí Ústavního, Nejvyššího a Nejvyššího správního soudu.</w:t>
      </w:r>
      <w:r w:rsidR="00684D9C">
        <w:t xml:space="preserve"> Tyto metody jsou</w:t>
      </w:r>
      <w:r>
        <w:t xml:space="preserve"> užity ke dvěma metodologick</w:t>
      </w:r>
      <w:r w:rsidR="00F44BBE">
        <w:t>y</w:t>
      </w:r>
      <w:r>
        <w:t xml:space="preserve"> </w:t>
      </w:r>
      <w:r w:rsidR="00684D9C">
        <w:t xml:space="preserve">odděleným </w:t>
      </w:r>
      <w:r>
        <w:t>účelům – k popisu citační sítě rozhodnutí těchto soudů a ke zlepšení vyhledávání sou</w:t>
      </w:r>
      <w:r w:rsidR="00684D9C">
        <w:t>d</w:t>
      </w:r>
      <w:r>
        <w:t>ních rozhodnutí.</w:t>
      </w:r>
      <w:r w:rsidR="00684D9C">
        <w:t xml:space="preserve"> K vyhledávání soudních rozhodnutí jsou vybrány tři konkrétní metody, pomocí kterých jsou </w:t>
      </w:r>
      <w:r w:rsidR="00F44BBE">
        <w:t xml:space="preserve">rozhodnutí </w:t>
      </w:r>
      <w:r w:rsidR="00684D9C">
        <w:t>zpracovávána a jejichž výsledky jsou poté předkládán</w:t>
      </w:r>
      <w:r w:rsidR="00F44BBE">
        <w:t>y</w:t>
      </w:r>
      <w:r w:rsidR="00684D9C">
        <w:t xml:space="preserve"> expertní skupině právníků k evaluaci. Na základě evaluace je vyhodnocena jejich vhodnost pro užití </w:t>
      </w:r>
      <w:r w:rsidR="00F44BBE">
        <w:t>v praxi při rešeršování judikatury</w:t>
      </w:r>
      <w:r w:rsidR="00684D9C">
        <w:t>.</w:t>
      </w:r>
    </w:p>
    <w:p w14:paraId="37ED5A44" w14:textId="77777777" w:rsidR="00C96B30" w:rsidRPr="00F8678C" w:rsidRDefault="00C96B30" w:rsidP="00A00BBC">
      <w:pPr>
        <w:pStyle w:val="ZPNadpis1vodn"/>
      </w:pPr>
      <w:r w:rsidRPr="00F8678C">
        <w:lastRenderedPageBreak/>
        <w:t>Abstract</w:t>
      </w:r>
    </w:p>
    <w:p w14:paraId="2984C9C3" w14:textId="17BA5FAF" w:rsidR="002C0686" w:rsidRPr="00746487" w:rsidRDefault="000F6823" w:rsidP="00F44BBE">
      <w:pPr>
        <w:pStyle w:val="Odstavec1EN"/>
      </w:pPr>
      <w:r>
        <w:t xml:space="preserve">This thesis deals with the experimental application of network analysis and related methods to the judicial decisions of the Constitutional, Supreme and Supreme Administrative Courts. These methods are used for two methodologically separate purposes - to describe the citation network of the decisions of these courts and to improve the retrieval of court decisions. Three specific methods are selected for the retrieval of court decisions, </w:t>
      </w:r>
      <w:r w:rsidR="00F44BBE" w:rsidRPr="00F44BBE">
        <w:t>using which the decisions are processed and whose results are then presented to an expert group of lawyers for evaluation. On the basis of the evaluation, their suitability for practical use in case law search is assessed.</w:t>
      </w:r>
    </w:p>
    <w:p w14:paraId="663D17E7" w14:textId="77777777" w:rsidR="002C0686" w:rsidRPr="00746487" w:rsidRDefault="002C0686" w:rsidP="007C294D">
      <w:pPr>
        <w:pStyle w:val="inZPKlovslova"/>
        <w:sectPr w:rsidR="002C0686" w:rsidRPr="00746487" w:rsidSect="002A18FA">
          <w:type w:val="evenPage"/>
          <w:pgSz w:w="11906" w:h="16838" w:code="9"/>
          <w:pgMar w:top="2380" w:right="2020" w:bottom="2380" w:left="2020" w:header="1900" w:footer="1280" w:gutter="500"/>
          <w:cols w:space="708"/>
          <w:docGrid w:linePitch="360"/>
        </w:sectPr>
      </w:pPr>
    </w:p>
    <w:p w14:paraId="50CADF7E" w14:textId="77777777" w:rsidR="006613D4" w:rsidRPr="00746487" w:rsidRDefault="006613D4" w:rsidP="00CE1A04">
      <w:pPr>
        <w:pStyle w:val="ZPNadpis1vodn"/>
      </w:pPr>
      <w:r w:rsidRPr="00746487">
        <w:lastRenderedPageBreak/>
        <w:t>Čestné prohlášení</w:t>
      </w:r>
    </w:p>
    <w:p w14:paraId="11ECD82B" w14:textId="204E03A7" w:rsidR="002A18FA" w:rsidRPr="00152A7A" w:rsidRDefault="002A18FA" w:rsidP="00DB00F5">
      <w:pPr>
        <w:pStyle w:val="ZPZklad"/>
      </w:pPr>
      <w:r w:rsidRPr="00152A7A">
        <w:t xml:space="preserve">Prohlašuji, že jsem </w:t>
      </w:r>
      <w:r>
        <w:t>disertační práci</w:t>
      </w:r>
      <w:r w:rsidRPr="00152A7A">
        <w:t xml:space="preserve"> a téma</w:t>
      </w:r>
      <w:r w:rsidRPr="00152A7A">
        <w:rPr>
          <w:rStyle w:val="ZPSilnvyznaen"/>
        </w:rPr>
        <w:t xml:space="preserve"> </w:t>
      </w:r>
      <w:sdt>
        <w:sdtPr>
          <w:rPr>
            <w:rStyle w:val="ZPSilnvyznaen"/>
          </w:rPr>
          <w:alias w:val="Název"/>
          <w:tag w:val=""/>
          <w:id w:val="327109079"/>
          <w:placeholder>
            <w:docPart w:val="5FAEFBA245C84040A8E9E321ABA0384A"/>
          </w:placeholder>
          <w:dataBinding w:prefixMappings="xmlns:ns0='http://purl.org/dc/elements/1.1/' xmlns:ns1='http://schemas.openxmlformats.org/package/2006/metadata/core-properties' " w:xpath="/ns1:coreProperties[1]/ns0:title[1]" w:storeItemID="{6C3C8BC8-F283-45AE-878A-BAB7291924A1}"/>
          <w:text/>
        </w:sdtPr>
        <w:sdtContent>
          <w:r w:rsidR="00A17BD8">
            <w:rPr>
              <w:rStyle w:val="ZPSilnvyznaen"/>
            </w:rPr>
            <w:t>Síťová analýza v právu</w:t>
          </w:r>
        </w:sdtContent>
      </w:sdt>
      <w:r w:rsidRPr="00152A7A">
        <w:rPr>
          <w:rStyle w:val="ZPSilnvyznaen"/>
        </w:rPr>
        <w:t xml:space="preserve"> </w:t>
      </w:r>
      <w:sdt>
        <w:sdtPr>
          <w:rPr>
            <w:rStyle w:val="ZPSilnvyznaen"/>
            <w:b w:val="0"/>
          </w:rPr>
          <w:id w:val="512504269"/>
          <w:placeholder>
            <w:docPart w:val="62A851425BDF4D63A8B9A408C85A60E5"/>
          </w:placeholder>
          <w:comboBox>
            <w:listItem w:value="Zvolte položku."/>
            <w:listItem w:displayText="zpracovala sama" w:value="zpracovala sama"/>
            <w:listItem w:displayText="zpracoval sám" w:value="zpracoval sám"/>
          </w:comboBox>
        </w:sdtPr>
        <w:sdtContent>
          <w:r w:rsidR="00270C8D">
            <w:rPr>
              <w:rStyle w:val="ZPSilnvyznaen"/>
              <w:b w:val="0"/>
            </w:rPr>
            <w:t>zpracovala sama</w:t>
          </w:r>
        </w:sdtContent>
      </w:sdt>
      <w:r w:rsidRPr="00152A7A">
        <w:t xml:space="preserve">. Veškeré prameny a zdroje informací, které jsem </w:t>
      </w:r>
      <w:sdt>
        <w:sdtPr>
          <w:id w:val="-922648462"/>
          <w:placeholder>
            <w:docPart w:val="3998CD38C6904F07B94089AC3C771DD2"/>
          </w:placeholder>
          <w:comboBox>
            <w:listItem w:value="Zvolte položku."/>
            <w:listItem w:displayText="použil" w:value="použil"/>
            <w:listItem w:displayText="použila" w:value="použila"/>
          </w:comboBox>
        </w:sdtPr>
        <w:sdtContent>
          <w:r w:rsidR="00270C8D">
            <w:t>použila</w:t>
          </w:r>
        </w:sdtContent>
      </w:sdt>
      <w:r w:rsidRPr="00152A7A">
        <w:t xml:space="preserve"> k sepsání této práce, byly citovány v poznámkách pod čarou a jsou uvedeny v seznamu použitých pramenů a literatury.</w:t>
      </w:r>
    </w:p>
    <w:p w14:paraId="462D929B" w14:textId="7DFB3086" w:rsidR="00581933" w:rsidRPr="00746487" w:rsidRDefault="00F40517" w:rsidP="00FF3438">
      <w:pPr>
        <w:pStyle w:val="inZPPodpisprohlen"/>
        <w:spacing w:before="600"/>
      </w:pPr>
      <w:r w:rsidRPr="00746487">
        <w:t xml:space="preserve">V Brně </w:t>
      </w:r>
      <w:sdt>
        <w:sdtPr>
          <w:tag w:val="DATUM"/>
          <w:id w:val="541563648"/>
          <w:placeholder>
            <w:docPart w:val="4C77578820414263A4591EAE84601192"/>
          </w:placeholder>
          <w:date w:fullDate="2023-02-10T00:00:00Z">
            <w:dateFormat w:val="d. MMMM yyyy"/>
            <w:lid w:val="cs-CZ"/>
            <w:storeMappedDataAs w:val="dateTime"/>
            <w:calendar w:val="gregorian"/>
          </w:date>
        </w:sdtPr>
        <w:sdtContent>
          <w:r w:rsidR="00270C8D">
            <w:t>10. února 2023</w:t>
          </w:r>
        </w:sdtContent>
      </w:sdt>
      <w:r w:rsidR="00581933" w:rsidRPr="00746487">
        <w:tab/>
      </w:r>
      <w:r w:rsidR="00FF3438" w:rsidRPr="00746487">
        <w:t>.......................................</w:t>
      </w:r>
      <w:r w:rsidR="00581933" w:rsidRPr="00746487">
        <w:tab/>
      </w:r>
      <w:sdt>
        <w:sdtPr>
          <w:alias w:val="Autor"/>
          <w:tag w:val=""/>
          <w:id w:val="-1420636599"/>
          <w:placeholder>
            <w:docPart w:val="D784CE3AF69D46D9A928C554CFB26D10"/>
          </w:placeholder>
          <w:dataBinding w:prefixMappings="xmlns:ns0='http://purl.org/dc/elements/1.1/' xmlns:ns1='http://schemas.openxmlformats.org/package/2006/metadata/core-properties' " w:xpath="/ns1:coreProperties[1]/ns0:creator[1]" w:storeItemID="{6C3C8BC8-F283-45AE-878A-BAB7291924A1}"/>
          <w:text/>
        </w:sdtPr>
        <w:sdtContent>
          <w:r w:rsidR="00CC150A">
            <w:t>Tereza Novotná</w:t>
          </w:r>
        </w:sdtContent>
      </w:sdt>
    </w:p>
    <w:p w14:paraId="5D5E2BDC" w14:textId="77777777" w:rsidR="00DB00F5" w:rsidRPr="00746487" w:rsidRDefault="00DB00F5" w:rsidP="00581933">
      <w:pPr>
        <w:pStyle w:val="inZPPodpisprohlen"/>
      </w:pPr>
    </w:p>
    <w:p w14:paraId="00C571D0" w14:textId="77777777" w:rsidR="00FF3438" w:rsidRPr="00746487" w:rsidRDefault="00FF3438" w:rsidP="00581933">
      <w:pPr>
        <w:pStyle w:val="inZPPodpisprohlen"/>
        <w:sectPr w:rsidR="00FF3438" w:rsidRPr="00746487" w:rsidSect="002A18FA">
          <w:type w:val="oddPage"/>
          <w:pgSz w:w="11906" w:h="16838" w:code="9"/>
          <w:pgMar w:top="2380" w:right="2020" w:bottom="2380" w:left="2020" w:header="1900" w:footer="1280" w:gutter="500"/>
          <w:cols w:space="708"/>
          <w:vAlign w:val="bottom"/>
          <w:docGrid w:linePitch="360"/>
        </w:sectPr>
      </w:pPr>
    </w:p>
    <w:p w14:paraId="31ABF8B4" w14:textId="77777777" w:rsidR="00F40517" w:rsidRPr="00746487" w:rsidRDefault="00210C1C" w:rsidP="00CE1A04">
      <w:pPr>
        <w:pStyle w:val="ZPNadpis1vodn"/>
      </w:pPr>
      <w:r w:rsidRPr="00746487">
        <w:lastRenderedPageBreak/>
        <w:t>Poděkování</w:t>
      </w:r>
    </w:p>
    <w:p w14:paraId="2D70D774" w14:textId="680685F8" w:rsidR="00210C1C" w:rsidRDefault="005448B7" w:rsidP="00FB18F9">
      <w:pPr>
        <w:pStyle w:val="ZPZklad"/>
      </w:pPr>
      <w:r>
        <w:t>Moc ráda bych poděkovala svým kolegům a kamarádům, bez jejichž náhodných připomínek různých povinností bych se určitě nedostala ani k napsání této práce. Speciálně bych ráda poděkovala Veronice za to, že jsme v tom ani jedna z nás nikdy nebyly samy.</w:t>
      </w:r>
    </w:p>
    <w:p w14:paraId="5D4E5708" w14:textId="147BA825" w:rsidR="00700DC1" w:rsidRDefault="00700DC1" w:rsidP="00700DC1">
      <w:pPr>
        <w:pStyle w:val="Dalodstavce"/>
      </w:pPr>
      <w:r>
        <w:t>Moc ráda bych také poděkovala všem účastníkům evaluačních experimentů za jejich trpělivost a čas, který dobrovolně věnovali provedeným experimentům, a jejichž hodnocení tvoří největší přidanou hodnotu této práce.</w:t>
      </w:r>
    </w:p>
    <w:p w14:paraId="7245C6C0" w14:textId="28A7E456" w:rsidR="005448B7" w:rsidRDefault="005448B7" w:rsidP="005448B7">
      <w:pPr>
        <w:pStyle w:val="Dalodstavce"/>
      </w:pPr>
      <w:r>
        <w:t>Ráda bych poděkovala Tomerovi za příležitost vidět právo zase z jiného pohledu a možnost podílet se spolu na fantastickým výzkumu.</w:t>
      </w:r>
    </w:p>
    <w:p w14:paraId="497ACB8D" w14:textId="06EA8E2F" w:rsidR="005448B7" w:rsidRDefault="005448B7" w:rsidP="005448B7">
      <w:pPr>
        <w:pStyle w:val="Dalodstavce"/>
      </w:pPr>
      <w:r>
        <w:t>Moc bych chtěla poděkovat všem svým kamarádkám a kamarádům za to, že je mám a že jsou tak super. Speciální d</w:t>
      </w:r>
      <w:r w:rsidR="00D21DA1">
        <w:t>ěkuji</w:t>
      </w:r>
      <w:r>
        <w:t xml:space="preserve"> patří Karolínce, Bar</w:t>
      </w:r>
      <w:r w:rsidR="00AF6565">
        <w:t>unce</w:t>
      </w:r>
      <w:r>
        <w:t xml:space="preserve">, Vlastičce, Olince a Broňkovi </w:t>
      </w:r>
      <w:r w:rsidR="00AF6565">
        <w:t>za to, že můžeme kdykoliv bez odsouzení fňukat.</w:t>
      </w:r>
    </w:p>
    <w:p w14:paraId="23AD5864" w14:textId="3F110B5E" w:rsidR="00AF6565" w:rsidRDefault="00AF6565" w:rsidP="005448B7">
      <w:pPr>
        <w:pStyle w:val="Dalodstavce"/>
      </w:pPr>
      <w:r>
        <w:t xml:space="preserve">S láskou bych chtěla poděkovat mamce a taťkovi za hodiny diskuzí o roli vědy a vzdělání, o tom, jak je nezbytné nikdy nepřestat o věcech pochybovat, a o tom, jak je nakonec nejdůležitější laskavost a naslouchání lidem. A taky za to, že </w:t>
      </w:r>
      <w:r w:rsidR="00DF45A1">
        <w:t>byli vždycky</w:t>
      </w:r>
      <w:r>
        <w:t xml:space="preserve"> mými nejvěrnějšími fanoušky.</w:t>
      </w:r>
    </w:p>
    <w:p w14:paraId="7822B67E" w14:textId="221205DD" w:rsidR="00AF6565" w:rsidRDefault="00AF6565" w:rsidP="005448B7">
      <w:pPr>
        <w:pStyle w:val="Dalodstavce"/>
      </w:pPr>
      <w:r>
        <w:t>Upřímně bych chtěla poděkovat Kubovi Haraštovi s vědomím, že množství času, kter</w:t>
      </w:r>
      <w:r w:rsidR="00700DC1">
        <w:t>é</w:t>
      </w:r>
      <w:r>
        <w:t xml:space="preserve"> mému výzkumu a studiu věnoval, dalece přesahuje roli školitele. Poděkování je taky za respekt k mému odlišnému stylu práce a za to, že mi </w:t>
      </w:r>
      <w:r w:rsidR="001B2BCF">
        <w:t>dal možnost</w:t>
      </w:r>
      <w:r>
        <w:t xml:space="preserve"> neuspět, za empatii</w:t>
      </w:r>
      <w:r w:rsidR="001B2BCF">
        <w:t xml:space="preserve"> a starost, ale hlavně za to, že za mnou vždycky stál.</w:t>
      </w:r>
    </w:p>
    <w:p w14:paraId="2AABAC6E" w14:textId="23A104E1" w:rsidR="00DF45A1" w:rsidRPr="00746487" w:rsidRDefault="00DF45A1" w:rsidP="005448B7">
      <w:pPr>
        <w:pStyle w:val="Dalodstavce"/>
      </w:pPr>
      <w:r>
        <w:t>S láskou chci poděkovat Kubovi za to, že ve mně na rozdíl ode mě samé nikdy nepřestal věřit a taky za to, že se u toho nikdy nepřestal bavit.</w:t>
      </w:r>
    </w:p>
    <w:p w14:paraId="5D0635BF" w14:textId="77777777" w:rsidR="00C612F9" w:rsidRPr="00746487" w:rsidRDefault="00C612F9" w:rsidP="00A2558D">
      <w:pPr>
        <w:pStyle w:val="Dalodstavce"/>
      </w:pPr>
    </w:p>
    <w:p w14:paraId="5248D636" w14:textId="77777777" w:rsidR="009951BF" w:rsidRPr="00746487" w:rsidRDefault="009951BF" w:rsidP="00A2558D">
      <w:pPr>
        <w:pStyle w:val="Dalodstavce"/>
        <w:sectPr w:rsidR="009951BF" w:rsidRPr="00746487" w:rsidSect="002A18FA">
          <w:footerReference w:type="default" r:id="rId21"/>
          <w:footerReference w:type="first" r:id="rId22"/>
          <w:type w:val="oddPage"/>
          <w:pgSz w:w="11906" w:h="16838" w:code="9"/>
          <w:pgMar w:top="2380" w:right="2020" w:bottom="2380" w:left="2020" w:header="1900" w:footer="1280" w:gutter="500"/>
          <w:cols w:space="708"/>
          <w:docGrid w:linePitch="360"/>
        </w:sectPr>
      </w:pPr>
    </w:p>
    <w:p w14:paraId="4F4EB47A" w14:textId="70890853" w:rsidR="00E76694" w:rsidRPr="00746487" w:rsidRDefault="00F44C00" w:rsidP="002E640F">
      <w:pPr>
        <w:pStyle w:val="ZPNadpis1vodn"/>
      </w:pPr>
      <w:r w:rsidRPr="00746487">
        <w:lastRenderedPageBreak/>
        <w:t>Ob</w:t>
      </w:r>
      <w:r w:rsidR="005407A1">
        <w:t>s</w:t>
      </w:r>
      <w:r w:rsidRPr="00746487">
        <w:t>ah</w:t>
      </w:r>
    </w:p>
    <w:p w14:paraId="33B311AC" w14:textId="5157938E" w:rsidR="004A0E19" w:rsidRDefault="00825A03">
      <w:pPr>
        <w:pStyle w:val="Obsah1"/>
        <w:rPr>
          <w:rFonts w:asciiTheme="minorHAnsi" w:eastAsiaTheme="minorEastAsia" w:hAnsiTheme="minorHAnsi" w:cstheme="minorBidi"/>
          <w:b w:val="0"/>
          <w:color w:val="auto"/>
          <w:sz w:val="22"/>
          <w:szCs w:val="22"/>
        </w:rPr>
      </w:pPr>
      <w:r w:rsidRPr="00746487">
        <w:rPr>
          <w:rFonts w:ascii="Arial" w:hAnsi="Arial"/>
          <w:bCs/>
          <w:noProof w:val="0"/>
        </w:rPr>
        <w:fldChar w:fldCharType="begin"/>
      </w:r>
      <w:r w:rsidRPr="00746487">
        <w:rPr>
          <w:noProof w:val="0"/>
        </w:rPr>
        <w:instrText xml:space="preserve"> TOC \o "1-</w:instrText>
      </w:r>
      <w:r w:rsidR="004E0F2F">
        <w:rPr>
          <w:noProof w:val="0"/>
        </w:rPr>
        <w:instrText>2</w:instrText>
      </w:r>
      <w:r w:rsidRPr="00746487">
        <w:rPr>
          <w:noProof w:val="0"/>
        </w:rPr>
        <w:instrText xml:space="preserve">" </w:instrText>
      </w:r>
      <w:r w:rsidRPr="00746487">
        <w:rPr>
          <w:rFonts w:ascii="Arial" w:hAnsi="Arial"/>
          <w:bCs/>
          <w:noProof w:val="0"/>
        </w:rPr>
        <w:fldChar w:fldCharType="separate"/>
      </w:r>
      <w:r w:rsidR="004A0E19">
        <w:t>Seznam obrázků</w:t>
      </w:r>
      <w:r w:rsidR="004A0E19">
        <w:tab/>
      </w:r>
      <w:r w:rsidR="004A0E19">
        <w:fldChar w:fldCharType="begin"/>
      </w:r>
      <w:r w:rsidR="004A0E19">
        <w:instrText xml:space="preserve"> PAGEREF _Toc126909332 \h </w:instrText>
      </w:r>
      <w:r w:rsidR="004A0E19">
        <w:fldChar w:fldCharType="separate"/>
      </w:r>
      <w:r w:rsidR="00724227">
        <w:t>13</w:t>
      </w:r>
      <w:r w:rsidR="004A0E19">
        <w:fldChar w:fldCharType="end"/>
      </w:r>
    </w:p>
    <w:p w14:paraId="77B9D03E" w14:textId="387EFD1C" w:rsidR="004A0E19" w:rsidRDefault="004A0E19">
      <w:pPr>
        <w:pStyle w:val="Obsah1"/>
        <w:rPr>
          <w:rFonts w:asciiTheme="minorHAnsi" w:eastAsiaTheme="minorEastAsia" w:hAnsiTheme="minorHAnsi" w:cstheme="minorBidi"/>
          <w:b w:val="0"/>
          <w:color w:val="auto"/>
          <w:sz w:val="22"/>
          <w:szCs w:val="22"/>
        </w:rPr>
      </w:pPr>
      <w:r>
        <w:t>Seznam tabulek</w:t>
      </w:r>
      <w:r>
        <w:tab/>
      </w:r>
      <w:r>
        <w:fldChar w:fldCharType="begin"/>
      </w:r>
      <w:r>
        <w:instrText xml:space="preserve"> PAGEREF _Toc126909333 \h </w:instrText>
      </w:r>
      <w:r>
        <w:fldChar w:fldCharType="separate"/>
      </w:r>
      <w:r w:rsidR="00724227">
        <w:t>15</w:t>
      </w:r>
      <w:r>
        <w:fldChar w:fldCharType="end"/>
      </w:r>
    </w:p>
    <w:p w14:paraId="2E76D5C8" w14:textId="548A8808" w:rsidR="004A0E19" w:rsidRDefault="004A0E19">
      <w:pPr>
        <w:pStyle w:val="Obsah1"/>
        <w:rPr>
          <w:rFonts w:asciiTheme="minorHAnsi" w:eastAsiaTheme="minorEastAsia" w:hAnsiTheme="minorHAnsi" w:cstheme="minorBidi"/>
          <w:b w:val="0"/>
          <w:color w:val="auto"/>
          <w:sz w:val="22"/>
          <w:szCs w:val="22"/>
        </w:rPr>
      </w:pPr>
      <w:r>
        <w:t>1</w:t>
      </w:r>
      <w:r>
        <w:rPr>
          <w:rFonts w:asciiTheme="minorHAnsi" w:eastAsiaTheme="minorEastAsia" w:hAnsiTheme="minorHAnsi" w:cstheme="minorBidi"/>
          <w:b w:val="0"/>
          <w:color w:val="auto"/>
          <w:sz w:val="22"/>
          <w:szCs w:val="22"/>
        </w:rPr>
        <w:tab/>
      </w:r>
      <w:r>
        <w:t>Úvod a motivace</w:t>
      </w:r>
      <w:r>
        <w:tab/>
      </w:r>
      <w:r>
        <w:fldChar w:fldCharType="begin"/>
      </w:r>
      <w:r>
        <w:instrText xml:space="preserve"> PAGEREF _Toc126909334 \h </w:instrText>
      </w:r>
      <w:r>
        <w:fldChar w:fldCharType="separate"/>
      </w:r>
      <w:r w:rsidR="00724227">
        <w:t>17</w:t>
      </w:r>
      <w:r>
        <w:fldChar w:fldCharType="end"/>
      </w:r>
    </w:p>
    <w:p w14:paraId="1FF42BDB" w14:textId="26D936CC" w:rsidR="004A0E19" w:rsidRDefault="004A0E19">
      <w:pPr>
        <w:pStyle w:val="Obsah1"/>
        <w:rPr>
          <w:rFonts w:asciiTheme="minorHAnsi" w:eastAsiaTheme="minorEastAsia" w:hAnsiTheme="minorHAnsi" w:cstheme="minorBidi"/>
          <w:b w:val="0"/>
          <w:color w:val="auto"/>
          <w:sz w:val="22"/>
          <w:szCs w:val="22"/>
        </w:rPr>
      </w:pPr>
      <w:r>
        <w:t>2</w:t>
      </w:r>
      <w:r>
        <w:rPr>
          <w:rFonts w:asciiTheme="minorHAnsi" w:eastAsiaTheme="minorEastAsia" w:hAnsiTheme="minorHAnsi" w:cstheme="minorBidi"/>
          <w:b w:val="0"/>
          <w:color w:val="auto"/>
          <w:sz w:val="22"/>
          <w:szCs w:val="22"/>
        </w:rPr>
        <w:tab/>
      </w:r>
      <w:r>
        <w:t>Výzkumné otázky</w:t>
      </w:r>
      <w:r>
        <w:tab/>
      </w:r>
      <w:r>
        <w:fldChar w:fldCharType="begin"/>
      </w:r>
      <w:r>
        <w:instrText xml:space="preserve"> PAGEREF _Toc126909335 \h </w:instrText>
      </w:r>
      <w:r>
        <w:fldChar w:fldCharType="separate"/>
      </w:r>
      <w:r w:rsidR="00724227">
        <w:t>24</w:t>
      </w:r>
      <w:r>
        <w:fldChar w:fldCharType="end"/>
      </w:r>
    </w:p>
    <w:p w14:paraId="75432DFF" w14:textId="12680AC8" w:rsidR="004A0E19" w:rsidRDefault="004A0E19">
      <w:pPr>
        <w:pStyle w:val="Obsah1"/>
        <w:rPr>
          <w:rFonts w:asciiTheme="minorHAnsi" w:eastAsiaTheme="minorEastAsia" w:hAnsiTheme="minorHAnsi" w:cstheme="minorBidi"/>
          <w:b w:val="0"/>
          <w:color w:val="auto"/>
          <w:sz w:val="22"/>
          <w:szCs w:val="22"/>
        </w:rPr>
      </w:pPr>
      <w:r>
        <w:t>3</w:t>
      </w:r>
      <w:r>
        <w:rPr>
          <w:rFonts w:asciiTheme="minorHAnsi" w:eastAsiaTheme="minorEastAsia" w:hAnsiTheme="minorHAnsi" w:cstheme="minorBidi"/>
          <w:b w:val="0"/>
          <w:color w:val="auto"/>
          <w:sz w:val="22"/>
          <w:szCs w:val="22"/>
        </w:rPr>
        <w:tab/>
      </w:r>
      <w:r>
        <w:t>Přehled literatury</w:t>
      </w:r>
      <w:r>
        <w:tab/>
      </w:r>
      <w:r>
        <w:fldChar w:fldCharType="begin"/>
      </w:r>
      <w:r>
        <w:instrText xml:space="preserve"> PAGEREF _Toc126909336 \h </w:instrText>
      </w:r>
      <w:r>
        <w:fldChar w:fldCharType="separate"/>
      </w:r>
      <w:r w:rsidR="00724227">
        <w:t>27</w:t>
      </w:r>
      <w:r>
        <w:fldChar w:fldCharType="end"/>
      </w:r>
    </w:p>
    <w:p w14:paraId="2D488DBE" w14:textId="091235AE" w:rsidR="004A0E19" w:rsidRDefault="004A0E19">
      <w:pPr>
        <w:pStyle w:val="Obsah2"/>
        <w:rPr>
          <w:rFonts w:asciiTheme="minorHAnsi" w:eastAsiaTheme="minorEastAsia" w:hAnsiTheme="minorHAnsi" w:cstheme="minorBidi"/>
          <w:iCs w:val="0"/>
          <w:sz w:val="22"/>
          <w:szCs w:val="22"/>
        </w:rPr>
      </w:pPr>
      <w:r>
        <w:t>3.1</w:t>
      </w:r>
      <w:r>
        <w:rPr>
          <w:rFonts w:asciiTheme="minorHAnsi" w:eastAsiaTheme="minorEastAsia" w:hAnsiTheme="minorHAnsi" w:cstheme="minorBidi"/>
          <w:iCs w:val="0"/>
          <w:sz w:val="22"/>
          <w:szCs w:val="22"/>
        </w:rPr>
        <w:tab/>
      </w:r>
      <w:r>
        <w:t>Co jsou metody síťové analýzy a jak fungují?</w:t>
      </w:r>
      <w:r>
        <w:tab/>
      </w:r>
      <w:r>
        <w:fldChar w:fldCharType="begin"/>
      </w:r>
      <w:r>
        <w:instrText xml:space="preserve"> PAGEREF _Toc126909337 \h </w:instrText>
      </w:r>
      <w:r>
        <w:fldChar w:fldCharType="separate"/>
      </w:r>
      <w:r w:rsidR="00724227">
        <w:t>27</w:t>
      </w:r>
      <w:r>
        <w:fldChar w:fldCharType="end"/>
      </w:r>
    </w:p>
    <w:p w14:paraId="53728079" w14:textId="5752627C" w:rsidR="004A0E19" w:rsidRDefault="004A0E19">
      <w:pPr>
        <w:pStyle w:val="Obsah2"/>
        <w:rPr>
          <w:rFonts w:asciiTheme="minorHAnsi" w:eastAsiaTheme="minorEastAsia" w:hAnsiTheme="minorHAnsi" w:cstheme="minorBidi"/>
          <w:iCs w:val="0"/>
          <w:sz w:val="22"/>
          <w:szCs w:val="22"/>
        </w:rPr>
      </w:pPr>
      <w:r>
        <w:t>3.2</w:t>
      </w:r>
      <w:r>
        <w:rPr>
          <w:rFonts w:asciiTheme="minorHAnsi" w:eastAsiaTheme="minorEastAsia" w:hAnsiTheme="minorHAnsi" w:cstheme="minorBidi"/>
          <w:iCs w:val="0"/>
          <w:sz w:val="22"/>
          <w:szCs w:val="22"/>
        </w:rPr>
        <w:tab/>
      </w:r>
      <w:r>
        <w:t>Historie síťové analýzy</w:t>
      </w:r>
      <w:r>
        <w:tab/>
      </w:r>
      <w:r>
        <w:fldChar w:fldCharType="begin"/>
      </w:r>
      <w:r>
        <w:instrText xml:space="preserve"> PAGEREF _Toc126909338 \h </w:instrText>
      </w:r>
      <w:r>
        <w:fldChar w:fldCharType="separate"/>
      </w:r>
      <w:r w:rsidR="00724227">
        <w:t>29</w:t>
      </w:r>
      <w:r>
        <w:fldChar w:fldCharType="end"/>
      </w:r>
    </w:p>
    <w:p w14:paraId="6AB7829D" w14:textId="21A02B00" w:rsidR="004A0E19" w:rsidRDefault="004A0E19">
      <w:pPr>
        <w:pStyle w:val="Obsah2"/>
        <w:rPr>
          <w:rFonts w:asciiTheme="minorHAnsi" w:eastAsiaTheme="minorEastAsia" w:hAnsiTheme="minorHAnsi" w:cstheme="minorBidi"/>
          <w:iCs w:val="0"/>
          <w:sz w:val="22"/>
          <w:szCs w:val="22"/>
        </w:rPr>
      </w:pPr>
      <w:r>
        <w:t>3.3</w:t>
      </w:r>
      <w:r>
        <w:rPr>
          <w:rFonts w:asciiTheme="minorHAnsi" w:eastAsiaTheme="minorEastAsia" w:hAnsiTheme="minorHAnsi" w:cstheme="minorBidi"/>
          <w:iCs w:val="0"/>
          <w:sz w:val="22"/>
          <w:szCs w:val="22"/>
        </w:rPr>
        <w:tab/>
      </w:r>
      <w:r>
        <w:t>Teoretické principy síťové analýzy</w:t>
      </w:r>
      <w:r>
        <w:tab/>
      </w:r>
      <w:r>
        <w:fldChar w:fldCharType="begin"/>
      </w:r>
      <w:r>
        <w:instrText xml:space="preserve"> PAGEREF _Toc126909339 \h </w:instrText>
      </w:r>
      <w:r>
        <w:fldChar w:fldCharType="separate"/>
      </w:r>
      <w:r w:rsidR="00724227">
        <w:t>31</w:t>
      </w:r>
      <w:r>
        <w:fldChar w:fldCharType="end"/>
      </w:r>
    </w:p>
    <w:p w14:paraId="1D1AA704" w14:textId="0D531E0C" w:rsidR="004A0E19" w:rsidRDefault="004A0E19">
      <w:pPr>
        <w:pStyle w:val="Obsah2"/>
        <w:rPr>
          <w:rFonts w:asciiTheme="minorHAnsi" w:eastAsiaTheme="minorEastAsia" w:hAnsiTheme="minorHAnsi" w:cstheme="minorBidi"/>
          <w:iCs w:val="0"/>
          <w:sz w:val="22"/>
          <w:szCs w:val="22"/>
        </w:rPr>
      </w:pPr>
      <w:r>
        <w:t>3.4</w:t>
      </w:r>
      <w:r>
        <w:rPr>
          <w:rFonts w:asciiTheme="minorHAnsi" w:eastAsiaTheme="minorEastAsia" w:hAnsiTheme="minorHAnsi" w:cstheme="minorBidi"/>
          <w:iCs w:val="0"/>
          <w:sz w:val="22"/>
          <w:szCs w:val="22"/>
        </w:rPr>
        <w:tab/>
      </w:r>
      <w:r>
        <w:t>Síťové metody v právu</w:t>
      </w:r>
      <w:r>
        <w:tab/>
      </w:r>
      <w:r>
        <w:fldChar w:fldCharType="begin"/>
      </w:r>
      <w:r>
        <w:instrText xml:space="preserve"> PAGEREF _Toc126909340 \h </w:instrText>
      </w:r>
      <w:r>
        <w:fldChar w:fldCharType="separate"/>
      </w:r>
      <w:r w:rsidR="00724227">
        <w:t>33</w:t>
      </w:r>
      <w:r>
        <w:fldChar w:fldCharType="end"/>
      </w:r>
    </w:p>
    <w:p w14:paraId="22860019" w14:textId="4BF8914F" w:rsidR="004A0E19" w:rsidRDefault="004A0E19">
      <w:pPr>
        <w:pStyle w:val="Obsah2"/>
        <w:rPr>
          <w:rFonts w:asciiTheme="minorHAnsi" w:eastAsiaTheme="minorEastAsia" w:hAnsiTheme="minorHAnsi" w:cstheme="minorBidi"/>
          <w:iCs w:val="0"/>
          <w:sz w:val="22"/>
          <w:szCs w:val="22"/>
        </w:rPr>
      </w:pPr>
      <w:r>
        <w:t>3.5</w:t>
      </w:r>
      <w:r>
        <w:rPr>
          <w:rFonts w:asciiTheme="minorHAnsi" w:eastAsiaTheme="minorEastAsia" w:hAnsiTheme="minorHAnsi" w:cstheme="minorBidi"/>
          <w:iCs w:val="0"/>
          <w:sz w:val="22"/>
          <w:szCs w:val="22"/>
        </w:rPr>
        <w:tab/>
      </w:r>
      <w:r>
        <w:t>Sociální síťová analýza v právu</w:t>
      </w:r>
      <w:r>
        <w:tab/>
      </w:r>
      <w:r>
        <w:fldChar w:fldCharType="begin"/>
      </w:r>
      <w:r>
        <w:instrText xml:space="preserve"> PAGEREF _Toc126909341 \h </w:instrText>
      </w:r>
      <w:r>
        <w:fldChar w:fldCharType="separate"/>
      </w:r>
      <w:r w:rsidR="00724227">
        <w:t>35</w:t>
      </w:r>
      <w:r>
        <w:fldChar w:fldCharType="end"/>
      </w:r>
    </w:p>
    <w:p w14:paraId="09BE890A" w14:textId="77CBEDA5" w:rsidR="004A0E19" w:rsidRDefault="004A0E19">
      <w:pPr>
        <w:pStyle w:val="Obsah2"/>
        <w:rPr>
          <w:rFonts w:asciiTheme="minorHAnsi" w:eastAsiaTheme="minorEastAsia" w:hAnsiTheme="minorHAnsi" w:cstheme="minorBidi"/>
          <w:iCs w:val="0"/>
          <w:sz w:val="22"/>
          <w:szCs w:val="22"/>
        </w:rPr>
      </w:pPr>
      <w:r>
        <w:t>3.6</w:t>
      </w:r>
      <w:r>
        <w:rPr>
          <w:rFonts w:asciiTheme="minorHAnsi" w:eastAsiaTheme="minorEastAsia" w:hAnsiTheme="minorHAnsi" w:cstheme="minorBidi"/>
          <w:iCs w:val="0"/>
          <w:sz w:val="22"/>
          <w:szCs w:val="22"/>
        </w:rPr>
        <w:tab/>
      </w:r>
      <w:r>
        <w:t>Informační síťová analýza v právu</w:t>
      </w:r>
      <w:r>
        <w:tab/>
      </w:r>
      <w:r>
        <w:fldChar w:fldCharType="begin"/>
      </w:r>
      <w:r>
        <w:instrText xml:space="preserve"> PAGEREF _Toc126909342 \h </w:instrText>
      </w:r>
      <w:r>
        <w:fldChar w:fldCharType="separate"/>
      </w:r>
      <w:r w:rsidR="00724227">
        <w:t>37</w:t>
      </w:r>
      <w:r>
        <w:fldChar w:fldCharType="end"/>
      </w:r>
    </w:p>
    <w:p w14:paraId="6D9C02D2" w14:textId="7E31A9F3" w:rsidR="004A0E19" w:rsidRDefault="004A0E19">
      <w:pPr>
        <w:pStyle w:val="Obsah2"/>
        <w:rPr>
          <w:rFonts w:asciiTheme="minorHAnsi" w:eastAsiaTheme="minorEastAsia" w:hAnsiTheme="minorHAnsi" w:cstheme="minorBidi"/>
          <w:iCs w:val="0"/>
          <w:sz w:val="22"/>
          <w:szCs w:val="22"/>
        </w:rPr>
      </w:pPr>
      <w:r>
        <w:t>3.7</w:t>
      </w:r>
      <w:r>
        <w:rPr>
          <w:rFonts w:asciiTheme="minorHAnsi" w:eastAsiaTheme="minorEastAsia" w:hAnsiTheme="minorHAnsi" w:cstheme="minorBidi"/>
          <w:iCs w:val="0"/>
          <w:sz w:val="22"/>
          <w:szCs w:val="22"/>
        </w:rPr>
        <w:tab/>
      </w:r>
      <w:r>
        <w:t>Jak mohou síťové metody pomoci při zpracování a vyhledávání právních informací?</w:t>
      </w:r>
      <w:r>
        <w:tab/>
      </w:r>
      <w:r>
        <w:fldChar w:fldCharType="begin"/>
      </w:r>
      <w:r>
        <w:instrText xml:space="preserve"> PAGEREF _Toc126909343 \h </w:instrText>
      </w:r>
      <w:r>
        <w:fldChar w:fldCharType="separate"/>
      </w:r>
      <w:r w:rsidR="00724227">
        <w:t>50</w:t>
      </w:r>
      <w:r>
        <w:fldChar w:fldCharType="end"/>
      </w:r>
    </w:p>
    <w:p w14:paraId="1525295A" w14:textId="24E83228" w:rsidR="004A0E19" w:rsidRDefault="004A0E19">
      <w:pPr>
        <w:pStyle w:val="Obsah2"/>
        <w:rPr>
          <w:rFonts w:asciiTheme="minorHAnsi" w:eastAsiaTheme="minorEastAsia" w:hAnsiTheme="minorHAnsi" w:cstheme="minorBidi"/>
          <w:iCs w:val="0"/>
          <w:sz w:val="22"/>
          <w:szCs w:val="22"/>
        </w:rPr>
      </w:pPr>
      <w:r>
        <w:t>3.8</w:t>
      </w:r>
      <w:r>
        <w:rPr>
          <w:rFonts w:asciiTheme="minorHAnsi" w:eastAsiaTheme="minorEastAsia" w:hAnsiTheme="minorHAnsi" w:cstheme="minorBidi"/>
          <w:iCs w:val="0"/>
          <w:sz w:val="22"/>
          <w:szCs w:val="22"/>
        </w:rPr>
        <w:tab/>
      </w:r>
      <w:r>
        <w:t>Dílčí závěr</w:t>
      </w:r>
      <w:r>
        <w:tab/>
      </w:r>
      <w:r>
        <w:fldChar w:fldCharType="begin"/>
      </w:r>
      <w:r>
        <w:instrText xml:space="preserve"> PAGEREF _Toc126909344 \h </w:instrText>
      </w:r>
      <w:r>
        <w:fldChar w:fldCharType="separate"/>
      </w:r>
      <w:r w:rsidR="00724227">
        <w:t>52</w:t>
      </w:r>
      <w:r>
        <w:fldChar w:fldCharType="end"/>
      </w:r>
    </w:p>
    <w:p w14:paraId="4DB02D4C" w14:textId="7125F4BA" w:rsidR="004A0E19" w:rsidRDefault="004A0E19">
      <w:pPr>
        <w:pStyle w:val="Obsah1"/>
        <w:rPr>
          <w:rFonts w:asciiTheme="minorHAnsi" w:eastAsiaTheme="minorEastAsia" w:hAnsiTheme="minorHAnsi" w:cstheme="minorBidi"/>
          <w:b w:val="0"/>
          <w:color w:val="auto"/>
          <w:sz w:val="22"/>
          <w:szCs w:val="22"/>
        </w:rPr>
      </w:pPr>
      <w:r>
        <w:t>4</w:t>
      </w:r>
      <w:r>
        <w:rPr>
          <w:rFonts w:asciiTheme="minorHAnsi" w:eastAsiaTheme="minorEastAsia" w:hAnsiTheme="minorHAnsi" w:cstheme="minorBidi"/>
          <w:b w:val="0"/>
          <w:color w:val="auto"/>
          <w:sz w:val="22"/>
          <w:szCs w:val="22"/>
        </w:rPr>
        <w:tab/>
      </w:r>
      <w:r>
        <w:t>Data, metody a evaluace</w:t>
      </w:r>
      <w:r>
        <w:tab/>
      </w:r>
      <w:r>
        <w:fldChar w:fldCharType="begin"/>
      </w:r>
      <w:r>
        <w:instrText xml:space="preserve"> PAGEREF _Toc126909345 \h </w:instrText>
      </w:r>
      <w:r>
        <w:fldChar w:fldCharType="separate"/>
      </w:r>
      <w:r w:rsidR="00724227">
        <w:t>53</w:t>
      </w:r>
      <w:r>
        <w:fldChar w:fldCharType="end"/>
      </w:r>
    </w:p>
    <w:p w14:paraId="7AC6A103" w14:textId="6EA9FBBB" w:rsidR="004A0E19" w:rsidRDefault="004A0E19">
      <w:pPr>
        <w:pStyle w:val="Obsah2"/>
        <w:rPr>
          <w:rFonts w:asciiTheme="minorHAnsi" w:eastAsiaTheme="minorEastAsia" w:hAnsiTheme="minorHAnsi" w:cstheme="minorBidi"/>
          <w:iCs w:val="0"/>
          <w:sz w:val="22"/>
          <w:szCs w:val="22"/>
        </w:rPr>
      </w:pPr>
      <w:r>
        <w:t>4.1</w:t>
      </w:r>
      <w:r>
        <w:rPr>
          <w:rFonts w:asciiTheme="minorHAnsi" w:eastAsiaTheme="minorEastAsia" w:hAnsiTheme="minorHAnsi" w:cstheme="minorBidi"/>
          <w:iCs w:val="0"/>
          <w:sz w:val="22"/>
          <w:szCs w:val="22"/>
        </w:rPr>
        <w:tab/>
      </w:r>
      <w:r>
        <w:t>Data</w:t>
      </w:r>
      <w:r>
        <w:tab/>
      </w:r>
      <w:r>
        <w:fldChar w:fldCharType="begin"/>
      </w:r>
      <w:r>
        <w:instrText xml:space="preserve"> PAGEREF _Toc126909346 \h </w:instrText>
      </w:r>
      <w:r>
        <w:fldChar w:fldCharType="separate"/>
      </w:r>
      <w:r w:rsidR="00724227">
        <w:t>56</w:t>
      </w:r>
      <w:r>
        <w:fldChar w:fldCharType="end"/>
      </w:r>
    </w:p>
    <w:p w14:paraId="311BD937" w14:textId="34664B20" w:rsidR="004A0E19" w:rsidRDefault="004A0E19">
      <w:pPr>
        <w:pStyle w:val="Obsah2"/>
        <w:rPr>
          <w:rFonts w:asciiTheme="minorHAnsi" w:eastAsiaTheme="minorEastAsia" w:hAnsiTheme="minorHAnsi" w:cstheme="minorBidi"/>
          <w:iCs w:val="0"/>
          <w:sz w:val="22"/>
          <w:szCs w:val="22"/>
        </w:rPr>
      </w:pPr>
      <w:r>
        <w:t>4.2</w:t>
      </w:r>
      <w:r>
        <w:rPr>
          <w:rFonts w:asciiTheme="minorHAnsi" w:eastAsiaTheme="minorEastAsia" w:hAnsiTheme="minorHAnsi" w:cstheme="minorBidi"/>
          <w:iCs w:val="0"/>
          <w:sz w:val="22"/>
          <w:szCs w:val="22"/>
        </w:rPr>
        <w:tab/>
      </w:r>
      <w:r>
        <w:t>Metody</w:t>
      </w:r>
      <w:r>
        <w:tab/>
      </w:r>
      <w:r>
        <w:fldChar w:fldCharType="begin"/>
      </w:r>
      <w:r>
        <w:instrText xml:space="preserve"> PAGEREF _Toc126909347 \h </w:instrText>
      </w:r>
      <w:r>
        <w:fldChar w:fldCharType="separate"/>
      </w:r>
      <w:r w:rsidR="00724227">
        <w:t>65</w:t>
      </w:r>
      <w:r>
        <w:fldChar w:fldCharType="end"/>
      </w:r>
    </w:p>
    <w:p w14:paraId="1468E6D4" w14:textId="2A0F44EF" w:rsidR="004A0E19" w:rsidRDefault="004A0E19">
      <w:pPr>
        <w:pStyle w:val="Obsah2"/>
        <w:rPr>
          <w:rFonts w:asciiTheme="minorHAnsi" w:eastAsiaTheme="minorEastAsia" w:hAnsiTheme="minorHAnsi" w:cstheme="minorBidi"/>
          <w:iCs w:val="0"/>
          <w:sz w:val="22"/>
          <w:szCs w:val="22"/>
        </w:rPr>
      </w:pPr>
      <w:r>
        <w:t>4.3</w:t>
      </w:r>
      <w:r>
        <w:rPr>
          <w:rFonts w:asciiTheme="minorHAnsi" w:eastAsiaTheme="minorEastAsia" w:hAnsiTheme="minorHAnsi" w:cstheme="minorBidi"/>
          <w:iCs w:val="0"/>
          <w:sz w:val="22"/>
          <w:szCs w:val="22"/>
        </w:rPr>
        <w:tab/>
      </w:r>
      <w:r>
        <w:t>Evaluace metod</w:t>
      </w:r>
      <w:r>
        <w:tab/>
      </w:r>
      <w:r>
        <w:fldChar w:fldCharType="begin"/>
      </w:r>
      <w:r>
        <w:instrText xml:space="preserve"> PAGEREF _Toc126909348 \h </w:instrText>
      </w:r>
      <w:r>
        <w:fldChar w:fldCharType="separate"/>
      </w:r>
      <w:r w:rsidR="00724227">
        <w:t>66</w:t>
      </w:r>
      <w:r>
        <w:fldChar w:fldCharType="end"/>
      </w:r>
    </w:p>
    <w:p w14:paraId="176C104F" w14:textId="3BADD807" w:rsidR="004A0E19" w:rsidRDefault="004A0E19">
      <w:pPr>
        <w:pStyle w:val="Obsah1"/>
        <w:rPr>
          <w:rFonts w:asciiTheme="minorHAnsi" w:eastAsiaTheme="minorEastAsia" w:hAnsiTheme="minorHAnsi" w:cstheme="minorBidi"/>
          <w:b w:val="0"/>
          <w:color w:val="auto"/>
          <w:sz w:val="22"/>
          <w:szCs w:val="22"/>
        </w:rPr>
      </w:pPr>
      <w:r>
        <w:t>5</w:t>
      </w:r>
      <w:r>
        <w:rPr>
          <w:rFonts w:asciiTheme="minorHAnsi" w:eastAsiaTheme="minorEastAsia" w:hAnsiTheme="minorHAnsi" w:cstheme="minorBidi"/>
          <w:b w:val="0"/>
          <w:color w:val="auto"/>
          <w:sz w:val="22"/>
          <w:szCs w:val="22"/>
        </w:rPr>
        <w:tab/>
      </w:r>
      <w:r>
        <w:t>Citační síťová analýza: teoretické právní otázky</w:t>
      </w:r>
      <w:r>
        <w:tab/>
      </w:r>
      <w:r>
        <w:fldChar w:fldCharType="begin"/>
      </w:r>
      <w:r>
        <w:instrText xml:space="preserve"> PAGEREF _Toc126909349 \h </w:instrText>
      </w:r>
      <w:r>
        <w:fldChar w:fldCharType="separate"/>
      </w:r>
      <w:r w:rsidR="00724227">
        <w:t>73</w:t>
      </w:r>
      <w:r>
        <w:fldChar w:fldCharType="end"/>
      </w:r>
    </w:p>
    <w:p w14:paraId="27BA7081" w14:textId="5831EA94" w:rsidR="004A0E19" w:rsidRDefault="004A0E19">
      <w:pPr>
        <w:pStyle w:val="Obsah2"/>
        <w:rPr>
          <w:rFonts w:asciiTheme="minorHAnsi" w:eastAsiaTheme="minorEastAsia" w:hAnsiTheme="minorHAnsi" w:cstheme="minorBidi"/>
          <w:iCs w:val="0"/>
          <w:sz w:val="22"/>
          <w:szCs w:val="22"/>
        </w:rPr>
      </w:pPr>
      <w:r>
        <w:t>5.1</w:t>
      </w:r>
      <w:r>
        <w:rPr>
          <w:rFonts w:asciiTheme="minorHAnsi" w:eastAsiaTheme="minorEastAsia" w:hAnsiTheme="minorHAnsi" w:cstheme="minorBidi"/>
          <w:iCs w:val="0"/>
          <w:sz w:val="22"/>
          <w:szCs w:val="22"/>
        </w:rPr>
        <w:tab/>
      </w:r>
      <w:r>
        <w:t>Statistické proměnné a jejich význam</w:t>
      </w:r>
      <w:r>
        <w:tab/>
      </w:r>
      <w:r>
        <w:fldChar w:fldCharType="begin"/>
      </w:r>
      <w:r>
        <w:instrText xml:space="preserve"> PAGEREF _Toc126909350 \h </w:instrText>
      </w:r>
      <w:r>
        <w:fldChar w:fldCharType="separate"/>
      </w:r>
      <w:r w:rsidR="00724227">
        <w:t>74</w:t>
      </w:r>
      <w:r>
        <w:fldChar w:fldCharType="end"/>
      </w:r>
    </w:p>
    <w:p w14:paraId="367ADB7B" w14:textId="5AA91C28" w:rsidR="004A0E19" w:rsidRDefault="004A0E19">
      <w:pPr>
        <w:pStyle w:val="Obsah2"/>
        <w:rPr>
          <w:rFonts w:asciiTheme="minorHAnsi" w:eastAsiaTheme="minorEastAsia" w:hAnsiTheme="minorHAnsi" w:cstheme="minorBidi"/>
          <w:iCs w:val="0"/>
          <w:sz w:val="22"/>
          <w:szCs w:val="22"/>
        </w:rPr>
      </w:pPr>
      <w:r>
        <w:t>5.2</w:t>
      </w:r>
      <w:r>
        <w:rPr>
          <w:rFonts w:asciiTheme="minorHAnsi" w:eastAsiaTheme="minorEastAsia" w:hAnsiTheme="minorHAnsi" w:cstheme="minorBidi"/>
          <w:iCs w:val="0"/>
          <w:sz w:val="22"/>
          <w:szCs w:val="22"/>
        </w:rPr>
        <w:tab/>
      </w:r>
      <w:r>
        <w:t>Síťové proměnné a jejich význam</w:t>
      </w:r>
      <w:r>
        <w:tab/>
      </w:r>
      <w:r>
        <w:fldChar w:fldCharType="begin"/>
      </w:r>
      <w:r>
        <w:instrText xml:space="preserve"> PAGEREF _Toc126909351 \h </w:instrText>
      </w:r>
      <w:r>
        <w:fldChar w:fldCharType="separate"/>
      </w:r>
      <w:r w:rsidR="00724227">
        <w:t>82</w:t>
      </w:r>
      <w:r>
        <w:fldChar w:fldCharType="end"/>
      </w:r>
    </w:p>
    <w:p w14:paraId="2242D6A0" w14:textId="2D72F446" w:rsidR="004A0E19" w:rsidRDefault="004A0E19">
      <w:pPr>
        <w:pStyle w:val="Obsah2"/>
        <w:rPr>
          <w:rFonts w:asciiTheme="minorHAnsi" w:eastAsiaTheme="minorEastAsia" w:hAnsiTheme="minorHAnsi" w:cstheme="minorBidi"/>
          <w:iCs w:val="0"/>
          <w:sz w:val="22"/>
          <w:szCs w:val="22"/>
        </w:rPr>
      </w:pPr>
      <w:r>
        <w:t>5.3</w:t>
      </w:r>
      <w:r>
        <w:rPr>
          <w:rFonts w:asciiTheme="minorHAnsi" w:eastAsiaTheme="minorEastAsia" w:hAnsiTheme="minorHAnsi" w:cstheme="minorBidi"/>
          <w:iCs w:val="0"/>
          <w:sz w:val="22"/>
          <w:szCs w:val="22"/>
        </w:rPr>
        <w:tab/>
      </w:r>
      <w:r>
        <w:t>Dílčí závěr</w:t>
      </w:r>
      <w:r>
        <w:tab/>
      </w:r>
      <w:r>
        <w:fldChar w:fldCharType="begin"/>
      </w:r>
      <w:r>
        <w:instrText xml:space="preserve"> PAGEREF _Toc126909352 \h </w:instrText>
      </w:r>
      <w:r>
        <w:fldChar w:fldCharType="separate"/>
      </w:r>
      <w:r w:rsidR="00724227">
        <w:t>106</w:t>
      </w:r>
      <w:r>
        <w:fldChar w:fldCharType="end"/>
      </w:r>
    </w:p>
    <w:p w14:paraId="793082E6" w14:textId="0209C171" w:rsidR="004A0E19" w:rsidRDefault="004A0E19">
      <w:pPr>
        <w:pStyle w:val="Obsah1"/>
        <w:rPr>
          <w:rFonts w:asciiTheme="minorHAnsi" w:eastAsiaTheme="minorEastAsia" w:hAnsiTheme="minorHAnsi" w:cstheme="minorBidi"/>
          <w:b w:val="0"/>
          <w:color w:val="auto"/>
          <w:sz w:val="22"/>
          <w:szCs w:val="22"/>
        </w:rPr>
      </w:pPr>
      <w:r>
        <w:t>6</w:t>
      </w:r>
      <w:r>
        <w:rPr>
          <w:rFonts w:asciiTheme="minorHAnsi" w:eastAsiaTheme="minorEastAsia" w:hAnsiTheme="minorHAnsi" w:cstheme="minorBidi"/>
          <w:b w:val="0"/>
          <w:color w:val="auto"/>
          <w:sz w:val="22"/>
          <w:szCs w:val="22"/>
        </w:rPr>
        <w:tab/>
      </w:r>
      <w:r>
        <w:t>Citační síťová analýza: experiment k vyhledávání soudních rozhodnutí</w:t>
      </w:r>
      <w:r>
        <w:tab/>
      </w:r>
      <w:r>
        <w:fldChar w:fldCharType="begin"/>
      </w:r>
      <w:r>
        <w:instrText xml:space="preserve"> PAGEREF _Toc126909353 \h </w:instrText>
      </w:r>
      <w:r>
        <w:fldChar w:fldCharType="separate"/>
      </w:r>
      <w:r w:rsidR="00724227">
        <w:t>107</w:t>
      </w:r>
      <w:r>
        <w:fldChar w:fldCharType="end"/>
      </w:r>
    </w:p>
    <w:p w14:paraId="551ABC65" w14:textId="27588CBF" w:rsidR="004A0E19" w:rsidRDefault="004A0E19">
      <w:pPr>
        <w:pStyle w:val="Obsah2"/>
        <w:rPr>
          <w:rFonts w:asciiTheme="minorHAnsi" w:eastAsiaTheme="minorEastAsia" w:hAnsiTheme="minorHAnsi" w:cstheme="minorBidi"/>
          <w:iCs w:val="0"/>
          <w:sz w:val="22"/>
          <w:szCs w:val="22"/>
        </w:rPr>
      </w:pPr>
      <w:r>
        <w:t>6.1</w:t>
      </w:r>
      <w:r>
        <w:rPr>
          <w:rFonts w:asciiTheme="minorHAnsi" w:eastAsiaTheme="minorEastAsia" w:hAnsiTheme="minorHAnsi" w:cstheme="minorBidi"/>
          <w:iCs w:val="0"/>
          <w:sz w:val="22"/>
          <w:szCs w:val="22"/>
        </w:rPr>
        <w:tab/>
      </w:r>
      <w:r>
        <w:t>Identifikace důležitých rozhodnutí v síti pomocí authority score</w:t>
      </w:r>
      <w:r>
        <w:tab/>
      </w:r>
      <w:r>
        <w:fldChar w:fldCharType="begin"/>
      </w:r>
      <w:r>
        <w:instrText xml:space="preserve"> PAGEREF _Toc126909354 \h </w:instrText>
      </w:r>
      <w:r>
        <w:fldChar w:fldCharType="separate"/>
      </w:r>
      <w:r w:rsidR="00724227">
        <w:t>110</w:t>
      </w:r>
      <w:r>
        <w:fldChar w:fldCharType="end"/>
      </w:r>
    </w:p>
    <w:p w14:paraId="7DBA5EDB" w14:textId="53EB1E32" w:rsidR="004A0E19" w:rsidRDefault="004A0E19">
      <w:pPr>
        <w:pStyle w:val="Obsah2"/>
        <w:rPr>
          <w:rFonts w:asciiTheme="minorHAnsi" w:eastAsiaTheme="minorEastAsia" w:hAnsiTheme="minorHAnsi" w:cstheme="minorBidi"/>
          <w:iCs w:val="0"/>
          <w:sz w:val="22"/>
          <w:szCs w:val="22"/>
        </w:rPr>
      </w:pPr>
      <w:r>
        <w:lastRenderedPageBreak/>
        <w:t>6.2</w:t>
      </w:r>
      <w:r>
        <w:rPr>
          <w:rFonts w:asciiTheme="minorHAnsi" w:eastAsiaTheme="minorEastAsia" w:hAnsiTheme="minorHAnsi" w:cstheme="minorBidi"/>
          <w:iCs w:val="0"/>
          <w:sz w:val="22"/>
          <w:szCs w:val="22"/>
        </w:rPr>
        <w:tab/>
      </w:r>
      <w:r>
        <w:t>Evaluační metodologie</w:t>
      </w:r>
      <w:r>
        <w:tab/>
      </w:r>
      <w:r>
        <w:fldChar w:fldCharType="begin"/>
      </w:r>
      <w:r>
        <w:instrText xml:space="preserve"> PAGEREF _Toc126909355 \h </w:instrText>
      </w:r>
      <w:r>
        <w:fldChar w:fldCharType="separate"/>
      </w:r>
      <w:r w:rsidR="00724227">
        <w:t>111</w:t>
      </w:r>
      <w:r>
        <w:fldChar w:fldCharType="end"/>
      </w:r>
    </w:p>
    <w:p w14:paraId="71D5F489" w14:textId="54609A15" w:rsidR="004A0E19" w:rsidRDefault="004A0E19">
      <w:pPr>
        <w:pStyle w:val="Obsah1"/>
        <w:rPr>
          <w:rFonts w:asciiTheme="minorHAnsi" w:eastAsiaTheme="minorEastAsia" w:hAnsiTheme="minorHAnsi" w:cstheme="minorBidi"/>
          <w:b w:val="0"/>
          <w:color w:val="auto"/>
          <w:sz w:val="22"/>
          <w:szCs w:val="22"/>
        </w:rPr>
      </w:pPr>
      <w:r>
        <w:t>7</w:t>
      </w:r>
      <w:r>
        <w:rPr>
          <w:rFonts w:asciiTheme="minorHAnsi" w:eastAsiaTheme="minorEastAsia" w:hAnsiTheme="minorHAnsi" w:cstheme="minorBidi"/>
          <w:b w:val="0"/>
          <w:color w:val="auto"/>
          <w:sz w:val="22"/>
          <w:szCs w:val="22"/>
        </w:rPr>
        <w:tab/>
      </w:r>
      <w:r>
        <w:t>Sémantická podobnost soudních rozhodnutí</w:t>
      </w:r>
      <w:r>
        <w:tab/>
      </w:r>
      <w:r>
        <w:fldChar w:fldCharType="begin"/>
      </w:r>
      <w:r>
        <w:instrText xml:space="preserve"> PAGEREF _Toc126909356 \h </w:instrText>
      </w:r>
      <w:r>
        <w:fldChar w:fldCharType="separate"/>
      </w:r>
      <w:r w:rsidR="00724227">
        <w:t>114</w:t>
      </w:r>
      <w:r>
        <w:fldChar w:fldCharType="end"/>
      </w:r>
    </w:p>
    <w:p w14:paraId="38132B13" w14:textId="480B51FD" w:rsidR="004A0E19" w:rsidRDefault="004A0E19">
      <w:pPr>
        <w:pStyle w:val="Obsah2"/>
        <w:rPr>
          <w:rFonts w:asciiTheme="minorHAnsi" w:eastAsiaTheme="minorEastAsia" w:hAnsiTheme="minorHAnsi" w:cstheme="minorBidi"/>
          <w:iCs w:val="0"/>
          <w:sz w:val="22"/>
          <w:szCs w:val="22"/>
        </w:rPr>
      </w:pPr>
      <w:r>
        <w:t>7.1</w:t>
      </w:r>
      <w:r>
        <w:rPr>
          <w:rFonts w:asciiTheme="minorHAnsi" w:eastAsiaTheme="minorEastAsia" w:hAnsiTheme="minorHAnsi" w:cstheme="minorBidi"/>
          <w:iCs w:val="0"/>
          <w:sz w:val="22"/>
          <w:szCs w:val="22"/>
        </w:rPr>
        <w:tab/>
      </w:r>
      <w:r>
        <w:t>Trénování doc2vec modelu</w:t>
      </w:r>
      <w:r>
        <w:tab/>
      </w:r>
      <w:r>
        <w:fldChar w:fldCharType="begin"/>
      </w:r>
      <w:r>
        <w:instrText xml:space="preserve"> PAGEREF _Toc126909357 \h </w:instrText>
      </w:r>
      <w:r>
        <w:fldChar w:fldCharType="separate"/>
      </w:r>
      <w:r w:rsidR="00724227">
        <w:t>119</w:t>
      </w:r>
      <w:r>
        <w:fldChar w:fldCharType="end"/>
      </w:r>
    </w:p>
    <w:p w14:paraId="526842C1" w14:textId="60E2BFEB" w:rsidR="004A0E19" w:rsidRDefault="004A0E19">
      <w:pPr>
        <w:pStyle w:val="Obsah2"/>
        <w:rPr>
          <w:rFonts w:asciiTheme="minorHAnsi" w:eastAsiaTheme="minorEastAsia" w:hAnsiTheme="minorHAnsi" w:cstheme="minorBidi"/>
          <w:iCs w:val="0"/>
          <w:sz w:val="22"/>
          <w:szCs w:val="22"/>
        </w:rPr>
      </w:pPr>
      <w:r>
        <w:t>7.2</w:t>
      </w:r>
      <w:r>
        <w:rPr>
          <w:rFonts w:asciiTheme="minorHAnsi" w:eastAsiaTheme="minorEastAsia" w:hAnsiTheme="minorHAnsi" w:cstheme="minorBidi"/>
          <w:iCs w:val="0"/>
          <w:sz w:val="22"/>
          <w:szCs w:val="22"/>
        </w:rPr>
        <w:tab/>
      </w:r>
      <w:r>
        <w:t>Evaluační metodologie</w:t>
      </w:r>
      <w:r>
        <w:tab/>
      </w:r>
      <w:r>
        <w:fldChar w:fldCharType="begin"/>
      </w:r>
      <w:r>
        <w:instrText xml:space="preserve"> PAGEREF _Toc126909358 \h </w:instrText>
      </w:r>
      <w:r>
        <w:fldChar w:fldCharType="separate"/>
      </w:r>
      <w:r w:rsidR="00724227">
        <w:t>122</w:t>
      </w:r>
      <w:r>
        <w:fldChar w:fldCharType="end"/>
      </w:r>
    </w:p>
    <w:p w14:paraId="04D5D190" w14:textId="1C775B1D" w:rsidR="004A0E19" w:rsidRDefault="004A0E19">
      <w:pPr>
        <w:pStyle w:val="Obsah1"/>
        <w:rPr>
          <w:rFonts w:asciiTheme="minorHAnsi" w:eastAsiaTheme="minorEastAsia" w:hAnsiTheme="minorHAnsi" w:cstheme="minorBidi"/>
          <w:b w:val="0"/>
          <w:color w:val="auto"/>
          <w:sz w:val="22"/>
          <w:szCs w:val="22"/>
        </w:rPr>
      </w:pPr>
      <w:r>
        <w:t>8</w:t>
      </w:r>
      <w:r>
        <w:rPr>
          <w:rFonts w:asciiTheme="minorHAnsi" w:eastAsiaTheme="minorEastAsia" w:hAnsiTheme="minorHAnsi" w:cstheme="minorBidi"/>
          <w:b w:val="0"/>
          <w:color w:val="auto"/>
          <w:sz w:val="22"/>
          <w:szCs w:val="22"/>
        </w:rPr>
        <w:tab/>
      </w:r>
      <w:r>
        <w:t>Modelování témat soudních rozhodnutí</w:t>
      </w:r>
      <w:r>
        <w:tab/>
      </w:r>
      <w:r>
        <w:fldChar w:fldCharType="begin"/>
      </w:r>
      <w:r>
        <w:instrText xml:space="preserve"> PAGEREF _Toc126909359 \h </w:instrText>
      </w:r>
      <w:r>
        <w:fldChar w:fldCharType="separate"/>
      </w:r>
      <w:r w:rsidR="00724227">
        <w:t>124</w:t>
      </w:r>
      <w:r>
        <w:fldChar w:fldCharType="end"/>
      </w:r>
    </w:p>
    <w:p w14:paraId="19D546EC" w14:textId="56B7FF12" w:rsidR="004A0E19" w:rsidRDefault="004A0E19">
      <w:pPr>
        <w:pStyle w:val="Obsah2"/>
        <w:rPr>
          <w:rFonts w:asciiTheme="minorHAnsi" w:eastAsiaTheme="minorEastAsia" w:hAnsiTheme="minorHAnsi" w:cstheme="minorBidi"/>
          <w:iCs w:val="0"/>
          <w:sz w:val="22"/>
          <w:szCs w:val="22"/>
        </w:rPr>
      </w:pPr>
      <w:r>
        <w:t>8.1</w:t>
      </w:r>
      <w:r>
        <w:rPr>
          <w:rFonts w:asciiTheme="minorHAnsi" w:eastAsiaTheme="minorEastAsia" w:hAnsiTheme="minorHAnsi" w:cstheme="minorBidi"/>
          <w:iCs w:val="0"/>
          <w:sz w:val="22"/>
          <w:szCs w:val="22"/>
        </w:rPr>
        <w:tab/>
      </w:r>
      <w:r>
        <w:t>Trénování LDA a NMF modelů</w:t>
      </w:r>
      <w:r>
        <w:tab/>
      </w:r>
      <w:r>
        <w:fldChar w:fldCharType="begin"/>
      </w:r>
      <w:r>
        <w:instrText xml:space="preserve"> PAGEREF _Toc126909360 \h </w:instrText>
      </w:r>
      <w:r>
        <w:fldChar w:fldCharType="separate"/>
      </w:r>
      <w:r w:rsidR="00724227">
        <w:t>129</w:t>
      </w:r>
      <w:r>
        <w:fldChar w:fldCharType="end"/>
      </w:r>
    </w:p>
    <w:p w14:paraId="260E9BC2" w14:textId="6C1E3B19" w:rsidR="004A0E19" w:rsidRDefault="004A0E19">
      <w:pPr>
        <w:pStyle w:val="Obsah2"/>
        <w:rPr>
          <w:rFonts w:asciiTheme="minorHAnsi" w:eastAsiaTheme="minorEastAsia" w:hAnsiTheme="minorHAnsi" w:cstheme="minorBidi"/>
          <w:iCs w:val="0"/>
          <w:sz w:val="22"/>
          <w:szCs w:val="22"/>
        </w:rPr>
      </w:pPr>
      <w:r>
        <w:t>8.2</w:t>
      </w:r>
      <w:r>
        <w:rPr>
          <w:rFonts w:asciiTheme="minorHAnsi" w:eastAsiaTheme="minorEastAsia" w:hAnsiTheme="minorHAnsi" w:cstheme="minorBidi"/>
          <w:iCs w:val="0"/>
          <w:sz w:val="22"/>
          <w:szCs w:val="22"/>
        </w:rPr>
        <w:tab/>
      </w:r>
      <w:r>
        <w:t>Evaluační metodologie</w:t>
      </w:r>
      <w:r>
        <w:tab/>
      </w:r>
      <w:r>
        <w:fldChar w:fldCharType="begin"/>
      </w:r>
      <w:r>
        <w:instrText xml:space="preserve"> PAGEREF _Toc126909361 \h </w:instrText>
      </w:r>
      <w:r>
        <w:fldChar w:fldCharType="separate"/>
      </w:r>
      <w:r w:rsidR="00724227">
        <w:t>132</w:t>
      </w:r>
      <w:r>
        <w:fldChar w:fldCharType="end"/>
      </w:r>
    </w:p>
    <w:p w14:paraId="197A3B05" w14:textId="2681FBE4" w:rsidR="004A0E19" w:rsidRDefault="004A0E19">
      <w:pPr>
        <w:pStyle w:val="Obsah1"/>
        <w:rPr>
          <w:rFonts w:asciiTheme="minorHAnsi" w:eastAsiaTheme="minorEastAsia" w:hAnsiTheme="minorHAnsi" w:cstheme="minorBidi"/>
          <w:b w:val="0"/>
          <w:color w:val="auto"/>
          <w:sz w:val="22"/>
          <w:szCs w:val="22"/>
        </w:rPr>
      </w:pPr>
      <w:r>
        <w:t>9</w:t>
      </w:r>
      <w:r>
        <w:rPr>
          <w:rFonts w:asciiTheme="minorHAnsi" w:eastAsiaTheme="minorEastAsia" w:hAnsiTheme="minorHAnsi" w:cstheme="minorBidi"/>
          <w:b w:val="0"/>
          <w:color w:val="auto"/>
          <w:sz w:val="22"/>
          <w:szCs w:val="22"/>
        </w:rPr>
        <w:tab/>
      </w:r>
      <w:r>
        <w:t>Vícevrstvá aplikace metod</w:t>
      </w:r>
      <w:r>
        <w:tab/>
      </w:r>
      <w:r>
        <w:fldChar w:fldCharType="begin"/>
      </w:r>
      <w:r>
        <w:instrText xml:space="preserve"> PAGEREF _Toc126909362 \h </w:instrText>
      </w:r>
      <w:r>
        <w:fldChar w:fldCharType="separate"/>
      </w:r>
      <w:r w:rsidR="00724227">
        <w:t>136</w:t>
      </w:r>
      <w:r>
        <w:fldChar w:fldCharType="end"/>
      </w:r>
    </w:p>
    <w:p w14:paraId="0136E49E" w14:textId="6875CF3D" w:rsidR="004A0E19" w:rsidRDefault="004A0E19">
      <w:pPr>
        <w:pStyle w:val="Obsah2"/>
        <w:rPr>
          <w:rFonts w:asciiTheme="minorHAnsi" w:eastAsiaTheme="minorEastAsia" w:hAnsiTheme="minorHAnsi" w:cstheme="minorBidi"/>
          <w:iCs w:val="0"/>
          <w:sz w:val="22"/>
          <w:szCs w:val="22"/>
        </w:rPr>
      </w:pPr>
      <w:r>
        <w:t>9.1</w:t>
      </w:r>
      <w:r>
        <w:rPr>
          <w:rFonts w:asciiTheme="minorHAnsi" w:eastAsiaTheme="minorEastAsia" w:hAnsiTheme="minorHAnsi" w:cstheme="minorBidi"/>
          <w:iCs w:val="0"/>
          <w:sz w:val="22"/>
          <w:szCs w:val="22"/>
        </w:rPr>
        <w:tab/>
      </w:r>
      <w:r>
        <w:t>Metodologie vícevrstvé aplikace metod</w:t>
      </w:r>
      <w:r>
        <w:tab/>
      </w:r>
      <w:r>
        <w:fldChar w:fldCharType="begin"/>
      </w:r>
      <w:r>
        <w:instrText xml:space="preserve"> PAGEREF _Toc126909363 \h </w:instrText>
      </w:r>
      <w:r>
        <w:fldChar w:fldCharType="separate"/>
      </w:r>
      <w:r w:rsidR="00724227">
        <w:t>137</w:t>
      </w:r>
      <w:r>
        <w:fldChar w:fldCharType="end"/>
      </w:r>
    </w:p>
    <w:p w14:paraId="31ED44E9" w14:textId="2649F094" w:rsidR="004A0E19" w:rsidRDefault="004A0E19">
      <w:pPr>
        <w:pStyle w:val="Obsah2"/>
        <w:rPr>
          <w:rFonts w:asciiTheme="minorHAnsi" w:eastAsiaTheme="minorEastAsia" w:hAnsiTheme="minorHAnsi" w:cstheme="minorBidi"/>
          <w:iCs w:val="0"/>
          <w:sz w:val="22"/>
          <w:szCs w:val="22"/>
        </w:rPr>
      </w:pPr>
      <w:r>
        <w:t>9.2</w:t>
      </w:r>
      <w:r>
        <w:rPr>
          <w:rFonts w:asciiTheme="minorHAnsi" w:eastAsiaTheme="minorEastAsia" w:hAnsiTheme="minorHAnsi" w:cstheme="minorBidi"/>
          <w:iCs w:val="0"/>
          <w:sz w:val="22"/>
          <w:szCs w:val="22"/>
        </w:rPr>
        <w:tab/>
      </w:r>
      <w:r>
        <w:t>Evaluační metodologie</w:t>
      </w:r>
      <w:r>
        <w:tab/>
      </w:r>
      <w:r>
        <w:fldChar w:fldCharType="begin"/>
      </w:r>
      <w:r>
        <w:instrText xml:space="preserve"> PAGEREF _Toc126909364 \h </w:instrText>
      </w:r>
      <w:r>
        <w:fldChar w:fldCharType="separate"/>
      </w:r>
      <w:r w:rsidR="00724227">
        <w:t>139</w:t>
      </w:r>
      <w:r>
        <w:fldChar w:fldCharType="end"/>
      </w:r>
    </w:p>
    <w:p w14:paraId="76796B5F" w14:textId="5C0056B3" w:rsidR="004A0E19" w:rsidRDefault="004A0E19">
      <w:pPr>
        <w:pStyle w:val="Obsah1"/>
        <w:rPr>
          <w:rFonts w:asciiTheme="minorHAnsi" w:eastAsiaTheme="minorEastAsia" w:hAnsiTheme="minorHAnsi" w:cstheme="minorBidi"/>
          <w:b w:val="0"/>
          <w:color w:val="auto"/>
          <w:sz w:val="22"/>
          <w:szCs w:val="22"/>
        </w:rPr>
      </w:pPr>
      <w:r>
        <w:t>10</w:t>
      </w:r>
      <w:r>
        <w:rPr>
          <w:rFonts w:asciiTheme="minorHAnsi" w:eastAsiaTheme="minorEastAsia" w:hAnsiTheme="minorHAnsi" w:cstheme="minorBidi"/>
          <w:b w:val="0"/>
          <w:color w:val="auto"/>
          <w:sz w:val="22"/>
          <w:szCs w:val="22"/>
        </w:rPr>
        <w:tab/>
      </w:r>
      <w:r>
        <w:t>Výsledky experimentů a diskuze</w:t>
      </w:r>
      <w:r>
        <w:tab/>
      </w:r>
      <w:r>
        <w:fldChar w:fldCharType="begin"/>
      </w:r>
      <w:r>
        <w:instrText xml:space="preserve"> PAGEREF _Toc126909365 \h </w:instrText>
      </w:r>
      <w:r>
        <w:fldChar w:fldCharType="separate"/>
      </w:r>
      <w:r w:rsidR="00724227">
        <w:t>141</w:t>
      </w:r>
      <w:r>
        <w:fldChar w:fldCharType="end"/>
      </w:r>
    </w:p>
    <w:p w14:paraId="2B1900DB" w14:textId="057EAEAE" w:rsidR="004A0E19" w:rsidRDefault="004A0E19">
      <w:pPr>
        <w:pStyle w:val="Obsah2"/>
        <w:rPr>
          <w:rFonts w:asciiTheme="minorHAnsi" w:eastAsiaTheme="minorEastAsia" w:hAnsiTheme="minorHAnsi" w:cstheme="minorBidi"/>
          <w:iCs w:val="0"/>
          <w:sz w:val="22"/>
          <w:szCs w:val="22"/>
        </w:rPr>
      </w:pPr>
      <w:r>
        <w:t>10.1</w:t>
      </w:r>
      <w:r>
        <w:rPr>
          <w:rFonts w:asciiTheme="minorHAnsi" w:eastAsiaTheme="minorEastAsia" w:hAnsiTheme="minorHAnsi" w:cstheme="minorBidi"/>
          <w:iCs w:val="0"/>
          <w:sz w:val="22"/>
          <w:szCs w:val="22"/>
        </w:rPr>
        <w:tab/>
      </w:r>
      <w:r>
        <w:t>Výsledky evaluace citační síťové analýzy</w:t>
      </w:r>
      <w:r>
        <w:tab/>
      </w:r>
      <w:r>
        <w:fldChar w:fldCharType="begin"/>
      </w:r>
      <w:r>
        <w:instrText xml:space="preserve"> PAGEREF _Toc126909366 \h </w:instrText>
      </w:r>
      <w:r>
        <w:fldChar w:fldCharType="separate"/>
      </w:r>
      <w:r w:rsidR="00724227">
        <w:t>142</w:t>
      </w:r>
      <w:r>
        <w:fldChar w:fldCharType="end"/>
      </w:r>
    </w:p>
    <w:p w14:paraId="79428BA0" w14:textId="64D8233A" w:rsidR="004A0E19" w:rsidRDefault="004A0E19">
      <w:pPr>
        <w:pStyle w:val="Obsah2"/>
        <w:rPr>
          <w:rFonts w:asciiTheme="minorHAnsi" w:eastAsiaTheme="minorEastAsia" w:hAnsiTheme="minorHAnsi" w:cstheme="minorBidi"/>
          <w:iCs w:val="0"/>
          <w:sz w:val="22"/>
          <w:szCs w:val="22"/>
        </w:rPr>
      </w:pPr>
      <w:r>
        <w:t>10.2</w:t>
      </w:r>
      <w:r>
        <w:rPr>
          <w:rFonts w:asciiTheme="minorHAnsi" w:eastAsiaTheme="minorEastAsia" w:hAnsiTheme="minorHAnsi" w:cstheme="minorBidi"/>
          <w:iCs w:val="0"/>
          <w:sz w:val="22"/>
          <w:szCs w:val="22"/>
        </w:rPr>
        <w:tab/>
      </w:r>
      <w:r>
        <w:t>Výsledky evaluace doc2vec modelu</w:t>
      </w:r>
      <w:r>
        <w:tab/>
      </w:r>
      <w:r>
        <w:fldChar w:fldCharType="begin"/>
      </w:r>
      <w:r>
        <w:instrText xml:space="preserve"> PAGEREF _Toc126909367 \h </w:instrText>
      </w:r>
      <w:r>
        <w:fldChar w:fldCharType="separate"/>
      </w:r>
      <w:r w:rsidR="00724227">
        <w:t>144</w:t>
      </w:r>
      <w:r>
        <w:fldChar w:fldCharType="end"/>
      </w:r>
    </w:p>
    <w:p w14:paraId="08F37090" w14:textId="01769468" w:rsidR="004A0E19" w:rsidRDefault="004A0E19">
      <w:pPr>
        <w:pStyle w:val="Obsah2"/>
        <w:rPr>
          <w:rFonts w:asciiTheme="minorHAnsi" w:eastAsiaTheme="minorEastAsia" w:hAnsiTheme="minorHAnsi" w:cstheme="minorBidi"/>
          <w:iCs w:val="0"/>
          <w:sz w:val="22"/>
          <w:szCs w:val="22"/>
        </w:rPr>
      </w:pPr>
      <w:r>
        <w:t>10.3</w:t>
      </w:r>
      <w:r>
        <w:rPr>
          <w:rFonts w:asciiTheme="minorHAnsi" w:eastAsiaTheme="minorEastAsia" w:hAnsiTheme="minorHAnsi" w:cstheme="minorBidi"/>
          <w:iCs w:val="0"/>
          <w:sz w:val="22"/>
          <w:szCs w:val="22"/>
        </w:rPr>
        <w:tab/>
      </w:r>
      <w:r>
        <w:t>Výsledky evaluace metod modelování témat</w:t>
      </w:r>
      <w:r>
        <w:tab/>
      </w:r>
      <w:r>
        <w:fldChar w:fldCharType="begin"/>
      </w:r>
      <w:r>
        <w:instrText xml:space="preserve"> PAGEREF _Toc126909368 \h </w:instrText>
      </w:r>
      <w:r>
        <w:fldChar w:fldCharType="separate"/>
      </w:r>
      <w:r w:rsidR="00724227">
        <w:t>149</w:t>
      </w:r>
      <w:r>
        <w:fldChar w:fldCharType="end"/>
      </w:r>
    </w:p>
    <w:p w14:paraId="7E320C77" w14:textId="440774DB" w:rsidR="004A0E19" w:rsidRDefault="004A0E19">
      <w:pPr>
        <w:pStyle w:val="Obsah2"/>
        <w:rPr>
          <w:rFonts w:asciiTheme="minorHAnsi" w:eastAsiaTheme="minorEastAsia" w:hAnsiTheme="minorHAnsi" w:cstheme="minorBidi"/>
          <w:iCs w:val="0"/>
          <w:sz w:val="22"/>
          <w:szCs w:val="22"/>
        </w:rPr>
      </w:pPr>
      <w:r>
        <w:t>10.4</w:t>
      </w:r>
      <w:r>
        <w:rPr>
          <w:rFonts w:asciiTheme="minorHAnsi" w:eastAsiaTheme="minorEastAsia" w:hAnsiTheme="minorHAnsi" w:cstheme="minorBidi"/>
          <w:iCs w:val="0"/>
          <w:sz w:val="22"/>
          <w:szCs w:val="22"/>
        </w:rPr>
        <w:tab/>
      </w:r>
      <w:r>
        <w:t>Výsledky evaluace vícevrstvé aplikace metod</w:t>
      </w:r>
      <w:r>
        <w:tab/>
      </w:r>
      <w:r>
        <w:fldChar w:fldCharType="begin"/>
      </w:r>
      <w:r>
        <w:instrText xml:space="preserve"> PAGEREF _Toc126909369 \h </w:instrText>
      </w:r>
      <w:r>
        <w:fldChar w:fldCharType="separate"/>
      </w:r>
      <w:r w:rsidR="00724227">
        <w:t>157</w:t>
      </w:r>
      <w:r>
        <w:fldChar w:fldCharType="end"/>
      </w:r>
    </w:p>
    <w:p w14:paraId="61152E5C" w14:textId="3B1FD05F" w:rsidR="004A0E19" w:rsidRDefault="004A0E19">
      <w:pPr>
        <w:pStyle w:val="Obsah1"/>
        <w:rPr>
          <w:rFonts w:asciiTheme="minorHAnsi" w:eastAsiaTheme="minorEastAsia" w:hAnsiTheme="minorHAnsi" w:cstheme="minorBidi"/>
          <w:b w:val="0"/>
          <w:color w:val="auto"/>
          <w:sz w:val="22"/>
          <w:szCs w:val="22"/>
        </w:rPr>
      </w:pPr>
      <w:r>
        <w:t>11</w:t>
      </w:r>
      <w:r>
        <w:rPr>
          <w:rFonts w:asciiTheme="minorHAnsi" w:eastAsiaTheme="minorEastAsia" w:hAnsiTheme="minorHAnsi" w:cstheme="minorBidi"/>
          <w:b w:val="0"/>
          <w:color w:val="auto"/>
          <w:sz w:val="22"/>
          <w:szCs w:val="22"/>
        </w:rPr>
        <w:tab/>
      </w:r>
      <w:r>
        <w:t>Subjektivnost evaluace</w:t>
      </w:r>
      <w:r>
        <w:tab/>
      </w:r>
      <w:r>
        <w:fldChar w:fldCharType="begin"/>
      </w:r>
      <w:r>
        <w:instrText xml:space="preserve"> PAGEREF _Toc126909370 \h </w:instrText>
      </w:r>
      <w:r>
        <w:fldChar w:fldCharType="separate"/>
      </w:r>
      <w:r w:rsidR="00724227">
        <w:t>160</w:t>
      </w:r>
      <w:r>
        <w:fldChar w:fldCharType="end"/>
      </w:r>
    </w:p>
    <w:p w14:paraId="04A06674" w14:textId="0F7AF67F" w:rsidR="004A0E19" w:rsidRDefault="004A0E19">
      <w:pPr>
        <w:pStyle w:val="Obsah2"/>
        <w:rPr>
          <w:rFonts w:asciiTheme="minorHAnsi" w:eastAsiaTheme="minorEastAsia" w:hAnsiTheme="minorHAnsi" w:cstheme="minorBidi"/>
          <w:iCs w:val="0"/>
          <w:sz w:val="22"/>
          <w:szCs w:val="22"/>
        </w:rPr>
      </w:pPr>
      <w:r>
        <w:t>11.1</w:t>
      </w:r>
      <w:r>
        <w:rPr>
          <w:rFonts w:asciiTheme="minorHAnsi" w:eastAsiaTheme="minorEastAsia" w:hAnsiTheme="minorHAnsi" w:cstheme="minorBidi"/>
          <w:iCs w:val="0"/>
          <w:sz w:val="22"/>
          <w:szCs w:val="22"/>
        </w:rPr>
        <w:tab/>
      </w:r>
      <w:r>
        <w:t>Subjektivnost evaluace citační síťové analýzy a doc2vec modelu</w:t>
      </w:r>
      <w:r>
        <w:tab/>
      </w:r>
      <w:r>
        <w:fldChar w:fldCharType="begin"/>
      </w:r>
      <w:r>
        <w:instrText xml:space="preserve"> PAGEREF _Toc126909371 \h </w:instrText>
      </w:r>
      <w:r>
        <w:fldChar w:fldCharType="separate"/>
      </w:r>
      <w:r w:rsidR="00724227">
        <w:t>161</w:t>
      </w:r>
      <w:r>
        <w:fldChar w:fldCharType="end"/>
      </w:r>
    </w:p>
    <w:p w14:paraId="18871A41" w14:textId="22CA8267" w:rsidR="004A0E19" w:rsidRDefault="004A0E19">
      <w:pPr>
        <w:pStyle w:val="Obsah2"/>
        <w:rPr>
          <w:rFonts w:asciiTheme="minorHAnsi" w:eastAsiaTheme="minorEastAsia" w:hAnsiTheme="minorHAnsi" w:cstheme="minorBidi"/>
          <w:iCs w:val="0"/>
          <w:sz w:val="22"/>
          <w:szCs w:val="22"/>
        </w:rPr>
      </w:pPr>
      <w:r>
        <w:t>11.2</w:t>
      </w:r>
      <w:r>
        <w:rPr>
          <w:rFonts w:asciiTheme="minorHAnsi" w:eastAsiaTheme="minorEastAsia" w:hAnsiTheme="minorHAnsi" w:cstheme="minorBidi"/>
          <w:iCs w:val="0"/>
          <w:sz w:val="22"/>
          <w:szCs w:val="22"/>
        </w:rPr>
        <w:tab/>
      </w:r>
      <w:r>
        <w:t>Subjektivnost evaluace metod modelování témat</w:t>
      </w:r>
      <w:r>
        <w:tab/>
      </w:r>
      <w:r>
        <w:fldChar w:fldCharType="begin"/>
      </w:r>
      <w:r>
        <w:instrText xml:space="preserve"> PAGEREF _Toc126909372 \h </w:instrText>
      </w:r>
      <w:r>
        <w:fldChar w:fldCharType="separate"/>
      </w:r>
      <w:r w:rsidR="00724227">
        <w:t>163</w:t>
      </w:r>
      <w:r>
        <w:fldChar w:fldCharType="end"/>
      </w:r>
    </w:p>
    <w:p w14:paraId="1206E63D" w14:textId="737602F6" w:rsidR="004A0E19" w:rsidRDefault="004A0E19">
      <w:pPr>
        <w:pStyle w:val="Obsah2"/>
        <w:rPr>
          <w:rFonts w:asciiTheme="minorHAnsi" w:eastAsiaTheme="minorEastAsia" w:hAnsiTheme="minorHAnsi" w:cstheme="minorBidi"/>
          <w:iCs w:val="0"/>
          <w:sz w:val="22"/>
          <w:szCs w:val="22"/>
        </w:rPr>
      </w:pPr>
      <w:r>
        <w:t>11.3</w:t>
      </w:r>
      <w:r>
        <w:rPr>
          <w:rFonts w:asciiTheme="minorHAnsi" w:eastAsiaTheme="minorEastAsia" w:hAnsiTheme="minorHAnsi" w:cstheme="minorBidi"/>
          <w:iCs w:val="0"/>
          <w:sz w:val="22"/>
          <w:szCs w:val="22"/>
        </w:rPr>
        <w:tab/>
      </w:r>
      <w:r>
        <w:t>Výsledky a diskuze hodnocení subjektivnosti</w:t>
      </w:r>
      <w:r>
        <w:tab/>
      </w:r>
      <w:r>
        <w:fldChar w:fldCharType="begin"/>
      </w:r>
      <w:r>
        <w:instrText xml:space="preserve"> PAGEREF _Toc126909373 \h </w:instrText>
      </w:r>
      <w:r>
        <w:fldChar w:fldCharType="separate"/>
      </w:r>
      <w:r w:rsidR="00724227">
        <w:t>164</w:t>
      </w:r>
      <w:r>
        <w:fldChar w:fldCharType="end"/>
      </w:r>
    </w:p>
    <w:p w14:paraId="2DBB7599" w14:textId="28CAC6CE" w:rsidR="004A0E19" w:rsidRDefault="004A0E19">
      <w:pPr>
        <w:pStyle w:val="Obsah1"/>
        <w:rPr>
          <w:rFonts w:asciiTheme="minorHAnsi" w:eastAsiaTheme="minorEastAsia" w:hAnsiTheme="minorHAnsi" w:cstheme="minorBidi"/>
          <w:b w:val="0"/>
          <w:color w:val="auto"/>
          <w:sz w:val="22"/>
          <w:szCs w:val="22"/>
        </w:rPr>
      </w:pPr>
      <w:r>
        <w:t>12</w:t>
      </w:r>
      <w:r>
        <w:rPr>
          <w:rFonts w:asciiTheme="minorHAnsi" w:eastAsiaTheme="minorEastAsia" w:hAnsiTheme="minorHAnsi" w:cstheme="minorBidi"/>
          <w:b w:val="0"/>
          <w:color w:val="auto"/>
          <w:sz w:val="22"/>
          <w:szCs w:val="22"/>
        </w:rPr>
        <w:tab/>
      </w:r>
      <w:r>
        <w:t>Závěr</w:t>
      </w:r>
      <w:r>
        <w:tab/>
      </w:r>
      <w:r>
        <w:fldChar w:fldCharType="begin"/>
      </w:r>
      <w:r>
        <w:instrText xml:space="preserve"> PAGEREF _Toc126909374 \h </w:instrText>
      </w:r>
      <w:r>
        <w:fldChar w:fldCharType="separate"/>
      </w:r>
      <w:r w:rsidR="00724227">
        <w:t>166</w:t>
      </w:r>
      <w:r>
        <w:fldChar w:fldCharType="end"/>
      </w:r>
    </w:p>
    <w:p w14:paraId="0B9B3458" w14:textId="691B964A" w:rsidR="004A0E19" w:rsidRDefault="004A0E19">
      <w:pPr>
        <w:pStyle w:val="Obsah1"/>
        <w:rPr>
          <w:rFonts w:asciiTheme="minorHAnsi" w:eastAsiaTheme="minorEastAsia" w:hAnsiTheme="minorHAnsi" w:cstheme="minorBidi"/>
          <w:b w:val="0"/>
          <w:color w:val="auto"/>
          <w:sz w:val="22"/>
          <w:szCs w:val="22"/>
        </w:rPr>
      </w:pPr>
      <w:r>
        <w:t>Použité zdroje</w:t>
      </w:r>
      <w:r>
        <w:tab/>
      </w:r>
      <w:r>
        <w:fldChar w:fldCharType="begin"/>
      </w:r>
      <w:r>
        <w:instrText xml:space="preserve"> PAGEREF _Toc126909375 \h </w:instrText>
      </w:r>
      <w:r>
        <w:fldChar w:fldCharType="separate"/>
      </w:r>
      <w:r w:rsidR="00724227">
        <w:t>171</w:t>
      </w:r>
      <w:r>
        <w:fldChar w:fldCharType="end"/>
      </w:r>
    </w:p>
    <w:p w14:paraId="221F0CAB" w14:textId="5C33CB90" w:rsidR="00F5609F" w:rsidRPr="00746487" w:rsidRDefault="00825A03" w:rsidP="00A2558D">
      <w:pPr>
        <w:pStyle w:val="Dalodstavce"/>
      </w:pPr>
      <w:r w:rsidRPr="00746487">
        <w:fldChar w:fldCharType="end"/>
      </w:r>
    </w:p>
    <w:p w14:paraId="1C35BE36" w14:textId="77777777" w:rsidR="00A639A6" w:rsidRPr="00746487" w:rsidRDefault="00A639A6" w:rsidP="00A2558D">
      <w:pPr>
        <w:pStyle w:val="Dalodstavce"/>
        <w:sectPr w:rsidR="00A639A6" w:rsidRPr="00746487" w:rsidSect="002A18FA">
          <w:headerReference w:type="even" r:id="rId23"/>
          <w:headerReference w:type="default" r:id="rId24"/>
          <w:footerReference w:type="default" r:id="rId25"/>
          <w:type w:val="oddPage"/>
          <w:pgSz w:w="11906" w:h="16838" w:code="9"/>
          <w:pgMar w:top="2380" w:right="2020" w:bottom="2380" w:left="2020" w:header="1900" w:footer="1280" w:gutter="500"/>
          <w:cols w:space="708"/>
          <w:docGrid w:linePitch="360"/>
        </w:sectPr>
      </w:pPr>
    </w:p>
    <w:p w14:paraId="54CED909" w14:textId="77777777" w:rsidR="008B1BE6" w:rsidRPr="00746487" w:rsidRDefault="008B1BE6" w:rsidP="008B1BE6">
      <w:pPr>
        <w:pStyle w:val="Nadpis10"/>
      </w:pPr>
      <w:bookmarkStart w:id="5" w:name="_Toc126909332"/>
      <w:r w:rsidRPr="00746487">
        <w:lastRenderedPageBreak/>
        <w:t>Seznam obrázků</w:t>
      </w:r>
      <w:bookmarkEnd w:id="5"/>
    </w:p>
    <w:p w14:paraId="1F091B69" w14:textId="47113C59" w:rsidR="00A430BE" w:rsidRDefault="004668F5">
      <w:pPr>
        <w:pStyle w:val="Seznamobrzk"/>
        <w:tabs>
          <w:tab w:val="right" w:leader="dot" w:pos="7356"/>
        </w:tabs>
        <w:rPr>
          <w:rFonts w:asciiTheme="minorHAnsi" w:eastAsiaTheme="minorEastAsia" w:hAnsiTheme="minorHAnsi" w:cstheme="minorBidi"/>
          <w:noProof/>
          <w:sz w:val="22"/>
          <w:szCs w:val="22"/>
        </w:rPr>
      </w:pPr>
      <w:r w:rsidRPr="00746487">
        <w:rPr>
          <w:noProof/>
        </w:rPr>
        <w:fldChar w:fldCharType="begin"/>
      </w:r>
      <w:r w:rsidRPr="00746487">
        <w:rPr>
          <w:noProof/>
        </w:rPr>
        <w:instrText xml:space="preserve"> TOC \h \z \c "Obr." </w:instrText>
      </w:r>
      <w:r w:rsidRPr="00746487">
        <w:rPr>
          <w:noProof/>
        </w:rPr>
        <w:fldChar w:fldCharType="separate"/>
      </w:r>
      <w:hyperlink w:anchor="_Toc126874169" w:history="1">
        <w:r w:rsidR="00A430BE" w:rsidRPr="00437191">
          <w:rPr>
            <w:rStyle w:val="Hypertextovodkaz"/>
            <w:noProof/>
          </w:rPr>
          <w:t>Obr. 1: Vývoj počtu rozhodnutí obsahujících alespoň jednu citaci a neobsahujících žádnou citaci, součet za všechny roky</w:t>
        </w:r>
        <w:r w:rsidR="00A430BE">
          <w:rPr>
            <w:noProof/>
            <w:webHidden/>
          </w:rPr>
          <w:tab/>
        </w:r>
        <w:r w:rsidR="00A430BE">
          <w:rPr>
            <w:noProof/>
            <w:webHidden/>
          </w:rPr>
          <w:fldChar w:fldCharType="begin"/>
        </w:r>
        <w:r w:rsidR="00A430BE">
          <w:rPr>
            <w:noProof/>
            <w:webHidden/>
          </w:rPr>
          <w:instrText xml:space="preserve"> PAGEREF _Toc126874169 \h </w:instrText>
        </w:r>
        <w:r w:rsidR="00A430BE">
          <w:rPr>
            <w:noProof/>
            <w:webHidden/>
          </w:rPr>
        </w:r>
        <w:r w:rsidR="00A430BE">
          <w:rPr>
            <w:noProof/>
            <w:webHidden/>
          </w:rPr>
          <w:fldChar w:fldCharType="separate"/>
        </w:r>
        <w:r w:rsidR="00593C0C">
          <w:rPr>
            <w:noProof/>
            <w:webHidden/>
          </w:rPr>
          <w:t>77</w:t>
        </w:r>
        <w:r w:rsidR="00A430BE">
          <w:rPr>
            <w:noProof/>
            <w:webHidden/>
          </w:rPr>
          <w:fldChar w:fldCharType="end"/>
        </w:r>
      </w:hyperlink>
    </w:p>
    <w:p w14:paraId="3B6D504E" w14:textId="675CBD6F"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0" w:history="1">
        <w:r w:rsidR="00A430BE" w:rsidRPr="00437191">
          <w:rPr>
            <w:rStyle w:val="Hypertextovodkaz"/>
            <w:noProof/>
          </w:rPr>
          <w:t>Obr. 2: Vývoj počtu rozhodnutí obsahujících alespoň jednu citaci a neobsahujících žádnou citaci, vždy pouze za daný rok</w:t>
        </w:r>
        <w:r w:rsidR="00A430BE">
          <w:rPr>
            <w:noProof/>
            <w:webHidden/>
          </w:rPr>
          <w:tab/>
        </w:r>
        <w:r w:rsidR="00A430BE">
          <w:rPr>
            <w:noProof/>
            <w:webHidden/>
          </w:rPr>
          <w:fldChar w:fldCharType="begin"/>
        </w:r>
        <w:r w:rsidR="00A430BE">
          <w:rPr>
            <w:noProof/>
            <w:webHidden/>
          </w:rPr>
          <w:instrText xml:space="preserve"> PAGEREF _Toc126874170 \h </w:instrText>
        </w:r>
        <w:r w:rsidR="00A430BE">
          <w:rPr>
            <w:noProof/>
            <w:webHidden/>
          </w:rPr>
        </w:r>
        <w:r w:rsidR="00A430BE">
          <w:rPr>
            <w:noProof/>
            <w:webHidden/>
          </w:rPr>
          <w:fldChar w:fldCharType="separate"/>
        </w:r>
        <w:r w:rsidR="00593C0C">
          <w:rPr>
            <w:noProof/>
            <w:webHidden/>
          </w:rPr>
          <w:t>78</w:t>
        </w:r>
        <w:r w:rsidR="00A430BE">
          <w:rPr>
            <w:noProof/>
            <w:webHidden/>
          </w:rPr>
          <w:fldChar w:fldCharType="end"/>
        </w:r>
      </w:hyperlink>
    </w:p>
    <w:p w14:paraId="6BAE8CE9" w14:textId="530B10AA"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1" w:history="1">
        <w:r w:rsidR="00A430BE" w:rsidRPr="00437191">
          <w:rPr>
            <w:rStyle w:val="Hypertextovodkaz"/>
            <w:noProof/>
          </w:rPr>
          <w:t>Obr. 3: Distribuce výstupních citací – Ústavní soud</w:t>
        </w:r>
        <w:r w:rsidR="00A430BE">
          <w:rPr>
            <w:noProof/>
            <w:webHidden/>
          </w:rPr>
          <w:tab/>
        </w:r>
        <w:r w:rsidR="00A430BE">
          <w:rPr>
            <w:noProof/>
            <w:webHidden/>
          </w:rPr>
          <w:fldChar w:fldCharType="begin"/>
        </w:r>
        <w:r w:rsidR="00A430BE">
          <w:rPr>
            <w:noProof/>
            <w:webHidden/>
          </w:rPr>
          <w:instrText xml:space="preserve"> PAGEREF _Toc126874171 \h </w:instrText>
        </w:r>
        <w:r w:rsidR="00A430BE">
          <w:rPr>
            <w:noProof/>
            <w:webHidden/>
          </w:rPr>
        </w:r>
        <w:r w:rsidR="00A430BE">
          <w:rPr>
            <w:noProof/>
            <w:webHidden/>
          </w:rPr>
          <w:fldChar w:fldCharType="separate"/>
        </w:r>
        <w:r w:rsidR="00593C0C">
          <w:rPr>
            <w:noProof/>
            <w:webHidden/>
          </w:rPr>
          <w:t>86</w:t>
        </w:r>
        <w:r w:rsidR="00A430BE">
          <w:rPr>
            <w:noProof/>
            <w:webHidden/>
          </w:rPr>
          <w:fldChar w:fldCharType="end"/>
        </w:r>
      </w:hyperlink>
    </w:p>
    <w:p w14:paraId="2260B8EA" w14:textId="1BABD46E"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2" w:history="1">
        <w:r w:rsidR="00A430BE" w:rsidRPr="00437191">
          <w:rPr>
            <w:rStyle w:val="Hypertextovodkaz"/>
            <w:noProof/>
          </w:rPr>
          <w:t>Obr. 4: Distribuce výstupních citací – Nejvyšší soud</w:t>
        </w:r>
        <w:r w:rsidR="00A430BE">
          <w:rPr>
            <w:noProof/>
            <w:webHidden/>
          </w:rPr>
          <w:tab/>
        </w:r>
        <w:r w:rsidR="00A430BE">
          <w:rPr>
            <w:noProof/>
            <w:webHidden/>
          </w:rPr>
          <w:fldChar w:fldCharType="begin"/>
        </w:r>
        <w:r w:rsidR="00A430BE">
          <w:rPr>
            <w:noProof/>
            <w:webHidden/>
          </w:rPr>
          <w:instrText xml:space="preserve"> PAGEREF _Toc126874172 \h </w:instrText>
        </w:r>
        <w:r w:rsidR="00A430BE">
          <w:rPr>
            <w:noProof/>
            <w:webHidden/>
          </w:rPr>
        </w:r>
        <w:r w:rsidR="00A430BE">
          <w:rPr>
            <w:noProof/>
            <w:webHidden/>
          </w:rPr>
          <w:fldChar w:fldCharType="separate"/>
        </w:r>
        <w:r w:rsidR="00593C0C">
          <w:rPr>
            <w:noProof/>
            <w:webHidden/>
          </w:rPr>
          <w:t>87</w:t>
        </w:r>
        <w:r w:rsidR="00A430BE">
          <w:rPr>
            <w:noProof/>
            <w:webHidden/>
          </w:rPr>
          <w:fldChar w:fldCharType="end"/>
        </w:r>
      </w:hyperlink>
    </w:p>
    <w:p w14:paraId="73A29CA1" w14:textId="0FFB5932"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3" w:history="1">
        <w:r w:rsidR="00A430BE" w:rsidRPr="00437191">
          <w:rPr>
            <w:rStyle w:val="Hypertextovodkaz"/>
            <w:noProof/>
          </w:rPr>
          <w:t>Obr. 5: Distribuce výstupních citací – Nejvyšší správní soud</w:t>
        </w:r>
        <w:r w:rsidR="00A430BE">
          <w:rPr>
            <w:noProof/>
            <w:webHidden/>
          </w:rPr>
          <w:tab/>
        </w:r>
        <w:r w:rsidR="00A430BE">
          <w:rPr>
            <w:noProof/>
            <w:webHidden/>
          </w:rPr>
          <w:fldChar w:fldCharType="begin"/>
        </w:r>
        <w:r w:rsidR="00A430BE">
          <w:rPr>
            <w:noProof/>
            <w:webHidden/>
          </w:rPr>
          <w:instrText xml:space="preserve"> PAGEREF _Toc126874173 \h </w:instrText>
        </w:r>
        <w:r w:rsidR="00A430BE">
          <w:rPr>
            <w:noProof/>
            <w:webHidden/>
          </w:rPr>
        </w:r>
        <w:r w:rsidR="00A430BE">
          <w:rPr>
            <w:noProof/>
            <w:webHidden/>
          </w:rPr>
          <w:fldChar w:fldCharType="separate"/>
        </w:r>
        <w:r w:rsidR="00593C0C">
          <w:rPr>
            <w:noProof/>
            <w:webHidden/>
          </w:rPr>
          <w:t>87</w:t>
        </w:r>
        <w:r w:rsidR="00A430BE">
          <w:rPr>
            <w:noProof/>
            <w:webHidden/>
          </w:rPr>
          <w:fldChar w:fldCharType="end"/>
        </w:r>
      </w:hyperlink>
    </w:p>
    <w:p w14:paraId="405FD276" w14:textId="0951E3C2"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4" w:history="1">
        <w:r w:rsidR="00A430BE" w:rsidRPr="00437191">
          <w:rPr>
            <w:rStyle w:val="Hypertextovodkaz"/>
            <w:noProof/>
          </w:rPr>
          <w:t>Obr. 6: Distribuce vstupního stupně – Ústavní soud</w:t>
        </w:r>
        <w:r w:rsidR="00A430BE">
          <w:rPr>
            <w:noProof/>
            <w:webHidden/>
          </w:rPr>
          <w:tab/>
        </w:r>
        <w:r w:rsidR="00A430BE">
          <w:rPr>
            <w:noProof/>
            <w:webHidden/>
          </w:rPr>
          <w:fldChar w:fldCharType="begin"/>
        </w:r>
        <w:r w:rsidR="00A430BE">
          <w:rPr>
            <w:noProof/>
            <w:webHidden/>
          </w:rPr>
          <w:instrText xml:space="preserve"> PAGEREF _Toc126874174 \h </w:instrText>
        </w:r>
        <w:r w:rsidR="00A430BE">
          <w:rPr>
            <w:noProof/>
            <w:webHidden/>
          </w:rPr>
        </w:r>
        <w:r w:rsidR="00A430BE">
          <w:rPr>
            <w:noProof/>
            <w:webHidden/>
          </w:rPr>
          <w:fldChar w:fldCharType="separate"/>
        </w:r>
        <w:r w:rsidR="00593C0C">
          <w:rPr>
            <w:noProof/>
            <w:webHidden/>
          </w:rPr>
          <w:t>88</w:t>
        </w:r>
        <w:r w:rsidR="00A430BE">
          <w:rPr>
            <w:noProof/>
            <w:webHidden/>
          </w:rPr>
          <w:fldChar w:fldCharType="end"/>
        </w:r>
      </w:hyperlink>
    </w:p>
    <w:p w14:paraId="3719CA04" w14:textId="6AACE305"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5" w:history="1">
        <w:r w:rsidR="00A430BE" w:rsidRPr="00437191">
          <w:rPr>
            <w:rStyle w:val="Hypertextovodkaz"/>
            <w:noProof/>
          </w:rPr>
          <w:t>Obr. 7: Distribuce vstupního stupně – Nejvyšší soud</w:t>
        </w:r>
        <w:r w:rsidR="00A430BE">
          <w:rPr>
            <w:noProof/>
            <w:webHidden/>
          </w:rPr>
          <w:tab/>
        </w:r>
        <w:r w:rsidR="00A430BE">
          <w:rPr>
            <w:noProof/>
            <w:webHidden/>
          </w:rPr>
          <w:fldChar w:fldCharType="begin"/>
        </w:r>
        <w:r w:rsidR="00A430BE">
          <w:rPr>
            <w:noProof/>
            <w:webHidden/>
          </w:rPr>
          <w:instrText xml:space="preserve"> PAGEREF _Toc126874175 \h </w:instrText>
        </w:r>
        <w:r w:rsidR="00A430BE">
          <w:rPr>
            <w:noProof/>
            <w:webHidden/>
          </w:rPr>
        </w:r>
        <w:r w:rsidR="00A430BE">
          <w:rPr>
            <w:noProof/>
            <w:webHidden/>
          </w:rPr>
          <w:fldChar w:fldCharType="separate"/>
        </w:r>
        <w:r w:rsidR="00593C0C">
          <w:rPr>
            <w:noProof/>
            <w:webHidden/>
          </w:rPr>
          <w:t>88</w:t>
        </w:r>
        <w:r w:rsidR="00A430BE">
          <w:rPr>
            <w:noProof/>
            <w:webHidden/>
          </w:rPr>
          <w:fldChar w:fldCharType="end"/>
        </w:r>
      </w:hyperlink>
    </w:p>
    <w:p w14:paraId="7367CA6D" w14:textId="3ED40A09"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6" w:history="1">
        <w:r w:rsidR="00A430BE" w:rsidRPr="00437191">
          <w:rPr>
            <w:rStyle w:val="Hypertextovodkaz"/>
            <w:noProof/>
          </w:rPr>
          <w:t>Obr. 8: Distribuce vstupního stupně – Nejvyšší správní soud</w:t>
        </w:r>
        <w:r w:rsidR="00A430BE">
          <w:rPr>
            <w:noProof/>
            <w:webHidden/>
          </w:rPr>
          <w:tab/>
        </w:r>
        <w:r w:rsidR="00A430BE">
          <w:rPr>
            <w:noProof/>
            <w:webHidden/>
          </w:rPr>
          <w:fldChar w:fldCharType="begin"/>
        </w:r>
        <w:r w:rsidR="00A430BE">
          <w:rPr>
            <w:noProof/>
            <w:webHidden/>
          </w:rPr>
          <w:instrText xml:space="preserve"> PAGEREF _Toc126874176 \h </w:instrText>
        </w:r>
        <w:r w:rsidR="00A430BE">
          <w:rPr>
            <w:noProof/>
            <w:webHidden/>
          </w:rPr>
        </w:r>
        <w:r w:rsidR="00A430BE">
          <w:rPr>
            <w:noProof/>
            <w:webHidden/>
          </w:rPr>
          <w:fldChar w:fldCharType="separate"/>
        </w:r>
        <w:r w:rsidR="00593C0C">
          <w:rPr>
            <w:noProof/>
            <w:webHidden/>
          </w:rPr>
          <w:t>89</w:t>
        </w:r>
        <w:r w:rsidR="00A430BE">
          <w:rPr>
            <w:noProof/>
            <w:webHidden/>
          </w:rPr>
          <w:fldChar w:fldCharType="end"/>
        </w:r>
      </w:hyperlink>
    </w:p>
    <w:p w14:paraId="6FCDA2AB" w14:textId="0565DA2A"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7" w:history="1">
        <w:r w:rsidR="00A430BE" w:rsidRPr="00437191">
          <w:rPr>
            <w:rStyle w:val="Hypertextovodkaz"/>
            <w:noProof/>
          </w:rPr>
          <w:t>Obr. 9: Distribuce vstupního a výstupního stupně - SDEU</w:t>
        </w:r>
        <w:r w:rsidR="00A430BE">
          <w:rPr>
            <w:noProof/>
            <w:webHidden/>
          </w:rPr>
          <w:tab/>
        </w:r>
        <w:r w:rsidR="00A430BE">
          <w:rPr>
            <w:noProof/>
            <w:webHidden/>
          </w:rPr>
          <w:fldChar w:fldCharType="begin"/>
        </w:r>
        <w:r w:rsidR="00A430BE">
          <w:rPr>
            <w:noProof/>
            <w:webHidden/>
          </w:rPr>
          <w:instrText xml:space="preserve"> PAGEREF _Toc126874177 \h </w:instrText>
        </w:r>
        <w:r w:rsidR="00A430BE">
          <w:rPr>
            <w:noProof/>
            <w:webHidden/>
          </w:rPr>
        </w:r>
        <w:r w:rsidR="00A430BE">
          <w:rPr>
            <w:noProof/>
            <w:webHidden/>
          </w:rPr>
          <w:fldChar w:fldCharType="separate"/>
        </w:r>
        <w:r w:rsidR="00593C0C">
          <w:rPr>
            <w:noProof/>
            <w:webHidden/>
          </w:rPr>
          <w:t>89</w:t>
        </w:r>
        <w:r w:rsidR="00A430BE">
          <w:rPr>
            <w:noProof/>
            <w:webHidden/>
          </w:rPr>
          <w:fldChar w:fldCharType="end"/>
        </w:r>
      </w:hyperlink>
    </w:p>
    <w:p w14:paraId="3EE669B1" w14:textId="3AAF1901"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8" w:history="1">
        <w:r w:rsidR="00A430BE" w:rsidRPr="00437191">
          <w:rPr>
            <w:rStyle w:val="Hypertextovodkaz"/>
            <w:noProof/>
          </w:rPr>
          <w:t>Obr. 10: Distribuce vstupního a výstupního stupně – Nejvyšší soud USA</w:t>
        </w:r>
        <w:r w:rsidR="00A430BE">
          <w:rPr>
            <w:noProof/>
            <w:webHidden/>
          </w:rPr>
          <w:tab/>
        </w:r>
        <w:r w:rsidR="00A430BE">
          <w:rPr>
            <w:noProof/>
            <w:webHidden/>
          </w:rPr>
          <w:fldChar w:fldCharType="begin"/>
        </w:r>
        <w:r w:rsidR="00A430BE">
          <w:rPr>
            <w:noProof/>
            <w:webHidden/>
          </w:rPr>
          <w:instrText xml:space="preserve"> PAGEREF _Toc126874178 \h </w:instrText>
        </w:r>
        <w:r w:rsidR="00A430BE">
          <w:rPr>
            <w:noProof/>
            <w:webHidden/>
          </w:rPr>
        </w:r>
        <w:r w:rsidR="00A430BE">
          <w:rPr>
            <w:noProof/>
            <w:webHidden/>
          </w:rPr>
          <w:fldChar w:fldCharType="separate"/>
        </w:r>
        <w:r w:rsidR="00593C0C">
          <w:rPr>
            <w:noProof/>
            <w:webHidden/>
          </w:rPr>
          <w:t>90</w:t>
        </w:r>
        <w:r w:rsidR="00A430BE">
          <w:rPr>
            <w:noProof/>
            <w:webHidden/>
          </w:rPr>
          <w:fldChar w:fldCharType="end"/>
        </w:r>
      </w:hyperlink>
    </w:p>
    <w:p w14:paraId="2871709C" w14:textId="1B099D24"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79" w:history="1">
        <w:r w:rsidR="00A430BE" w:rsidRPr="00437191">
          <w:rPr>
            <w:rStyle w:val="Hypertextovodkaz"/>
            <w:noProof/>
          </w:rPr>
          <w:t>Obr. 11: Vývoj počtu rozhodnutí obsahujících alespoň jednu citaci a neobsahujících žádnou citaci – Ústavní soud</w:t>
        </w:r>
        <w:r w:rsidR="00A430BE">
          <w:rPr>
            <w:noProof/>
            <w:webHidden/>
          </w:rPr>
          <w:tab/>
        </w:r>
        <w:r w:rsidR="00A430BE">
          <w:rPr>
            <w:noProof/>
            <w:webHidden/>
          </w:rPr>
          <w:fldChar w:fldCharType="begin"/>
        </w:r>
        <w:r w:rsidR="00A430BE">
          <w:rPr>
            <w:noProof/>
            <w:webHidden/>
          </w:rPr>
          <w:instrText xml:space="preserve"> PAGEREF _Toc126874179 \h </w:instrText>
        </w:r>
        <w:r w:rsidR="00A430BE">
          <w:rPr>
            <w:noProof/>
            <w:webHidden/>
          </w:rPr>
        </w:r>
        <w:r w:rsidR="00A430BE">
          <w:rPr>
            <w:noProof/>
            <w:webHidden/>
          </w:rPr>
          <w:fldChar w:fldCharType="separate"/>
        </w:r>
        <w:r w:rsidR="00593C0C">
          <w:rPr>
            <w:noProof/>
            <w:webHidden/>
          </w:rPr>
          <w:t>91</w:t>
        </w:r>
        <w:r w:rsidR="00A430BE">
          <w:rPr>
            <w:noProof/>
            <w:webHidden/>
          </w:rPr>
          <w:fldChar w:fldCharType="end"/>
        </w:r>
      </w:hyperlink>
    </w:p>
    <w:p w14:paraId="22F9EB30" w14:textId="5C6251C0"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0" w:history="1">
        <w:r w:rsidR="00A430BE" w:rsidRPr="00437191">
          <w:rPr>
            <w:rStyle w:val="Hypertextovodkaz"/>
            <w:noProof/>
          </w:rPr>
          <w:t>Obr. 12: Vývoj počtu rozhodnutí obsahujících alespoň jednu citaci a neobsahujících žádnou citaci – Nejvyšší soud</w:t>
        </w:r>
        <w:r w:rsidR="00A430BE">
          <w:rPr>
            <w:noProof/>
            <w:webHidden/>
          </w:rPr>
          <w:tab/>
        </w:r>
        <w:r w:rsidR="00A430BE">
          <w:rPr>
            <w:noProof/>
            <w:webHidden/>
          </w:rPr>
          <w:fldChar w:fldCharType="begin"/>
        </w:r>
        <w:r w:rsidR="00A430BE">
          <w:rPr>
            <w:noProof/>
            <w:webHidden/>
          </w:rPr>
          <w:instrText xml:space="preserve"> PAGEREF _Toc126874180 \h </w:instrText>
        </w:r>
        <w:r w:rsidR="00A430BE">
          <w:rPr>
            <w:noProof/>
            <w:webHidden/>
          </w:rPr>
        </w:r>
        <w:r w:rsidR="00A430BE">
          <w:rPr>
            <w:noProof/>
            <w:webHidden/>
          </w:rPr>
          <w:fldChar w:fldCharType="separate"/>
        </w:r>
        <w:r w:rsidR="00593C0C">
          <w:rPr>
            <w:noProof/>
            <w:webHidden/>
          </w:rPr>
          <w:t>91</w:t>
        </w:r>
        <w:r w:rsidR="00A430BE">
          <w:rPr>
            <w:noProof/>
            <w:webHidden/>
          </w:rPr>
          <w:fldChar w:fldCharType="end"/>
        </w:r>
      </w:hyperlink>
    </w:p>
    <w:p w14:paraId="68C05418" w14:textId="070658AC"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1" w:history="1">
        <w:r w:rsidR="00A430BE" w:rsidRPr="00437191">
          <w:rPr>
            <w:rStyle w:val="Hypertextovodkaz"/>
            <w:noProof/>
          </w:rPr>
          <w:t>Obr. 13: Vývoj počtu rozhodnutí obsahujících alespoň jednu citaci a neobsahujících žádnou citaci – Nejvyšší správní soud</w:t>
        </w:r>
        <w:r w:rsidR="00A430BE">
          <w:rPr>
            <w:noProof/>
            <w:webHidden/>
          </w:rPr>
          <w:tab/>
        </w:r>
        <w:r w:rsidR="00A430BE">
          <w:rPr>
            <w:noProof/>
            <w:webHidden/>
          </w:rPr>
          <w:fldChar w:fldCharType="begin"/>
        </w:r>
        <w:r w:rsidR="00A430BE">
          <w:rPr>
            <w:noProof/>
            <w:webHidden/>
          </w:rPr>
          <w:instrText xml:space="preserve"> PAGEREF _Toc126874181 \h </w:instrText>
        </w:r>
        <w:r w:rsidR="00A430BE">
          <w:rPr>
            <w:noProof/>
            <w:webHidden/>
          </w:rPr>
        </w:r>
        <w:r w:rsidR="00A430BE">
          <w:rPr>
            <w:noProof/>
            <w:webHidden/>
          </w:rPr>
          <w:fldChar w:fldCharType="separate"/>
        </w:r>
        <w:r w:rsidR="00593C0C">
          <w:rPr>
            <w:noProof/>
            <w:webHidden/>
          </w:rPr>
          <w:t>92</w:t>
        </w:r>
        <w:r w:rsidR="00A430BE">
          <w:rPr>
            <w:noProof/>
            <w:webHidden/>
          </w:rPr>
          <w:fldChar w:fldCharType="end"/>
        </w:r>
      </w:hyperlink>
    </w:p>
    <w:p w14:paraId="35671DBF" w14:textId="3DC9CC56"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2" w:history="1">
        <w:r w:rsidR="00A430BE" w:rsidRPr="00437191">
          <w:rPr>
            <w:rStyle w:val="Hypertextovodkaz"/>
            <w:noProof/>
          </w:rPr>
          <w:t>Obr. 14: Průměr a medián výstupních stupňů – Ústavní soud</w:t>
        </w:r>
        <w:r w:rsidR="00A430BE">
          <w:rPr>
            <w:noProof/>
            <w:webHidden/>
          </w:rPr>
          <w:tab/>
        </w:r>
        <w:r w:rsidR="00A430BE">
          <w:rPr>
            <w:noProof/>
            <w:webHidden/>
          </w:rPr>
          <w:fldChar w:fldCharType="begin"/>
        </w:r>
        <w:r w:rsidR="00A430BE">
          <w:rPr>
            <w:noProof/>
            <w:webHidden/>
          </w:rPr>
          <w:instrText xml:space="preserve"> PAGEREF _Toc126874182 \h </w:instrText>
        </w:r>
        <w:r w:rsidR="00A430BE">
          <w:rPr>
            <w:noProof/>
            <w:webHidden/>
          </w:rPr>
        </w:r>
        <w:r w:rsidR="00A430BE">
          <w:rPr>
            <w:noProof/>
            <w:webHidden/>
          </w:rPr>
          <w:fldChar w:fldCharType="separate"/>
        </w:r>
        <w:r w:rsidR="00593C0C">
          <w:rPr>
            <w:noProof/>
            <w:webHidden/>
          </w:rPr>
          <w:t>94</w:t>
        </w:r>
        <w:r w:rsidR="00A430BE">
          <w:rPr>
            <w:noProof/>
            <w:webHidden/>
          </w:rPr>
          <w:fldChar w:fldCharType="end"/>
        </w:r>
      </w:hyperlink>
    </w:p>
    <w:p w14:paraId="4FECF9FC" w14:textId="7DBA38D2"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3" w:history="1">
        <w:r w:rsidR="00A430BE" w:rsidRPr="00437191">
          <w:rPr>
            <w:rStyle w:val="Hypertextovodkaz"/>
            <w:noProof/>
          </w:rPr>
          <w:t>Obr. 15: Průměr a medián výstupních stupňů – Nejvyšší soud</w:t>
        </w:r>
        <w:r w:rsidR="00A430BE">
          <w:rPr>
            <w:noProof/>
            <w:webHidden/>
          </w:rPr>
          <w:tab/>
        </w:r>
        <w:r w:rsidR="00A430BE">
          <w:rPr>
            <w:noProof/>
            <w:webHidden/>
          </w:rPr>
          <w:fldChar w:fldCharType="begin"/>
        </w:r>
        <w:r w:rsidR="00A430BE">
          <w:rPr>
            <w:noProof/>
            <w:webHidden/>
          </w:rPr>
          <w:instrText xml:space="preserve"> PAGEREF _Toc126874183 \h </w:instrText>
        </w:r>
        <w:r w:rsidR="00A430BE">
          <w:rPr>
            <w:noProof/>
            <w:webHidden/>
          </w:rPr>
        </w:r>
        <w:r w:rsidR="00A430BE">
          <w:rPr>
            <w:noProof/>
            <w:webHidden/>
          </w:rPr>
          <w:fldChar w:fldCharType="separate"/>
        </w:r>
        <w:r w:rsidR="00593C0C">
          <w:rPr>
            <w:noProof/>
            <w:webHidden/>
          </w:rPr>
          <w:t>95</w:t>
        </w:r>
        <w:r w:rsidR="00A430BE">
          <w:rPr>
            <w:noProof/>
            <w:webHidden/>
          </w:rPr>
          <w:fldChar w:fldCharType="end"/>
        </w:r>
      </w:hyperlink>
    </w:p>
    <w:p w14:paraId="513F0AF8" w14:textId="73A024C0"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4" w:history="1">
        <w:r w:rsidR="00A430BE" w:rsidRPr="00437191">
          <w:rPr>
            <w:rStyle w:val="Hypertextovodkaz"/>
            <w:noProof/>
          </w:rPr>
          <w:t>Obr. 16: Průměr a medián výstupních stupňů – Nejvyšší správní soud</w:t>
        </w:r>
        <w:r w:rsidR="00A430BE">
          <w:rPr>
            <w:noProof/>
            <w:webHidden/>
          </w:rPr>
          <w:tab/>
        </w:r>
        <w:r w:rsidR="00A430BE">
          <w:rPr>
            <w:noProof/>
            <w:webHidden/>
          </w:rPr>
          <w:fldChar w:fldCharType="begin"/>
        </w:r>
        <w:r w:rsidR="00A430BE">
          <w:rPr>
            <w:noProof/>
            <w:webHidden/>
          </w:rPr>
          <w:instrText xml:space="preserve"> PAGEREF _Toc126874184 \h </w:instrText>
        </w:r>
        <w:r w:rsidR="00A430BE">
          <w:rPr>
            <w:noProof/>
            <w:webHidden/>
          </w:rPr>
        </w:r>
        <w:r w:rsidR="00A430BE">
          <w:rPr>
            <w:noProof/>
            <w:webHidden/>
          </w:rPr>
          <w:fldChar w:fldCharType="separate"/>
        </w:r>
        <w:r w:rsidR="00593C0C">
          <w:rPr>
            <w:noProof/>
            <w:webHidden/>
          </w:rPr>
          <w:t>95</w:t>
        </w:r>
        <w:r w:rsidR="00A430BE">
          <w:rPr>
            <w:noProof/>
            <w:webHidden/>
          </w:rPr>
          <w:fldChar w:fldCharType="end"/>
        </w:r>
      </w:hyperlink>
    </w:p>
    <w:p w14:paraId="7A949E70" w14:textId="7D7C1919"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5" w:history="1">
        <w:r w:rsidR="00A430BE" w:rsidRPr="00437191">
          <w:rPr>
            <w:rStyle w:val="Hypertextovodkaz"/>
            <w:noProof/>
          </w:rPr>
          <w:t>Obr. 17: Celkový počet vstupních citací a citovaných rozhodnutí v daném roce</w:t>
        </w:r>
        <w:r w:rsidR="00A430BE">
          <w:rPr>
            <w:noProof/>
            <w:webHidden/>
          </w:rPr>
          <w:tab/>
        </w:r>
        <w:r w:rsidR="00A430BE">
          <w:rPr>
            <w:noProof/>
            <w:webHidden/>
          </w:rPr>
          <w:fldChar w:fldCharType="begin"/>
        </w:r>
        <w:r w:rsidR="00A430BE">
          <w:rPr>
            <w:noProof/>
            <w:webHidden/>
          </w:rPr>
          <w:instrText xml:space="preserve"> PAGEREF _Toc126874185 \h </w:instrText>
        </w:r>
        <w:r w:rsidR="00A430BE">
          <w:rPr>
            <w:noProof/>
            <w:webHidden/>
          </w:rPr>
        </w:r>
        <w:r w:rsidR="00A430BE">
          <w:rPr>
            <w:noProof/>
            <w:webHidden/>
          </w:rPr>
          <w:fldChar w:fldCharType="separate"/>
        </w:r>
        <w:r w:rsidR="00593C0C">
          <w:rPr>
            <w:noProof/>
            <w:webHidden/>
          </w:rPr>
          <w:t>99</w:t>
        </w:r>
        <w:r w:rsidR="00A430BE">
          <w:rPr>
            <w:noProof/>
            <w:webHidden/>
          </w:rPr>
          <w:fldChar w:fldCharType="end"/>
        </w:r>
      </w:hyperlink>
    </w:p>
    <w:p w14:paraId="328F206E" w14:textId="29028BD0"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6" w:history="1">
        <w:r w:rsidR="00A430BE" w:rsidRPr="00437191">
          <w:rPr>
            <w:rStyle w:val="Hypertextovodkaz"/>
            <w:noProof/>
          </w:rPr>
          <w:t>Obr. 18: Průměrný vstupní stupeň rozhodnutí v daném roce - SDEU</w:t>
        </w:r>
        <w:r w:rsidR="00A430BE">
          <w:rPr>
            <w:noProof/>
            <w:webHidden/>
          </w:rPr>
          <w:tab/>
        </w:r>
        <w:r w:rsidR="00A430BE">
          <w:rPr>
            <w:noProof/>
            <w:webHidden/>
          </w:rPr>
          <w:fldChar w:fldCharType="begin"/>
        </w:r>
        <w:r w:rsidR="00A430BE">
          <w:rPr>
            <w:noProof/>
            <w:webHidden/>
          </w:rPr>
          <w:instrText xml:space="preserve"> PAGEREF _Toc126874186 \h </w:instrText>
        </w:r>
        <w:r w:rsidR="00A430BE">
          <w:rPr>
            <w:noProof/>
            <w:webHidden/>
          </w:rPr>
        </w:r>
        <w:r w:rsidR="00A430BE">
          <w:rPr>
            <w:noProof/>
            <w:webHidden/>
          </w:rPr>
          <w:fldChar w:fldCharType="separate"/>
        </w:r>
        <w:r w:rsidR="00593C0C">
          <w:rPr>
            <w:noProof/>
            <w:webHidden/>
          </w:rPr>
          <w:t>100</w:t>
        </w:r>
        <w:r w:rsidR="00A430BE">
          <w:rPr>
            <w:noProof/>
            <w:webHidden/>
          </w:rPr>
          <w:fldChar w:fldCharType="end"/>
        </w:r>
      </w:hyperlink>
    </w:p>
    <w:p w14:paraId="37DBEB9C" w14:textId="01537C8C"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7" w:history="1">
        <w:r w:rsidR="00A430BE" w:rsidRPr="00437191">
          <w:rPr>
            <w:rStyle w:val="Hypertextovodkaz"/>
            <w:noProof/>
          </w:rPr>
          <w:t>Obr. 19: Průměrný vstupní stupeň rozhodnutí v daném roce – Nejvyšší soud USA</w:t>
        </w:r>
        <w:r w:rsidR="00A430BE">
          <w:rPr>
            <w:noProof/>
            <w:webHidden/>
          </w:rPr>
          <w:tab/>
        </w:r>
        <w:r w:rsidR="00A430BE">
          <w:rPr>
            <w:noProof/>
            <w:webHidden/>
          </w:rPr>
          <w:fldChar w:fldCharType="begin"/>
        </w:r>
        <w:r w:rsidR="00A430BE">
          <w:rPr>
            <w:noProof/>
            <w:webHidden/>
          </w:rPr>
          <w:instrText xml:space="preserve"> PAGEREF _Toc126874187 \h </w:instrText>
        </w:r>
        <w:r w:rsidR="00A430BE">
          <w:rPr>
            <w:noProof/>
            <w:webHidden/>
          </w:rPr>
        </w:r>
        <w:r w:rsidR="00A430BE">
          <w:rPr>
            <w:noProof/>
            <w:webHidden/>
          </w:rPr>
          <w:fldChar w:fldCharType="separate"/>
        </w:r>
        <w:r w:rsidR="00593C0C">
          <w:rPr>
            <w:noProof/>
            <w:webHidden/>
          </w:rPr>
          <w:t>100</w:t>
        </w:r>
        <w:r w:rsidR="00A430BE">
          <w:rPr>
            <w:noProof/>
            <w:webHidden/>
          </w:rPr>
          <w:fldChar w:fldCharType="end"/>
        </w:r>
      </w:hyperlink>
    </w:p>
    <w:p w14:paraId="0AEA9CBD" w14:textId="0C3B531C"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8" w:history="1">
        <w:r w:rsidR="00A430BE" w:rsidRPr="00437191">
          <w:rPr>
            <w:rStyle w:val="Hypertextovodkaz"/>
            <w:noProof/>
          </w:rPr>
          <w:t>Obr. 20: Počet vstupních citací v daném roce – Ústavní soud</w:t>
        </w:r>
        <w:r w:rsidR="00A430BE">
          <w:rPr>
            <w:noProof/>
            <w:webHidden/>
          </w:rPr>
          <w:tab/>
        </w:r>
        <w:r w:rsidR="00A430BE">
          <w:rPr>
            <w:noProof/>
            <w:webHidden/>
          </w:rPr>
          <w:fldChar w:fldCharType="begin"/>
        </w:r>
        <w:r w:rsidR="00A430BE">
          <w:rPr>
            <w:noProof/>
            <w:webHidden/>
          </w:rPr>
          <w:instrText xml:space="preserve"> PAGEREF _Toc126874188 \h </w:instrText>
        </w:r>
        <w:r w:rsidR="00A430BE">
          <w:rPr>
            <w:noProof/>
            <w:webHidden/>
          </w:rPr>
        </w:r>
        <w:r w:rsidR="00A430BE">
          <w:rPr>
            <w:noProof/>
            <w:webHidden/>
          </w:rPr>
          <w:fldChar w:fldCharType="separate"/>
        </w:r>
        <w:r w:rsidR="00593C0C">
          <w:rPr>
            <w:noProof/>
            <w:webHidden/>
          </w:rPr>
          <w:t>101</w:t>
        </w:r>
        <w:r w:rsidR="00A430BE">
          <w:rPr>
            <w:noProof/>
            <w:webHidden/>
          </w:rPr>
          <w:fldChar w:fldCharType="end"/>
        </w:r>
      </w:hyperlink>
    </w:p>
    <w:p w14:paraId="658BA2B3" w14:textId="3D42211C"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89" w:history="1">
        <w:r w:rsidR="00A430BE" w:rsidRPr="00437191">
          <w:rPr>
            <w:rStyle w:val="Hypertextovodkaz"/>
            <w:noProof/>
          </w:rPr>
          <w:t>Obr. 21: Počet vstupních citací v daném roce – Nejvyšší soud</w:t>
        </w:r>
        <w:r w:rsidR="00A430BE">
          <w:rPr>
            <w:noProof/>
            <w:webHidden/>
          </w:rPr>
          <w:tab/>
        </w:r>
        <w:r w:rsidR="00A430BE">
          <w:rPr>
            <w:noProof/>
            <w:webHidden/>
          </w:rPr>
          <w:fldChar w:fldCharType="begin"/>
        </w:r>
        <w:r w:rsidR="00A430BE">
          <w:rPr>
            <w:noProof/>
            <w:webHidden/>
          </w:rPr>
          <w:instrText xml:space="preserve"> PAGEREF _Toc126874189 \h </w:instrText>
        </w:r>
        <w:r w:rsidR="00A430BE">
          <w:rPr>
            <w:noProof/>
            <w:webHidden/>
          </w:rPr>
        </w:r>
        <w:r w:rsidR="00A430BE">
          <w:rPr>
            <w:noProof/>
            <w:webHidden/>
          </w:rPr>
          <w:fldChar w:fldCharType="separate"/>
        </w:r>
        <w:r w:rsidR="00593C0C">
          <w:rPr>
            <w:noProof/>
            <w:webHidden/>
          </w:rPr>
          <w:t>102</w:t>
        </w:r>
        <w:r w:rsidR="00A430BE">
          <w:rPr>
            <w:noProof/>
            <w:webHidden/>
          </w:rPr>
          <w:fldChar w:fldCharType="end"/>
        </w:r>
      </w:hyperlink>
    </w:p>
    <w:p w14:paraId="38ED9507" w14:textId="399804B8"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0" w:history="1">
        <w:r w:rsidR="00A430BE" w:rsidRPr="00437191">
          <w:rPr>
            <w:rStyle w:val="Hypertextovodkaz"/>
            <w:noProof/>
          </w:rPr>
          <w:t>Obr. 22: Počet vstupních citací v daném roce – Nejvyšší správní soud</w:t>
        </w:r>
        <w:r w:rsidR="00A430BE">
          <w:rPr>
            <w:noProof/>
            <w:webHidden/>
          </w:rPr>
          <w:tab/>
        </w:r>
        <w:r w:rsidR="00A430BE">
          <w:rPr>
            <w:noProof/>
            <w:webHidden/>
          </w:rPr>
          <w:fldChar w:fldCharType="begin"/>
        </w:r>
        <w:r w:rsidR="00A430BE">
          <w:rPr>
            <w:noProof/>
            <w:webHidden/>
          </w:rPr>
          <w:instrText xml:space="preserve"> PAGEREF _Toc126874190 \h </w:instrText>
        </w:r>
        <w:r w:rsidR="00A430BE">
          <w:rPr>
            <w:noProof/>
            <w:webHidden/>
          </w:rPr>
        </w:r>
        <w:r w:rsidR="00A430BE">
          <w:rPr>
            <w:noProof/>
            <w:webHidden/>
          </w:rPr>
          <w:fldChar w:fldCharType="separate"/>
        </w:r>
        <w:r w:rsidR="00593C0C">
          <w:rPr>
            <w:noProof/>
            <w:webHidden/>
          </w:rPr>
          <w:t>102</w:t>
        </w:r>
        <w:r w:rsidR="00A430BE">
          <w:rPr>
            <w:noProof/>
            <w:webHidden/>
          </w:rPr>
          <w:fldChar w:fldCharType="end"/>
        </w:r>
      </w:hyperlink>
    </w:p>
    <w:p w14:paraId="0D7B0BE2" w14:textId="6EB7885C"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1" w:history="1">
        <w:r w:rsidR="00A430BE" w:rsidRPr="00437191">
          <w:rPr>
            <w:rStyle w:val="Hypertextovodkaz"/>
            <w:noProof/>
          </w:rPr>
          <w:t>Obr. 23: Porovnání CV koherenčního skóre pro LDA a NMF modely</w:t>
        </w:r>
        <w:r w:rsidR="00A430BE">
          <w:rPr>
            <w:noProof/>
            <w:webHidden/>
          </w:rPr>
          <w:tab/>
        </w:r>
        <w:r w:rsidR="00A430BE">
          <w:rPr>
            <w:noProof/>
            <w:webHidden/>
          </w:rPr>
          <w:fldChar w:fldCharType="begin"/>
        </w:r>
        <w:r w:rsidR="00A430BE">
          <w:rPr>
            <w:noProof/>
            <w:webHidden/>
          </w:rPr>
          <w:instrText xml:space="preserve"> PAGEREF _Toc126874191 \h </w:instrText>
        </w:r>
        <w:r w:rsidR="00A430BE">
          <w:rPr>
            <w:noProof/>
            <w:webHidden/>
          </w:rPr>
        </w:r>
        <w:r w:rsidR="00A430BE">
          <w:rPr>
            <w:noProof/>
            <w:webHidden/>
          </w:rPr>
          <w:fldChar w:fldCharType="separate"/>
        </w:r>
        <w:r w:rsidR="00593C0C">
          <w:rPr>
            <w:noProof/>
            <w:webHidden/>
          </w:rPr>
          <w:t>130</w:t>
        </w:r>
        <w:r w:rsidR="00A430BE">
          <w:rPr>
            <w:noProof/>
            <w:webHidden/>
          </w:rPr>
          <w:fldChar w:fldCharType="end"/>
        </w:r>
      </w:hyperlink>
    </w:p>
    <w:p w14:paraId="44838484" w14:textId="0EE6B74F"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2" w:history="1">
        <w:r w:rsidR="00A430BE" w:rsidRPr="00437191">
          <w:rPr>
            <w:rStyle w:val="Hypertextovodkaz"/>
            <w:noProof/>
          </w:rPr>
          <w:t>Obr. 24: Frekvence hodnocení důležitosti rozhodnutí s nejvyššími authority scores</w:t>
        </w:r>
        <w:r w:rsidR="00A430BE">
          <w:rPr>
            <w:noProof/>
            <w:webHidden/>
          </w:rPr>
          <w:tab/>
        </w:r>
        <w:r w:rsidR="00A430BE">
          <w:rPr>
            <w:noProof/>
            <w:webHidden/>
          </w:rPr>
          <w:fldChar w:fldCharType="begin"/>
        </w:r>
        <w:r w:rsidR="00A430BE">
          <w:rPr>
            <w:noProof/>
            <w:webHidden/>
          </w:rPr>
          <w:instrText xml:space="preserve"> PAGEREF _Toc126874192 \h </w:instrText>
        </w:r>
        <w:r w:rsidR="00A430BE">
          <w:rPr>
            <w:noProof/>
            <w:webHidden/>
          </w:rPr>
        </w:r>
        <w:r w:rsidR="00A430BE">
          <w:rPr>
            <w:noProof/>
            <w:webHidden/>
          </w:rPr>
          <w:fldChar w:fldCharType="separate"/>
        </w:r>
        <w:r w:rsidR="00593C0C">
          <w:rPr>
            <w:noProof/>
            <w:webHidden/>
          </w:rPr>
          <w:t>143</w:t>
        </w:r>
        <w:r w:rsidR="00A430BE">
          <w:rPr>
            <w:noProof/>
            <w:webHidden/>
          </w:rPr>
          <w:fldChar w:fldCharType="end"/>
        </w:r>
      </w:hyperlink>
    </w:p>
    <w:p w14:paraId="047F8443" w14:textId="36A172EB"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3" w:history="1">
        <w:r w:rsidR="00A430BE" w:rsidRPr="00437191">
          <w:rPr>
            <w:rStyle w:val="Hypertextovodkaz"/>
            <w:noProof/>
          </w:rPr>
          <w:t>Obr. 25: Frekvence hodnocení důležitosti rozhodnutí s nulovými authority scores</w:t>
        </w:r>
        <w:r w:rsidR="00A430BE">
          <w:rPr>
            <w:noProof/>
            <w:webHidden/>
          </w:rPr>
          <w:tab/>
        </w:r>
        <w:r w:rsidR="00A430BE">
          <w:rPr>
            <w:noProof/>
            <w:webHidden/>
          </w:rPr>
          <w:fldChar w:fldCharType="begin"/>
        </w:r>
        <w:r w:rsidR="00A430BE">
          <w:rPr>
            <w:noProof/>
            <w:webHidden/>
          </w:rPr>
          <w:instrText xml:space="preserve"> PAGEREF _Toc126874193 \h </w:instrText>
        </w:r>
        <w:r w:rsidR="00A430BE">
          <w:rPr>
            <w:noProof/>
            <w:webHidden/>
          </w:rPr>
        </w:r>
        <w:r w:rsidR="00A430BE">
          <w:rPr>
            <w:noProof/>
            <w:webHidden/>
          </w:rPr>
          <w:fldChar w:fldCharType="separate"/>
        </w:r>
        <w:r w:rsidR="00593C0C">
          <w:rPr>
            <w:noProof/>
            <w:webHidden/>
          </w:rPr>
          <w:t>143</w:t>
        </w:r>
        <w:r w:rsidR="00A430BE">
          <w:rPr>
            <w:noProof/>
            <w:webHidden/>
          </w:rPr>
          <w:fldChar w:fldCharType="end"/>
        </w:r>
      </w:hyperlink>
    </w:p>
    <w:p w14:paraId="2B01BCAF" w14:textId="3093002C"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4" w:history="1">
        <w:r w:rsidR="00A430BE" w:rsidRPr="00437191">
          <w:rPr>
            <w:rStyle w:val="Hypertextovodkaz"/>
            <w:noProof/>
          </w:rPr>
          <w:t>Obr. 26: Frekvence hodnocení podobnosti nejpodobnějších rozhodnutí</w:t>
        </w:r>
        <w:r w:rsidR="00A430BE">
          <w:rPr>
            <w:noProof/>
            <w:webHidden/>
          </w:rPr>
          <w:tab/>
        </w:r>
        <w:r w:rsidR="00A430BE">
          <w:rPr>
            <w:noProof/>
            <w:webHidden/>
          </w:rPr>
          <w:fldChar w:fldCharType="begin"/>
        </w:r>
        <w:r w:rsidR="00A430BE">
          <w:rPr>
            <w:noProof/>
            <w:webHidden/>
          </w:rPr>
          <w:instrText xml:space="preserve"> PAGEREF _Toc126874194 \h </w:instrText>
        </w:r>
        <w:r w:rsidR="00A430BE">
          <w:rPr>
            <w:noProof/>
            <w:webHidden/>
          </w:rPr>
        </w:r>
        <w:r w:rsidR="00A430BE">
          <w:rPr>
            <w:noProof/>
            <w:webHidden/>
          </w:rPr>
          <w:fldChar w:fldCharType="separate"/>
        </w:r>
        <w:r w:rsidR="00593C0C">
          <w:rPr>
            <w:noProof/>
            <w:webHidden/>
          </w:rPr>
          <w:t>145</w:t>
        </w:r>
        <w:r w:rsidR="00A430BE">
          <w:rPr>
            <w:noProof/>
            <w:webHidden/>
          </w:rPr>
          <w:fldChar w:fldCharType="end"/>
        </w:r>
      </w:hyperlink>
    </w:p>
    <w:p w14:paraId="7CB03DD8" w14:textId="1132BD72"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5" w:history="1">
        <w:r w:rsidR="00A430BE" w:rsidRPr="00437191">
          <w:rPr>
            <w:rStyle w:val="Hypertextovodkaz"/>
            <w:noProof/>
          </w:rPr>
          <w:t>Obr. 27: Frekvence hodnocení podobnosti 10. nejpodobnějších rozhodnutí</w:t>
        </w:r>
        <w:r w:rsidR="00A430BE">
          <w:rPr>
            <w:noProof/>
            <w:webHidden/>
          </w:rPr>
          <w:tab/>
        </w:r>
        <w:r w:rsidR="00A430BE">
          <w:rPr>
            <w:noProof/>
            <w:webHidden/>
          </w:rPr>
          <w:fldChar w:fldCharType="begin"/>
        </w:r>
        <w:r w:rsidR="00A430BE">
          <w:rPr>
            <w:noProof/>
            <w:webHidden/>
          </w:rPr>
          <w:instrText xml:space="preserve"> PAGEREF _Toc126874195 \h </w:instrText>
        </w:r>
        <w:r w:rsidR="00A430BE">
          <w:rPr>
            <w:noProof/>
            <w:webHidden/>
          </w:rPr>
        </w:r>
        <w:r w:rsidR="00A430BE">
          <w:rPr>
            <w:noProof/>
            <w:webHidden/>
          </w:rPr>
          <w:fldChar w:fldCharType="separate"/>
        </w:r>
        <w:r w:rsidR="00593C0C">
          <w:rPr>
            <w:noProof/>
            <w:webHidden/>
          </w:rPr>
          <w:t>146</w:t>
        </w:r>
        <w:r w:rsidR="00A430BE">
          <w:rPr>
            <w:noProof/>
            <w:webHidden/>
          </w:rPr>
          <w:fldChar w:fldCharType="end"/>
        </w:r>
      </w:hyperlink>
    </w:p>
    <w:p w14:paraId="1041711F" w14:textId="765F9C5E"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6" w:history="1">
        <w:r w:rsidR="00A430BE" w:rsidRPr="00437191">
          <w:rPr>
            <w:rStyle w:val="Hypertextovodkaz"/>
            <w:noProof/>
          </w:rPr>
          <w:t>Obr. 28: Korelace kosinové podobnosti rozhodnutí a hodnocení jejich podobnosti</w:t>
        </w:r>
        <w:r w:rsidR="00A430BE">
          <w:rPr>
            <w:noProof/>
            <w:webHidden/>
          </w:rPr>
          <w:tab/>
        </w:r>
        <w:r w:rsidR="00A430BE">
          <w:rPr>
            <w:noProof/>
            <w:webHidden/>
          </w:rPr>
          <w:fldChar w:fldCharType="begin"/>
        </w:r>
        <w:r w:rsidR="00A430BE">
          <w:rPr>
            <w:noProof/>
            <w:webHidden/>
          </w:rPr>
          <w:instrText xml:space="preserve"> PAGEREF _Toc126874196 \h </w:instrText>
        </w:r>
        <w:r w:rsidR="00A430BE">
          <w:rPr>
            <w:noProof/>
            <w:webHidden/>
          </w:rPr>
        </w:r>
        <w:r w:rsidR="00A430BE">
          <w:rPr>
            <w:noProof/>
            <w:webHidden/>
          </w:rPr>
          <w:fldChar w:fldCharType="separate"/>
        </w:r>
        <w:r w:rsidR="00593C0C">
          <w:rPr>
            <w:noProof/>
            <w:webHidden/>
          </w:rPr>
          <w:t>148</w:t>
        </w:r>
        <w:r w:rsidR="00A430BE">
          <w:rPr>
            <w:noProof/>
            <w:webHidden/>
          </w:rPr>
          <w:fldChar w:fldCharType="end"/>
        </w:r>
      </w:hyperlink>
    </w:p>
    <w:p w14:paraId="399D6A3C" w14:textId="2458630D"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7" w:history="1">
        <w:r w:rsidR="00A430BE" w:rsidRPr="00437191">
          <w:rPr>
            <w:rStyle w:val="Hypertextovodkaz"/>
            <w:noProof/>
          </w:rPr>
          <w:t>Obr. 29: Shluky hodnocení nejpodobnějších a 10. nejpodobnějších rozhodnutí</w:t>
        </w:r>
        <w:r w:rsidR="00A430BE">
          <w:rPr>
            <w:noProof/>
            <w:webHidden/>
          </w:rPr>
          <w:tab/>
        </w:r>
        <w:r w:rsidR="00A430BE">
          <w:rPr>
            <w:noProof/>
            <w:webHidden/>
          </w:rPr>
          <w:fldChar w:fldCharType="begin"/>
        </w:r>
        <w:r w:rsidR="00A430BE">
          <w:rPr>
            <w:noProof/>
            <w:webHidden/>
          </w:rPr>
          <w:instrText xml:space="preserve"> PAGEREF _Toc126874197 \h </w:instrText>
        </w:r>
        <w:r w:rsidR="00A430BE">
          <w:rPr>
            <w:noProof/>
            <w:webHidden/>
          </w:rPr>
        </w:r>
        <w:r w:rsidR="00A430BE">
          <w:rPr>
            <w:noProof/>
            <w:webHidden/>
          </w:rPr>
          <w:fldChar w:fldCharType="separate"/>
        </w:r>
        <w:r w:rsidR="00593C0C">
          <w:rPr>
            <w:noProof/>
            <w:webHidden/>
          </w:rPr>
          <w:t>149</w:t>
        </w:r>
        <w:r w:rsidR="00A430BE">
          <w:rPr>
            <w:noProof/>
            <w:webHidden/>
          </w:rPr>
          <w:fldChar w:fldCharType="end"/>
        </w:r>
      </w:hyperlink>
    </w:p>
    <w:p w14:paraId="67014D92" w14:textId="48A90D4D"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8" w:history="1">
        <w:r w:rsidR="00A430BE" w:rsidRPr="00437191">
          <w:rPr>
            <w:rStyle w:val="Hypertextovodkaz"/>
            <w:noProof/>
          </w:rPr>
          <w:t>Obr. 30: Frekvence hodnocení relevance témat – LDA</w:t>
        </w:r>
        <w:r w:rsidR="00A430BE">
          <w:rPr>
            <w:noProof/>
            <w:webHidden/>
          </w:rPr>
          <w:tab/>
        </w:r>
        <w:r w:rsidR="00A430BE">
          <w:rPr>
            <w:noProof/>
            <w:webHidden/>
          </w:rPr>
          <w:fldChar w:fldCharType="begin"/>
        </w:r>
        <w:r w:rsidR="00A430BE">
          <w:rPr>
            <w:noProof/>
            <w:webHidden/>
          </w:rPr>
          <w:instrText xml:space="preserve"> PAGEREF _Toc126874198 \h </w:instrText>
        </w:r>
        <w:r w:rsidR="00A430BE">
          <w:rPr>
            <w:noProof/>
            <w:webHidden/>
          </w:rPr>
        </w:r>
        <w:r w:rsidR="00A430BE">
          <w:rPr>
            <w:noProof/>
            <w:webHidden/>
          </w:rPr>
          <w:fldChar w:fldCharType="separate"/>
        </w:r>
        <w:r w:rsidR="00593C0C">
          <w:rPr>
            <w:noProof/>
            <w:webHidden/>
          </w:rPr>
          <w:t>152</w:t>
        </w:r>
        <w:r w:rsidR="00A430BE">
          <w:rPr>
            <w:noProof/>
            <w:webHidden/>
          </w:rPr>
          <w:fldChar w:fldCharType="end"/>
        </w:r>
      </w:hyperlink>
    </w:p>
    <w:p w14:paraId="3809C8B5" w14:textId="5A5F7AAB"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199" w:history="1">
        <w:r w:rsidR="00A430BE" w:rsidRPr="00437191">
          <w:rPr>
            <w:rStyle w:val="Hypertextovodkaz"/>
            <w:noProof/>
          </w:rPr>
          <w:t>Obr. 31: Frekvence hodnocení relevance témat - NMF</w:t>
        </w:r>
        <w:r w:rsidR="00A430BE">
          <w:rPr>
            <w:noProof/>
            <w:webHidden/>
          </w:rPr>
          <w:tab/>
        </w:r>
        <w:r w:rsidR="00A430BE">
          <w:rPr>
            <w:noProof/>
            <w:webHidden/>
          </w:rPr>
          <w:fldChar w:fldCharType="begin"/>
        </w:r>
        <w:r w:rsidR="00A430BE">
          <w:rPr>
            <w:noProof/>
            <w:webHidden/>
          </w:rPr>
          <w:instrText xml:space="preserve"> PAGEREF _Toc126874199 \h </w:instrText>
        </w:r>
        <w:r w:rsidR="00A430BE">
          <w:rPr>
            <w:noProof/>
            <w:webHidden/>
          </w:rPr>
        </w:r>
        <w:r w:rsidR="00A430BE">
          <w:rPr>
            <w:noProof/>
            <w:webHidden/>
          </w:rPr>
          <w:fldChar w:fldCharType="separate"/>
        </w:r>
        <w:r w:rsidR="00593C0C">
          <w:rPr>
            <w:noProof/>
            <w:webHidden/>
          </w:rPr>
          <w:t>152</w:t>
        </w:r>
        <w:r w:rsidR="00A430BE">
          <w:rPr>
            <w:noProof/>
            <w:webHidden/>
          </w:rPr>
          <w:fldChar w:fldCharType="end"/>
        </w:r>
      </w:hyperlink>
    </w:p>
    <w:p w14:paraId="6A65AC75" w14:textId="5E8EB6C7"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00" w:history="1">
        <w:r w:rsidR="00A430BE" w:rsidRPr="00437191">
          <w:rPr>
            <w:rStyle w:val="Hypertextovodkaz"/>
            <w:noProof/>
          </w:rPr>
          <w:t>Obr. 32: Poměr vyhodnocení tématu jako „definujícího“ v %</w:t>
        </w:r>
        <w:r w:rsidR="00A430BE">
          <w:rPr>
            <w:noProof/>
            <w:webHidden/>
          </w:rPr>
          <w:tab/>
        </w:r>
        <w:r w:rsidR="00A430BE">
          <w:rPr>
            <w:noProof/>
            <w:webHidden/>
          </w:rPr>
          <w:fldChar w:fldCharType="begin"/>
        </w:r>
        <w:r w:rsidR="00A430BE">
          <w:rPr>
            <w:noProof/>
            <w:webHidden/>
          </w:rPr>
          <w:instrText xml:space="preserve"> PAGEREF _Toc126874200 \h </w:instrText>
        </w:r>
        <w:r w:rsidR="00A430BE">
          <w:rPr>
            <w:noProof/>
            <w:webHidden/>
          </w:rPr>
        </w:r>
        <w:r w:rsidR="00A430BE">
          <w:rPr>
            <w:noProof/>
            <w:webHidden/>
          </w:rPr>
          <w:fldChar w:fldCharType="separate"/>
        </w:r>
        <w:r w:rsidR="00593C0C">
          <w:rPr>
            <w:noProof/>
            <w:webHidden/>
          </w:rPr>
          <w:t>155</w:t>
        </w:r>
        <w:r w:rsidR="00A430BE">
          <w:rPr>
            <w:noProof/>
            <w:webHidden/>
          </w:rPr>
          <w:fldChar w:fldCharType="end"/>
        </w:r>
      </w:hyperlink>
    </w:p>
    <w:p w14:paraId="5995E323" w14:textId="1F4A0F4D"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01" w:history="1">
        <w:r w:rsidR="00A430BE" w:rsidRPr="00437191">
          <w:rPr>
            <w:rStyle w:val="Hypertextovodkaz"/>
            <w:noProof/>
          </w:rPr>
          <w:t>Obr. 33: Frekvence hodnocení podobnosti rozhodnutí v % – doc2vec a citace</w:t>
        </w:r>
        <w:r w:rsidR="00A430BE">
          <w:rPr>
            <w:noProof/>
            <w:webHidden/>
          </w:rPr>
          <w:tab/>
        </w:r>
        <w:r w:rsidR="00A430BE">
          <w:rPr>
            <w:noProof/>
            <w:webHidden/>
          </w:rPr>
          <w:fldChar w:fldCharType="begin"/>
        </w:r>
        <w:r w:rsidR="00A430BE">
          <w:rPr>
            <w:noProof/>
            <w:webHidden/>
          </w:rPr>
          <w:instrText xml:space="preserve"> PAGEREF _Toc126874201 \h </w:instrText>
        </w:r>
        <w:r w:rsidR="00A430BE">
          <w:rPr>
            <w:noProof/>
            <w:webHidden/>
          </w:rPr>
        </w:r>
        <w:r w:rsidR="00A430BE">
          <w:rPr>
            <w:noProof/>
            <w:webHidden/>
          </w:rPr>
          <w:fldChar w:fldCharType="separate"/>
        </w:r>
        <w:r w:rsidR="00593C0C">
          <w:rPr>
            <w:noProof/>
            <w:webHidden/>
          </w:rPr>
          <w:t>158</w:t>
        </w:r>
        <w:r w:rsidR="00A430BE">
          <w:rPr>
            <w:noProof/>
            <w:webHidden/>
          </w:rPr>
          <w:fldChar w:fldCharType="end"/>
        </w:r>
      </w:hyperlink>
    </w:p>
    <w:p w14:paraId="66379F5D" w14:textId="0B09BD8E"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02" w:history="1">
        <w:r w:rsidR="00A430BE" w:rsidRPr="00437191">
          <w:rPr>
            <w:rStyle w:val="Hypertextovodkaz"/>
            <w:noProof/>
          </w:rPr>
          <w:t>Obr. 34: Frekvence rozdílů hodnocení stejných rozhodnutí – citační analýza</w:t>
        </w:r>
        <w:r w:rsidR="00A430BE">
          <w:rPr>
            <w:noProof/>
            <w:webHidden/>
          </w:rPr>
          <w:tab/>
        </w:r>
        <w:r w:rsidR="00A430BE">
          <w:rPr>
            <w:noProof/>
            <w:webHidden/>
          </w:rPr>
          <w:fldChar w:fldCharType="begin"/>
        </w:r>
        <w:r w:rsidR="00A430BE">
          <w:rPr>
            <w:noProof/>
            <w:webHidden/>
          </w:rPr>
          <w:instrText xml:space="preserve"> PAGEREF _Toc126874202 \h </w:instrText>
        </w:r>
        <w:r w:rsidR="00A430BE">
          <w:rPr>
            <w:noProof/>
            <w:webHidden/>
          </w:rPr>
        </w:r>
        <w:r w:rsidR="00A430BE">
          <w:rPr>
            <w:noProof/>
            <w:webHidden/>
          </w:rPr>
          <w:fldChar w:fldCharType="separate"/>
        </w:r>
        <w:r w:rsidR="00593C0C">
          <w:rPr>
            <w:noProof/>
            <w:webHidden/>
          </w:rPr>
          <w:t>162</w:t>
        </w:r>
        <w:r w:rsidR="00A430BE">
          <w:rPr>
            <w:noProof/>
            <w:webHidden/>
          </w:rPr>
          <w:fldChar w:fldCharType="end"/>
        </w:r>
      </w:hyperlink>
    </w:p>
    <w:p w14:paraId="7EE990F7" w14:textId="70997C18"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03" w:history="1">
        <w:r w:rsidR="00A430BE" w:rsidRPr="00437191">
          <w:rPr>
            <w:rStyle w:val="Hypertextovodkaz"/>
            <w:noProof/>
          </w:rPr>
          <w:t>Obr. 35: Frekvence rozdílů v hodnocení stejných rozhodnutí – doc2vec</w:t>
        </w:r>
        <w:r w:rsidR="00A430BE">
          <w:rPr>
            <w:noProof/>
            <w:webHidden/>
          </w:rPr>
          <w:tab/>
        </w:r>
        <w:r w:rsidR="00A430BE">
          <w:rPr>
            <w:noProof/>
            <w:webHidden/>
          </w:rPr>
          <w:fldChar w:fldCharType="begin"/>
        </w:r>
        <w:r w:rsidR="00A430BE">
          <w:rPr>
            <w:noProof/>
            <w:webHidden/>
          </w:rPr>
          <w:instrText xml:space="preserve"> PAGEREF _Toc126874203 \h </w:instrText>
        </w:r>
        <w:r w:rsidR="00A430BE">
          <w:rPr>
            <w:noProof/>
            <w:webHidden/>
          </w:rPr>
        </w:r>
        <w:r w:rsidR="00A430BE">
          <w:rPr>
            <w:noProof/>
            <w:webHidden/>
          </w:rPr>
          <w:fldChar w:fldCharType="separate"/>
        </w:r>
        <w:r w:rsidR="00593C0C">
          <w:rPr>
            <w:noProof/>
            <w:webHidden/>
          </w:rPr>
          <w:t>163</w:t>
        </w:r>
        <w:r w:rsidR="00A430BE">
          <w:rPr>
            <w:noProof/>
            <w:webHidden/>
          </w:rPr>
          <w:fldChar w:fldCharType="end"/>
        </w:r>
      </w:hyperlink>
    </w:p>
    <w:p w14:paraId="616B604B" w14:textId="23DB4AD0"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04" w:history="1">
        <w:r w:rsidR="00A430BE" w:rsidRPr="00437191">
          <w:rPr>
            <w:rStyle w:val="Hypertextovodkaz"/>
            <w:noProof/>
          </w:rPr>
          <w:t>Obr. 36: Frekvence rozdílů v hodnocení stejných témat – LDA i NMF</w:t>
        </w:r>
        <w:r w:rsidR="00A430BE">
          <w:rPr>
            <w:noProof/>
            <w:webHidden/>
          </w:rPr>
          <w:tab/>
        </w:r>
        <w:r w:rsidR="00A430BE">
          <w:rPr>
            <w:noProof/>
            <w:webHidden/>
          </w:rPr>
          <w:fldChar w:fldCharType="begin"/>
        </w:r>
        <w:r w:rsidR="00A430BE">
          <w:rPr>
            <w:noProof/>
            <w:webHidden/>
          </w:rPr>
          <w:instrText xml:space="preserve"> PAGEREF _Toc126874204 \h </w:instrText>
        </w:r>
        <w:r w:rsidR="00A430BE">
          <w:rPr>
            <w:noProof/>
            <w:webHidden/>
          </w:rPr>
        </w:r>
        <w:r w:rsidR="00A430BE">
          <w:rPr>
            <w:noProof/>
            <w:webHidden/>
          </w:rPr>
          <w:fldChar w:fldCharType="separate"/>
        </w:r>
        <w:r w:rsidR="00593C0C">
          <w:rPr>
            <w:noProof/>
            <w:webHidden/>
          </w:rPr>
          <w:t>164</w:t>
        </w:r>
        <w:r w:rsidR="00A430BE">
          <w:rPr>
            <w:noProof/>
            <w:webHidden/>
          </w:rPr>
          <w:fldChar w:fldCharType="end"/>
        </w:r>
      </w:hyperlink>
    </w:p>
    <w:p w14:paraId="1E6909AF" w14:textId="6F5A1428" w:rsidR="007A6350" w:rsidRPr="007A6350" w:rsidRDefault="004668F5" w:rsidP="00785FE4">
      <w:pPr>
        <w:pStyle w:val="Odstavec1"/>
      </w:pPr>
      <w:r w:rsidRPr="00746487">
        <w:rPr>
          <w:noProof/>
        </w:rPr>
        <w:fldChar w:fldCharType="end"/>
      </w:r>
    </w:p>
    <w:p w14:paraId="3EA54921" w14:textId="77777777" w:rsidR="008B1BE6" w:rsidRPr="00746487" w:rsidRDefault="008B1BE6" w:rsidP="008B1BE6">
      <w:pPr>
        <w:pStyle w:val="Nadpis10"/>
      </w:pPr>
      <w:bookmarkStart w:id="6" w:name="_Toc126909333"/>
      <w:r w:rsidRPr="00746487">
        <w:lastRenderedPageBreak/>
        <w:t>Seznam tabulek</w:t>
      </w:r>
      <w:bookmarkEnd w:id="6"/>
    </w:p>
    <w:p w14:paraId="141CB5D5" w14:textId="49ABFDE2" w:rsidR="00A430BE" w:rsidRDefault="004668F5">
      <w:pPr>
        <w:pStyle w:val="Seznamobrzk"/>
        <w:tabs>
          <w:tab w:val="right" w:leader="dot" w:pos="7356"/>
        </w:tabs>
        <w:rPr>
          <w:rFonts w:asciiTheme="minorHAnsi" w:eastAsiaTheme="minorEastAsia" w:hAnsiTheme="minorHAnsi" w:cstheme="minorBidi"/>
          <w:noProof/>
          <w:sz w:val="22"/>
          <w:szCs w:val="22"/>
        </w:rPr>
      </w:pPr>
      <w:r w:rsidRPr="00746487">
        <w:rPr>
          <w:b/>
          <w:bCs/>
          <w:noProof/>
        </w:rPr>
        <w:fldChar w:fldCharType="begin"/>
      </w:r>
      <w:r w:rsidRPr="00746487">
        <w:rPr>
          <w:b/>
          <w:bCs/>
          <w:noProof/>
        </w:rPr>
        <w:instrText xml:space="preserve"> TOC \h \z \c "Tab." </w:instrText>
      </w:r>
      <w:r w:rsidRPr="00746487">
        <w:rPr>
          <w:b/>
          <w:bCs/>
          <w:noProof/>
        </w:rPr>
        <w:fldChar w:fldCharType="separate"/>
      </w:r>
      <w:hyperlink w:anchor="_Toc126874205" w:history="1">
        <w:r w:rsidR="00A430BE" w:rsidRPr="00224C31">
          <w:rPr>
            <w:rStyle w:val="Hypertextovodkaz"/>
            <w:noProof/>
          </w:rPr>
          <w:t xml:space="preserve">Tab. 1: Statistika </w:t>
        </w:r>
        <w:r w:rsidR="00A430BE" w:rsidRPr="00224C31">
          <w:rPr>
            <w:rStyle w:val="Hypertextovodkaz"/>
            <w:i/>
            <w:iCs/>
            <w:noProof/>
          </w:rPr>
          <w:t>Czech Court Decisions Corpus</w:t>
        </w:r>
        <w:r w:rsidR="00A430BE">
          <w:rPr>
            <w:noProof/>
            <w:webHidden/>
          </w:rPr>
          <w:tab/>
        </w:r>
        <w:r w:rsidR="00A430BE">
          <w:rPr>
            <w:noProof/>
            <w:webHidden/>
          </w:rPr>
          <w:fldChar w:fldCharType="begin"/>
        </w:r>
        <w:r w:rsidR="00A430BE">
          <w:rPr>
            <w:noProof/>
            <w:webHidden/>
          </w:rPr>
          <w:instrText xml:space="preserve"> PAGEREF _Toc126874205 \h </w:instrText>
        </w:r>
        <w:r w:rsidR="00A430BE">
          <w:rPr>
            <w:noProof/>
            <w:webHidden/>
          </w:rPr>
        </w:r>
        <w:r w:rsidR="00A430BE">
          <w:rPr>
            <w:noProof/>
            <w:webHidden/>
          </w:rPr>
          <w:fldChar w:fldCharType="separate"/>
        </w:r>
        <w:r w:rsidR="00593C0C">
          <w:rPr>
            <w:noProof/>
            <w:webHidden/>
          </w:rPr>
          <w:t>61</w:t>
        </w:r>
        <w:r w:rsidR="00A430BE">
          <w:rPr>
            <w:noProof/>
            <w:webHidden/>
          </w:rPr>
          <w:fldChar w:fldCharType="end"/>
        </w:r>
      </w:hyperlink>
    </w:p>
    <w:p w14:paraId="2C787775" w14:textId="7588C317"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06" w:history="1">
        <w:r w:rsidR="00A430BE" w:rsidRPr="00224C31">
          <w:rPr>
            <w:rStyle w:val="Hypertextovodkaz"/>
            <w:noProof/>
          </w:rPr>
          <w:t>Tab. 2: Statistika citací obsažených v Czech Court Citations Dataset – nepropojené</w:t>
        </w:r>
        <w:r w:rsidR="00A430BE">
          <w:rPr>
            <w:noProof/>
            <w:webHidden/>
          </w:rPr>
          <w:tab/>
        </w:r>
        <w:r w:rsidR="00A430BE">
          <w:rPr>
            <w:noProof/>
            <w:webHidden/>
          </w:rPr>
          <w:fldChar w:fldCharType="begin"/>
        </w:r>
        <w:r w:rsidR="00A430BE">
          <w:rPr>
            <w:noProof/>
            <w:webHidden/>
          </w:rPr>
          <w:instrText xml:space="preserve"> PAGEREF _Toc126874206 \h </w:instrText>
        </w:r>
        <w:r w:rsidR="00A430BE">
          <w:rPr>
            <w:noProof/>
            <w:webHidden/>
          </w:rPr>
        </w:r>
        <w:r w:rsidR="00A430BE">
          <w:rPr>
            <w:noProof/>
            <w:webHidden/>
          </w:rPr>
          <w:fldChar w:fldCharType="separate"/>
        </w:r>
        <w:r w:rsidR="00593C0C">
          <w:rPr>
            <w:noProof/>
            <w:webHidden/>
          </w:rPr>
          <w:t>64</w:t>
        </w:r>
        <w:r w:rsidR="00A430BE">
          <w:rPr>
            <w:noProof/>
            <w:webHidden/>
          </w:rPr>
          <w:fldChar w:fldCharType="end"/>
        </w:r>
      </w:hyperlink>
    </w:p>
    <w:p w14:paraId="248B9D7F" w14:textId="3D789FDD"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07" w:history="1">
        <w:r w:rsidR="00A430BE" w:rsidRPr="00224C31">
          <w:rPr>
            <w:rStyle w:val="Hypertextovodkaz"/>
            <w:noProof/>
          </w:rPr>
          <w:t>Tab. 3: Statistika citací obsažených v Czech Court Citations Dataset - propojené</w:t>
        </w:r>
        <w:r w:rsidR="00A430BE">
          <w:rPr>
            <w:noProof/>
            <w:webHidden/>
          </w:rPr>
          <w:tab/>
        </w:r>
        <w:r w:rsidR="00A430BE">
          <w:rPr>
            <w:noProof/>
            <w:webHidden/>
          </w:rPr>
          <w:fldChar w:fldCharType="begin"/>
        </w:r>
        <w:r w:rsidR="00A430BE">
          <w:rPr>
            <w:noProof/>
            <w:webHidden/>
          </w:rPr>
          <w:instrText xml:space="preserve"> PAGEREF _Toc126874207 \h </w:instrText>
        </w:r>
        <w:r w:rsidR="00A430BE">
          <w:rPr>
            <w:noProof/>
            <w:webHidden/>
          </w:rPr>
        </w:r>
        <w:r w:rsidR="00A430BE">
          <w:rPr>
            <w:noProof/>
            <w:webHidden/>
          </w:rPr>
          <w:fldChar w:fldCharType="separate"/>
        </w:r>
        <w:r w:rsidR="00593C0C">
          <w:rPr>
            <w:noProof/>
            <w:webHidden/>
          </w:rPr>
          <w:t>64</w:t>
        </w:r>
        <w:r w:rsidR="00A430BE">
          <w:rPr>
            <w:noProof/>
            <w:webHidden/>
          </w:rPr>
          <w:fldChar w:fldCharType="end"/>
        </w:r>
      </w:hyperlink>
    </w:p>
    <w:p w14:paraId="1B25CA62" w14:textId="3C0BC884"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08" w:history="1">
        <w:r w:rsidR="00A430BE" w:rsidRPr="00224C31">
          <w:rPr>
            <w:rStyle w:val="Hypertextovodkaz"/>
            <w:noProof/>
          </w:rPr>
          <w:t>Tab. 4: Poměr počtu rozhodnutí obsahujících alespoň 1 citaci</w:t>
        </w:r>
        <w:r w:rsidR="00A430BE">
          <w:rPr>
            <w:noProof/>
            <w:webHidden/>
          </w:rPr>
          <w:tab/>
        </w:r>
        <w:r w:rsidR="00A430BE">
          <w:rPr>
            <w:noProof/>
            <w:webHidden/>
          </w:rPr>
          <w:fldChar w:fldCharType="begin"/>
        </w:r>
        <w:r w:rsidR="00A430BE">
          <w:rPr>
            <w:noProof/>
            <w:webHidden/>
          </w:rPr>
          <w:instrText xml:space="preserve"> PAGEREF _Toc126874208 \h </w:instrText>
        </w:r>
        <w:r w:rsidR="00A430BE">
          <w:rPr>
            <w:noProof/>
            <w:webHidden/>
          </w:rPr>
        </w:r>
        <w:r w:rsidR="00A430BE">
          <w:rPr>
            <w:noProof/>
            <w:webHidden/>
          </w:rPr>
          <w:fldChar w:fldCharType="separate"/>
        </w:r>
        <w:r w:rsidR="00593C0C">
          <w:rPr>
            <w:noProof/>
            <w:webHidden/>
          </w:rPr>
          <w:t>75</w:t>
        </w:r>
        <w:r w:rsidR="00A430BE">
          <w:rPr>
            <w:noProof/>
            <w:webHidden/>
          </w:rPr>
          <w:fldChar w:fldCharType="end"/>
        </w:r>
      </w:hyperlink>
    </w:p>
    <w:p w14:paraId="13D1E2C0" w14:textId="73B953F4"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09" w:history="1">
        <w:r w:rsidR="00A430BE" w:rsidRPr="00224C31">
          <w:rPr>
            <w:rStyle w:val="Hypertextovodkaz"/>
            <w:noProof/>
          </w:rPr>
          <w:t>Tab. 5: Počty a poměry vzájemných citací mezi soudy</w:t>
        </w:r>
        <w:r w:rsidR="00A430BE">
          <w:rPr>
            <w:noProof/>
            <w:webHidden/>
          </w:rPr>
          <w:tab/>
        </w:r>
        <w:r w:rsidR="00A430BE">
          <w:rPr>
            <w:noProof/>
            <w:webHidden/>
          </w:rPr>
          <w:fldChar w:fldCharType="begin"/>
        </w:r>
        <w:r w:rsidR="00A430BE">
          <w:rPr>
            <w:noProof/>
            <w:webHidden/>
          </w:rPr>
          <w:instrText xml:space="preserve"> PAGEREF _Toc126874209 \h </w:instrText>
        </w:r>
        <w:r w:rsidR="00A430BE">
          <w:rPr>
            <w:noProof/>
            <w:webHidden/>
          </w:rPr>
        </w:r>
        <w:r w:rsidR="00A430BE">
          <w:rPr>
            <w:noProof/>
            <w:webHidden/>
          </w:rPr>
          <w:fldChar w:fldCharType="separate"/>
        </w:r>
        <w:r w:rsidR="00593C0C">
          <w:rPr>
            <w:noProof/>
            <w:webHidden/>
          </w:rPr>
          <w:t>79</w:t>
        </w:r>
        <w:r w:rsidR="00A430BE">
          <w:rPr>
            <w:noProof/>
            <w:webHidden/>
          </w:rPr>
          <w:fldChar w:fldCharType="end"/>
        </w:r>
      </w:hyperlink>
    </w:p>
    <w:p w14:paraId="75F4AEB9" w14:textId="6904D970"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0" w:history="1">
        <w:r w:rsidR="00A430BE" w:rsidRPr="00224C31">
          <w:rPr>
            <w:rStyle w:val="Hypertextovodkaz"/>
            <w:noProof/>
          </w:rPr>
          <w:t>Tab. 6: Počty izolovaných rozhodnutí</w:t>
        </w:r>
        <w:r w:rsidR="00A430BE">
          <w:rPr>
            <w:noProof/>
            <w:webHidden/>
          </w:rPr>
          <w:tab/>
        </w:r>
        <w:r w:rsidR="00A430BE">
          <w:rPr>
            <w:noProof/>
            <w:webHidden/>
          </w:rPr>
          <w:fldChar w:fldCharType="begin"/>
        </w:r>
        <w:r w:rsidR="00A430BE">
          <w:rPr>
            <w:noProof/>
            <w:webHidden/>
          </w:rPr>
          <w:instrText xml:space="preserve"> PAGEREF _Toc126874210 \h </w:instrText>
        </w:r>
        <w:r w:rsidR="00A430BE">
          <w:rPr>
            <w:noProof/>
            <w:webHidden/>
          </w:rPr>
        </w:r>
        <w:r w:rsidR="00A430BE">
          <w:rPr>
            <w:noProof/>
            <w:webHidden/>
          </w:rPr>
          <w:fldChar w:fldCharType="separate"/>
        </w:r>
        <w:r w:rsidR="00593C0C">
          <w:rPr>
            <w:noProof/>
            <w:webHidden/>
          </w:rPr>
          <w:t>83</w:t>
        </w:r>
        <w:r w:rsidR="00A430BE">
          <w:rPr>
            <w:noProof/>
            <w:webHidden/>
          </w:rPr>
          <w:fldChar w:fldCharType="end"/>
        </w:r>
      </w:hyperlink>
    </w:p>
    <w:p w14:paraId="46DFDA48" w14:textId="2AACB959"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1" w:history="1">
        <w:r w:rsidR="00A430BE" w:rsidRPr="00224C31">
          <w:rPr>
            <w:rStyle w:val="Hypertextovodkaz"/>
            <w:noProof/>
          </w:rPr>
          <w:t>Tab. 7: Komparace hustot sítí</w:t>
        </w:r>
        <w:r w:rsidR="00A430BE">
          <w:rPr>
            <w:noProof/>
            <w:webHidden/>
          </w:rPr>
          <w:tab/>
        </w:r>
        <w:r w:rsidR="00A430BE">
          <w:rPr>
            <w:noProof/>
            <w:webHidden/>
          </w:rPr>
          <w:fldChar w:fldCharType="begin"/>
        </w:r>
        <w:r w:rsidR="00A430BE">
          <w:rPr>
            <w:noProof/>
            <w:webHidden/>
          </w:rPr>
          <w:instrText xml:space="preserve"> PAGEREF _Toc126874211 \h </w:instrText>
        </w:r>
        <w:r w:rsidR="00A430BE">
          <w:rPr>
            <w:noProof/>
            <w:webHidden/>
          </w:rPr>
        </w:r>
        <w:r w:rsidR="00A430BE">
          <w:rPr>
            <w:noProof/>
            <w:webHidden/>
          </w:rPr>
          <w:fldChar w:fldCharType="separate"/>
        </w:r>
        <w:r w:rsidR="00593C0C">
          <w:rPr>
            <w:noProof/>
            <w:webHidden/>
          </w:rPr>
          <w:t>84</w:t>
        </w:r>
        <w:r w:rsidR="00A430BE">
          <w:rPr>
            <w:noProof/>
            <w:webHidden/>
          </w:rPr>
          <w:fldChar w:fldCharType="end"/>
        </w:r>
      </w:hyperlink>
    </w:p>
    <w:p w14:paraId="14C5C55D" w14:textId="164D4E2A"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2" w:history="1">
        <w:r w:rsidR="00A430BE" w:rsidRPr="00224C31">
          <w:rPr>
            <w:rStyle w:val="Hypertextovodkaz"/>
            <w:noProof/>
          </w:rPr>
          <w:t>Tab. 8: Deset nejcitovanějších rozhodnutí</w:t>
        </w:r>
        <w:r w:rsidR="00A430BE">
          <w:rPr>
            <w:noProof/>
            <w:webHidden/>
          </w:rPr>
          <w:tab/>
        </w:r>
        <w:r w:rsidR="00A430BE">
          <w:rPr>
            <w:noProof/>
            <w:webHidden/>
          </w:rPr>
          <w:fldChar w:fldCharType="begin"/>
        </w:r>
        <w:r w:rsidR="00A430BE">
          <w:rPr>
            <w:noProof/>
            <w:webHidden/>
          </w:rPr>
          <w:instrText xml:space="preserve"> PAGEREF _Toc126874212 \h </w:instrText>
        </w:r>
        <w:r w:rsidR="00A430BE">
          <w:rPr>
            <w:noProof/>
            <w:webHidden/>
          </w:rPr>
        </w:r>
        <w:r w:rsidR="00A430BE">
          <w:rPr>
            <w:noProof/>
            <w:webHidden/>
          </w:rPr>
          <w:fldChar w:fldCharType="separate"/>
        </w:r>
        <w:r w:rsidR="00593C0C">
          <w:rPr>
            <w:noProof/>
            <w:webHidden/>
          </w:rPr>
          <w:t>103</w:t>
        </w:r>
        <w:r w:rsidR="00A430BE">
          <w:rPr>
            <w:noProof/>
            <w:webHidden/>
          </w:rPr>
          <w:fldChar w:fldCharType="end"/>
        </w:r>
      </w:hyperlink>
    </w:p>
    <w:p w14:paraId="02314606" w14:textId="1F77BCC9"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3" w:history="1">
        <w:r w:rsidR="00A430BE" w:rsidRPr="00224C31">
          <w:rPr>
            <w:rStyle w:val="Hypertextovodkaz"/>
            <w:noProof/>
          </w:rPr>
          <w:t xml:space="preserve">Tab. 9: </w:t>
        </w:r>
        <w:r w:rsidR="00A430BE" w:rsidRPr="00224C31">
          <w:rPr>
            <w:rStyle w:val="Hypertextovodkaz"/>
            <w:i/>
            <w:iCs/>
            <w:noProof/>
          </w:rPr>
          <w:t>CV</w:t>
        </w:r>
        <w:r w:rsidR="00A430BE" w:rsidRPr="00224C31">
          <w:rPr>
            <w:rStyle w:val="Hypertextovodkaz"/>
            <w:noProof/>
          </w:rPr>
          <w:t xml:space="preserve"> koherenční skóre pro LDA a NMF modely</w:t>
        </w:r>
        <w:r w:rsidR="00A430BE">
          <w:rPr>
            <w:noProof/>
            <w:webHidden/>
          </w:rPr>
          <w:tab/>
        </w:r>
        <w:r w:rsidR="00A430BE">
          <w:rPr>
            <w:noProof/>
            <w:webHidden/>
          </w:rPr>
          <w:fldChar w:fldCharType="begin"/>
        </w:r>
        <w:r w:rsidR="00A430BE">
          <w:rPr>
            <w:noProof/>
            <w:webHidden/>
          </w:rPr>
          <w:instrText xml:space="preserve"> PAGEREF _Toc126874213 \h </w:instrText>
        </w:r>
        <w:r w:rsidR="00A430BE">
          <w:rPr>
            <w:noProof/>
            <w:webHidden/>
          </w:rPr>
        </w:r>
        <w:r w:rsidR="00A430BE">
          <w:rPr>
            <w:noProof/>
            <w:webHidden/>
          </w:rPr>
          <w:fldChar w:fldCharType="separate"/>
        </w:r>
        <w:r w:rsidR="00593C0C">
          <w:rPr>
            <w:noProof/>
            <w:webHidden/>
          </w:rPr>
          <w:t>131</w:t>
        </w:r>
        <w:r w:rsidR="00A430BE">
          <w:rPr>
            <w:noProof/>
            <w:webHidden/>
          </w:rPr>
          <w:fldChar w:fldCharType="end"/>
        </w:r>
      </w:hyperlink>
    </w:p>
    <w:p w14:paraId="3758015D" w14:textId="65938749"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4" w:history="1">
        <w:r w:rsidR="00A430BE" w:rsidRPr="00224C31">
          <w:rPr>
            <w:rStyle w:val="Hypertextovodkaz"/>
            <w:noProof/>
          </w:rPr>
          <w:t>Tab. 10: Průměrné hodnocení důležitosti rozhodnutí s nejvyšším a nulovým authority score</w:t>
        </w:r>
        <w:r w:rsidR="00A430BE">
          <w:rPr>
            <w:noProof/>
            <w:webHidden/>
          </w:rPr>
          <w:tab/>
        </w:r>
        <w:r w:rsidR="00A430BE">
          <w:rPr>
            <w:noProof/>
            <w:webHidden/>
          </w:rPr>
          <w:fldChar w:fldCharType="begin"/>
        </w:r>
        <w:r w:rsidR="00A430BE">
          <w:rPr>
            <w:noProof/>
            <w:webHidden/>
          </w:rPr>
          <w:instrText xml:space="preserve"> PAGEREF _Toc126874214 \h </w:instrText>
        </w:r>
        <w:r w:rsidR="00A430BE">
          <w:rPr>
            <w:noProof/>
            <w:webHidden/>
          </w:rPr>
        </w:r>
        <w:r w:rsidR="00A430BE">
          <w:rPr>
            <w:noProof/>
            <w:webHidden/>
          </w:rPr>
          <w:fldChar w:fldCharType="separate"/>
        </w:r>
        <w:r w:rsidR="00593C0C">
          <w:rPr>
            <w:noProof/>
            <w:webHidden/>
          </w:rPr>
          <w:t>142</w:t>
        </w:r>
        <w:r w:rsidR="00A430BE">
          <w:rPr>
            <w:noProof/>
            <w:webHidden/>
          </w:rPr>
          <w:fldChar w:fldCharType="end"/>
        </w:r>
      </w:hyperlink>
    </w:p>
    <w:p w14:paraId="46391492" w14:textId="2CB71C5F"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5" w:history="1">
        <w:r w:rsidR="00A430BE" w:rsidRPr="00224C31">
          <w:rPr>
            <w:rStyle w:val="Hypertextovodkaz"/>
            <w:noProof/>
          </w:rPr>
          <w:t>Tab. 11: Průměrná hodnocení podobnosti rozhodnutí získaných doc2vec modelem</w:t>
        </w:r>
        <w:r w:rsidR="00A430BE">
          <w:rPr>
            <w:noProof/>
            <w:webHidden/>
          </w:rPr>
          <w:tab/>
        </w:r>
        <w:r w:rsidR="00A430BE">
          <w:rPr>
            <w:noProof/>
            <w:webHidden/>
          </w:rPr>
          <w:fldChar w:fldCharType="begin"/>
        </w:r>
        <w:r w:rsidR="00A430BE">
          <w:rPr>
            <w:noProof/>
            <w:webHidden/>
          </w:rPr>
          <w:instrText xml:space="preserve"> PAGEREF _Toc126874215 \h </w:instrText>
        </w:r>
        <w:r w:rsidR="00A430BE">
          <w:rPr>
            <w:noProof/>
            <w:webHidden/>
          </w:rPr>
        </w:r>
        <w:r w:rsidR="00A430BE">
          <w:rPr>
            <w:noProof/>
            <w:webHidden/>
          </w:rPr>
          <w:fldChar w:fldCharType="separate"/>
        </w:r>
        <w:r w:rsidR="00593C0C">
          <w:rPr>
            <w:noProof/>
            <w:webHidden/>
          </w:rPr>
          <w:t>145</w:t>
        </w:r>
        <w:r w:rsidR="00A430BE">
          <w:rPr>
            <w:noProof/>
            <w:webHidden/>
          </w:rPr>
          <w:fldChar w:fldCharType="end"/>
        </w:r>
      </w:hyperlink>
    </w:p>
    <w:p w14:paraId="16D6EFF8" w14:textId="70FC7959"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6" w:history="1">
        <w:r w:rsidR="00A430BE" w:rsidRPr="00224C31">
          <w:rPr>
            <w:rStyle w:val="Hypertextovodkaz"/>
            <w:noProof/>
          </w:rPr>
          <w:t>Tab. 12: Průměrná hodnocení témat LDA a NMF modelů</w:t>
        </w:r>
        <w:r w:rsidR="00A430BE">
          <w:rPr>
            <w:noProof/>
            <w:webHidden/>
          </w:rPr>
          <w:tab/>
        </w:r>
        <w:r w:rsidR="00A430BE">
          <w:rPr>
            <w:noProof/>
            <w:webHidden/>
          </w:rPr>
          <w:fldChar w:fldCharType="begin"/>
        </w:r>
        <w:r w:rsidR="00A430BE">
          <w:rPr>
            <w:noProof/>
            <w:webHidden/>
          </w:rPr>
          <w:instrText xml:space="preserve"> PAGEREF _Toc126874216 \h </w:instrText>
        </w:r>
        <w:r w:rsidR="00A430BE">
          <w:rPr>
            <w:noProof/>
            <w:webHidden/>
          </w:rPr>
        </w:r>
        <w:r w:rsidR="00A430BE">
          <w:rPr>
            <w:noProof/>
            <w:webHidden/>
          </w:rPr>
          <w:fldChar w:fldCharType="separate"/>
        </w:r>
        <w:r w:rsidR="00593C0C">
          <w:rPr>
            <w:noProof/>
            <w:webHidden/>
          </w:rPr>
          <w:t>150</w:t>
        </w:r>
        <w:r w:rsidR="00A430BE">
          <w:rPr>
            <w:noProof/>
            <w:webHidden/>
          </w:rPr>
          <w:fldChar w:fldCharType="end"/>
        </w:r>
      </w:hyperlink>
    </w:p>
    <w:p w14:paraId="4EC0C925" w14:textId="6A0DD60F"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7" w:history="1">
        <w:r w:rsidR="00A430BE" w:rsidRPr="00224C31">
          <w:rPr>
            <w:rStyle w:val="Hypertextovodkaz"/>
            <w:noProof/>
          </w:rPr>
          <w:t>Tab. 13: Směrodatná odchylka a variační koeficient - LDA model</w:t>
        </w:r>
        <w:r w:rsidR="00A430BE">
          <w:rPr>
            <w:noProof/>
            <w:webHidden/>
          </w:rPr>
          <w:tab/>
        </w:r>
        <w:r w:rsidR="00A430BE">
          <w:rPr>
            <w:noProof/>
            <w:webHidden/>
          </w:rPr>
          <w:fldChar w:fldCharType="begin"/>
        </w:r>
        <w:r w:rsidR="00A430BE">
          <w:rPr>
            <w:noProof/>
            <w:webHidden/>
          </w:rPr>
          <w:instrText xml:space="preserve"> PAGEREF _Toc126874217 \h </w:instrText>
        </w:r>
        <w:r w:rsidR="00A430BE">
          <w:rPr>
            <w:noProof/>
            <w:webHidden/>
          </w:rPr>
        </w:r>
        <w:r w:rsidR="00A430BE">
          <w:rPr>
            <w:noProof/>
            <w:webHidden/>
          </w:rPr>
          <w:fldChar w:fldCharType="separate"/>
        </w:r>
        <w:r w:rsidR="00593C0C">
          <w:rPr>
            <w:noProof/>
            <w:webHidden/>
          </w:rPr>
          <w:t>153</w:t>
        </w:r>
        <w:r w:rsidR="00A430BE">
          <w:rPr>
            <w:noProof/>
            <w:webHidden/>
          </w:rPr>
          <w:fldChar w:fldCharType="end"/>
        </w:r>
      </w:hyperlink>
    </w:p>
    <w:p w14:paraId="54F1784B" w14:textId="41C4358F"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8" w:history="1">
        <w:r w:rsidR="00A430BE" w:rsidRPr="00224C31">
          <w:rPr>
            <w:rStyle w:val="Hypertextovodkaz"/>
            <w:noProof/>
          </w:rPr>
          <w:t>Tab. 14: Směrodatná odchylka a variační koeficient - NMF model</w:t>
        </w:r>
        <w:r w:rsidR="00A430BE">
          <w:rPr>
            <w:noProof/>
            <w:webHidden/>
          </w:rPr>
          <w:tab/>
        </w:r>
        <w:r w:rsidR="00A430BE">
          <w:rPr>
            <w:noProof/>
            <w:webHidden/>
          </w:rPr>
          <w:fldChar w:fldCharType="begin"/>
        </w:r>
        <w:r w:rsidR="00A430BE">
          <w:rPr>
            <w:noProof/>
            <w:webHidden/>
          </w:rPr>
          <w:instrText xml:space="preserve"> PAGEREF _Toc126874218 \h </w:instrText>
        </w:r>
        <w:r w:rsidR="00A430BE">
          <w:rPr>
            <w:noProof/>
            <w:webHidden/>
          </w:rPr>
        </w:r>
        <w:r w:rsidR="00A430BE">
          <w:rPr>
            <w:noProof/>
            <w:webHidden/>
          </w:rPr>
          <w:fldChar w:fldCharType="separate"/>
        </w:r>
        <w:r w:rsidR="00593C0C">
          <w:rPr>
            <w:noProof/>
            <w:webHidden/>
          </w:rPr>
          <w:t>154</w:t>
        </w:r>
        <w:r w:rsidR="00A430BE">
          <w:rPr>
            <w:noProof/>
            <w:webHidden/>
          </w:rPr>
          <w:fldChar w:fldCharType="end"/>
        </w:r>
      </w:hyperlink>
    </w:p>
    <w:p w14:paraId="4EA0A5A5" w14:textId="40DEF374"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19" w:history="1">
        <w:r w:rsidR="00A430BE" w:rsidRPr="00224C31">
          <w:rPr>
            <w:rStyle w:val="Hypertextovodkaz"/>
            <w:noProof/>
          </w:rPr>
          <w:t>Tab. 15: Průměrná hodnota hodnocení podobnosti soudních rozhodnutí s a bez vzájemné citační vazby</w:t>
        </w:r>
        <w:r w:rsidR="00A430BE">
          <w:rPr>
            <w:noProof/>
            <w:webHidden/>
          </w:rPr>
          <w:tab/>
        </w:r>
        <w:r w:rsidR="00A430BE">
          <w:rPr>
            <w:noProof/>
            <w:webHidden/>
          </w:rPr>
          <w:fldChar w:fldCharType="begin"/>
        </w:r>
        <w:r w:rsidR="00A430BE">
          <w:rPr>
            <w:noProof/>
            <w:webHidden/>
          </w:rPr>
          <w:instrText xml:space="preserve"> PAGEREF _Toc126874219 \h </w:instrText>
        </w:r>
        <w:r w:rsidR="00A430BE">
          <w:rPr>
            <w:noProof/>
            <w:webHidden/>
          </w:rPr>
        </w:r>
        <w:r w:rsidR="00A430BE">
          <w:rPr>
            <w:noProof/>
            <w:webHidden/>
          </w:rPr>
          <w:fldChar w:fldCharType="separate"/>
        </w:r>
        <w:r w:rsidR="00593C0C">
          <w:rPr>
            <w:noProof/>
            <w:webHidden/>
          </w:rPr>
          <w:t>158</w:t>
        </w:r>
        <w:r w:rsidR="00A430BE">
          <w:rPr>
            <w:noProof/>
            <w:webHidden/>
          </w:rPr>
          <w:fldChar w:fldCharType="end"/>
        </w:r>
      </w:hyperlink>
    </w:p>
    <w:p w14:paraId="03FF80F7" w14:textId="0C1E7FAB" w:rsidR="00A430BE" w:rsidRDefault="00000000">
      <w:pPr>
        <w:pStyle w:val="Seznamobrzk"/>
        <w:tabs>
          <w:tab w:val="right" w:leader="dot" w:pos="7356"/>
        </w:tabs>
        <w:rPr>
          <w:rFonts w:asciiTheme="minorHAnsi" w:eastAsiaTheme="minorEastAsia" w:hAnsiTheme="minorHAnsi" w:cstheme="minorBidi"/>
          <w:noProof/>
          <w:sz w:val="22"/>
          <w:szCs w:val="22"/>
        </w:rPr>
      </w:pPr>
      <w:hyperlink w:anchor="_Toc126874220" w:history="1">
        <w:r w:rsidR="00A430BE" w:rsidRPr="00224C31">
          <w:rPr>
            <w:rStyle w:val="Hypertextovodkaz"/>
            <w:noProof/>
          </w:rPr>
          <w:t>Tab. 16: Průměrné hodnoty podobnosti soudních rozhodnutí s přiřazeným stejným a odlišným tématem</w:t>
        </w:r>
        <w:r w:rsidR="00A430BE">
          <w:rPr>
            <w:noProof/>
            <w:webHidden/>
          </w:rPr>
          <w:tab/>
        </w:r>
        <w:r w:rsidR="00A430BE">
          <w:rPr>
            <w:noProof/>
            <w:webHidden/>
          </w:rPr>
          <w:fldChar w:fldCharType="begin"/>
        </w:r>
        <w:r w:rsidR="00A430BE">
          <w:rPr>
            <w:noProof/>
            <w:webHidden/>
          </w:rPr>
          <w:instrText xml:space="preserve"> PAGEREF _Toc126874220 \h </w:instrText>
        </w:r>
        <w:r w:rsidR="00A430BE">
          <w:rPr>
            <w:noProof/>
            <w:webHidden/>
          </w:rPr>
        </w:r>
        <w:r w:rsidR="00A430BE">
          <w:rPr>
            <w:noProof/>
            <w:webHidden/>
          </w:rPr>
          <w:fldChar w:fldCharType="separate"/>
        </w:r>
        <w:r w:rsidR="00593C0C">
          <w:rPr>
            <w:noProof/>
            <w:webHidden/>
          </w:rPr>
          <w:t>159</w:t>
        </w:r>
        <w:r w:rsidR="00A430BE">
          <w:rPr>
            <w:noProof/>
            <w:webHidden/>
          </w:rPr>
          <w:fldChar w:fldCharType="end"/>
        </w:r>
      </w:hyperlink>
    </w:p>
    <w:p w14:paraId="65F3468F" w14:textId="7C0324EC" w:rsidR="008B1BE6" w:rsidRPr="00746487" w:rsidRDefault="004668F5" w:rsidP="00457A41">
      <w:pPr>
        <w:pStyle w:val="Odstavec1"/>
      </w:pPr>
      <w:r w:rsidRPr="00746487">
        <w:rPr>
          <w:b/>
          <w:bCs/>
          <w:noProof/>
        </w:rPr>
        <w:fldChar w:fldCharType="end"/>
      </w:r>
    </w:p>
    <w:p w14:paraId="7308DC4E" w14:textId="01826167" w:rsidR="003F666A" w:rsidRPr="00746487" w:rsidRDefault="003F666A" w:rsidP="003F666A">
      <w:pPr>
        <w:pStyle w:val="ZPSeznamzkratek"/>
      </w:pPr>
    </w:p>
    <w:p w14:paraId="4012EBDC" w14:textId="77777777" w:rsidR="00960575" w:rsidRPr="00746487" w:rsidRDefault="00960575" w:rsidP="002C0686">
      <w:pPr>
        <w:pStyle w:val="ZPSeznamzkratek"/>
        <w:sectPr w:rsidR="00960575" w:rsidRPr="00746487" w:rsidSect="002A18FA">
          <w:headerReference w:type="even" r:id="rId26"/>
          <w:headerReference w:type="default" r:id="rId27"/>
          <w:type w:val="oddPage"/>
          <w:pgSz w:w="11906" w:h="16838" w:code="9"/>
          <w:pgMar w:top="2380" w:right="2020" w:bottom="2380" w:left="2020" w:header="1900" w:footer="1280" w:gutter="500"/>
          <w:cols w:space="708"/>
          <w:docGrid w:linePitch="360"/>
        </w:sectPr>
      </w:pPr>
    </w:p>
    <w:p w14:paraId="30EF334F" w14:textId="5A96EE2F" w:rsidR="002A18FA" w:rsidRDefault="002A18FA">
      <w:pPr>
        <w:pStyle w:val="Nadpis1"/>
        <w:numPr>
          <w:ilvl w:val="0"/>
          <w:numId w:val="14"/>
        </w:numPr>
      </w:pPr>
      <w:bookmarkStart w:id="7" w:name="_Toc381564257"/>
      <w:bookmarkStart w:id="8" w:name="_Toc20320070"/>
      <w:bookmarkStart w:id="9" w:name="_Toc126909334"/>
      <w:r w:rsidRPr="00EE252F">
        <w:lastRenderedPageBreak/>
        <w:t>Úvod</w:t>
      </w:r>
      <w:bookmarkEnd w:id="7"/>
      <w:bookmarkEnd w:id="8"/>
      <w:r w:rsidR="00BF0406">
        <w:t xml:space="preserve"> a motivace</w:t>
      </w:r>
      <w:r w:rsidR="00195FE1">
        <w:rPr>
          <w:rStyle w:val="Znakapoznpodarou"/>
        </w:rPr>
        <w:footnoteReference w:id="2"/>
      </w:r>
      <w:bookmarkEnd w:id="9"/>
    </w:p>
    <w:p w14:paraId="2A02D3A0" w14:textId="77777777" w:rsidR="006C5A42" w:rsidRDefault="00FA43A5" w:rsidP="00FA43A5">
      <w:pPr>
        <w:pStyle w:val="Odstavec1"/>
      </w:pPr>
      <w:bookmarkStart w:id="10" w:name="_Hlk126477081"/>
      <w:r>
        <w:t>Právo je pravděpodobně jedním z nejnáročnějších profesních odvětví z pohledu množství informací, které obsahuje.</w:t>
      </w:r>
      <w:r>
        <w:rPr>
          <w:rStyle w:val="Znakapoznpodarou"/>
        </w:rPr>
        <w:footnoteReference w:id="3"/>
      </w:r>
      <w:r>
        <w:t xml:space="preserve"> Množství právních pramenů, jejichž obsah označujeme pojmem </w:t>
      </w:r>
      <w:r>
        <w:rPr>
          <w:i/>
          <w:iCs/>
        </w:rPr>
        <w:t>právo</w:t>
      </w:r>
      <w:r w:rsidR="00A2100A">
        <w:rPr>
          <w:i/>
          <w:iCs/>
        </w:rPr>
        <w:t xml:space="preserve">, </w:t>
      </w:r>
      <w:r>
        <w:t xml:space="preserve">je dnes již pro člověka </w:t>
      </w:r>
      <w:r w:rsidR="0021045F">
        <w:t>bez užití informačních technologií v podstatě nemožné poznat.</w:t>
      </w:r>
      <w:r>
        <w:t xml:space="preserve"> </w:t>
      </w:r>
      <w:r w:rsidR="0021045F">
        <w:t>P</w:t>
      </w:r>
      <w:r>
        <w:t xml:space="preserve">ro faktické poznání </w:t>
      </w:r>
      <w:r w:rsidR="0021045F">
        <w:t xml:space="preserve">takového objemu informací </w:t>
      </w:r>
      <w:r>
        <w:t xml:space="preserve">společnost </w:t>
      </w:r>
      <w:r w:rsidR="0021045F">
        <w:t xml:space="preserve">dnes </w:t>
      </w:r>
      <w:r>
        <w:t xml:space="preserve">již téměř výhradně </w:t>
      </w:r>
      <w:r w:rsidR="0021045F">
        <w:t>po</w:t>
      </w:r>
      <w:r>
        <w:t xml:space="preserve">užívá </w:t>
      </w:r>
      <w:r w:rsidR="0021045F">
        <w:t>těchto</w:t>
      </w:r>
      <w:r>
        <w:t xml:space="preserve"> technologií a digitálních formátů, a to i přesto, že podpora těchto technologií někdy vychází pouze ze soukromé sféry a stát v tomto směru zaostává.</w:t>
      </w:r>
      <w:bookmarkEnd w:id="10"/>
      <w:r>
        <w:t xml:space="preserve"> Společnost 21. století </w:t>
      </w:r>
      <w:r w:rsidR="0021045F">
        <w:t xml:space="preserve">prakticky </w:t>
      </w:r>
      <w:r>
        <w:t>spoléhá už jen na právo, ke kterému přistupuje s využitím informačních technologií</w:t>
      </w:r>
      <w:r w:rsidR="00A2100A">
        <w:t>.</w:t>
      </w:r>
      <w:r>
        <w:t xml:space="preserve"> </w:t>
      </w:r>
      <w:r w:rsidR="00A2100A">
        <w:t>Škála takového přístupu sahá</w:t>
      </w:r>
      <w:r>
        <w:t xml:space="preserve"> od fundamentálního vyhledání obsahu konkrétního zákonného ustanovení v (ať již soukromém či v lepším případě veřejném) právním informačním systému</w:t>
      </w:r>
      <w:r w:rsidR="00A2100A">
        <w:t>,</w:t>
      </w:r>
      <w:r>
        <w:t xml:space="preserve"> po sofistikovanější tvorbu rešerší a právních analýz závislých na</w:t>
      </w:r>
      <w:r w:rsidR="00AE7FCC">
        <w:t>,</w:t>
      </w:r>
      <w:r>
        <w:t xml:space="preserve"> vyjma legislativních pramenů</w:t>
      </w:r>
      <w:r w:rsidR="00AE7FCC">
        <w:t>,</w:t>
      </w:r>
      <w:r>
        <w:t xml:space="preserve"> také související judikatuře, ale i přidružené komentářové či odborné literatuře a další řadě podpůrných materiálů od důvodových zpráv po vzorové typy smluvních ustanovení. S rozvojem informačních technologií se nejen pro laickou (ve smyslu ne-právní) veřejnost stal obsah práva synonymem pro textaci legislativních ustanovení v některém z veřejně dostupných online právních informačních systémů. Z pohledu informačního objemu práva, jeho složitosti a komplexnosti v kombinaci s historicky bezprecedentním rozmachem obecného využití informačních technologií je toto logický a předpokládaný vývoj</w:t>
      </w:r>
      <w:r w:rsidR="00143FCA">
        <w:t>.</w:t>
      </w:r>
      <w:r>
        <w:t xml:space="preserve"> </w:t>
      </w:r>
      <w:r w:rsidR="00143FCA">
        <w:t>N</w:t>
      </w:r>
      <w:r>
        <w:t xml:space="preserve">elze očekávat, že se tento trend v budoucnu zvrátí, spíše naopak – je nutné </w:t>
      </w:r>
      <w:r w:rsidR="00D806B2">
        <w:t>počítat</w:t>
      </w:r>
      <w:r>
        <w:t xml:space="preserve"> spíše </w:t>
      </w:r>
      <w:r w:rsidR="00D806B2">
        <w:t xml:space="preserve">s </w:t>
      </w:r>
      <w:r>
        <w:t>jeho akcelerac</w:t>
      </w:r>
      <w:r w:rsidR="00D806B2">
        <w:t>í</w:t>
      </w:r>
      <w:r>
        <w:t xml:space="preserve">. Takové situaci je pak nutné se přizpůsobit a informační technologie předkládající právo společnosti vytvořit takové, aby nejenže poskytovaly </w:t>
      </w:r>
      <w:r>
        <w:rPr>
          <w:i/>
          <w:iCs/>
        </w:rPr>
        <w:t>správné</w:t>
      </w:r>
      <w:r>
        <w:t xml:space="preserve"> (ve smyslu totožné s oficiálním výsledkem legislativního či jiného právotvorného procesu) právní informace, ale v co největší možné míře </w:t>
      </w:r>
      <w:r w:rsidR="009F0EF0">
        <w:t xml:space="preserve">i </w:t>
      </w:r>
      <w:r>
        <w:rPr>
          <w:i/>
          <w:iCs/>
        </w:rPr>
        <w:t>přístupné a kognitivně poznatelné</w:t>
      </w:r>
      <w:r>
        <w:t xml:space="preserve"> pro co největší část společnosti, čímž by byla naplněna základní informační potřeba </w:t>
      </w:r>
      <w:r>
        <w:lastRenderedPageBreak/>
        <w:t>společnosti ohledně poznání obsahu práva, které je povinna dodržovat.</w:t>
      </w:r>
      <w:r>
        <w:rPr>
          <w:rStyle w:val="Znakapoznpodarou"/>
        </w:rPr>
        <w:footnoteReference w:id="4"/>
      </w:r>
      <w:r>
        <w:t xml:space="preserve"> Metodologické oddělení těchto dvou podmínek – 1) správnosti a 2) přístupnosti a kognitivní poznatelnosti</w:t>
      </w:r>
      <w:r>
        <w:rPr>
          <w:rStyle w:val="Znakapoznpodarou"/>
        </w:rPr>
        <w:footnoteReference w:id="5"/>
      </w:r>
      <w:r>
        <w:t xml:space="preserve"> – je důležité zejména s ohledem na požadavky, které klademe na konkrétní metody</w:t>
      </w:r>
      <w:r w:rsidR="000E3336">
        <w:t xml:space="preserve"> a systémy</w:t>
      </w:r>
      <w:r>
        <w:t xml:space="preserve"> zpracovávání a vyhledávání právních informací a které budou rozebrány níže v textu.</w:t>
      </w:r>
    </w:p>
    <w:p w14:paraId="451D0BB6" w14:textId="1592563B" w:rsidR="00FA43A5" w:rsidRDefault="00FA43A5" w:rsidP="006C5A42">
      <w:pPr>
        <w:pStyle w:val="Dalodstavce"/>
      </w:pPr>
      <w:r>
        <w:t xml:space="preserve">Výše popsané aktivity lze shrnout pod obecně používaný pojem </w:t>
      </w:r>
      <w:r>
        <w:rPr>
          <w:i/>
          <w:iCs/>
        </w:rPr>
        <w:t>vyhledávání právních informací</w:t>
      </w:r>
      <w:r>
        <w:t xml:space="preserve"> (překlad z anglického termínu „</w:t>
      </w:r>
      <w:r>
        <w:rPr>
          <w:i/>
          <w:iCs/>
        </w:rPr>
        <w:t>legal information retrieval</w:t>
      </w:r>
      <w:r>
        <w:t>“), který je podřazen obecnému termínu „</w:t>
      </w:r>
      <w:r>
        <w:rPr>
          <w:i/>
          <w:iCs/>
        </w:rPr>
        <w:t>vyhledávání informací</w:t>
      </w:r>
      <w:r>
        <w:t>“ (v anglickém originále „</w:t>
      </w:r>
      <w:r>
        <w:rPr>
          <w:i/>
          <w:iCs/>
        </w:rPr>
        <w:t>information retrieval</w:t>
      </w:r>
      <w:r>
        <w:t>“), který se vyvinul spolu s rozvojem informačních technologií a internetu, poskytujícího dříve nepředstavitelné množství informací a dat. Taková situace způsobila zásadní obrat ve způsobu, jakým obecně lidé poznávají svět. Proces vyhledávání a získávání informací, které potřebujeme, se stává minimálně stejně důležitým</w:t>
      </w:r>
      <w:r w:rsidR="00A464F4">
        <w:t>,</w:t>
      </w:r>
      <w:r>
        <w:t xml:space="preserve">  jako je samotná informace o světě. </w:t>
      </w:r>
      <w:r w:rsidR="004D35AB" w:rsidRPr="004D35AB">
        <w:t xml:space="preserve">Zvýšená pozornost věnovaná tomuto procesu pak způsobuje ten efekt, že koncept </w:t>
      </w:r>
      <w:r w:rsidR="004D35AB" w:rsidRPr="004D35AB">
        <w:rPr>
          <w:i/>
          <w:iCs/>
        </w:rPr>
        <w:t>vyhledávání informací</w:t>
      </w:r>
      <w:r w:rsidR="004D35AB" w:rsidRPr="004D35AB">
        <w:t xml:space="preserve"> </w:t>
      </w:r>
      <w:r w:rsidR="00D92342">
        <w:t>je vydělen</w:t>
      </w:r>
      <w:r w:rsidR="004D35AB" w:rsidRPr="004D35AB">
        <w:t xml:space="preserve"> do samostatného odvětví informační vědy.</w:t>
      </w:r>
    </w:p>
    <w:p w14:paraId="06572AB9" w14:textId="3BD02BAF" w:rsidR="00FA43A5" w:rsidRPr="00FA43A5" w:rsidRDefault="00FA43A5" w:rsidP="00FA43A5">
      <w:pPr>
        <w:pStyle w:val="Dalodstavce"/>
      </w:pPr>
      <w:r>
        <w:t xml:space="preserve">Navážeme-li na </w:t>
      </w:r>
      <w:r w:rsidR="006C5A42">
        <w:t xml:space="preserve">výše uvedené </w:t>
      </w:r>
      <w:r>
        <w:t>rozdělení podmínek správnosti a přístupnosti a kognitivní poznatelnosti právních informací, poté první podmínka správnosti znamená samotnou existenci a přítomnost právní informace v systému či databázi obecně a její objektivní správnost, tedy shodnost obsahu s příslušnou autoritou vytvořeným obsahem</w:t>
      </w:r>
      <w:r w:rsidR="00935D73">
        <w:t>.</w:t>
      </w:r>
      <w:r>
        <w:t xml:space="preserve"> </w:t>
      </w:r>
      <w:r w:rsidR="00935D73">
        <w:t>Druhá</w:t>
      </w:r>
      <w:r>
        <w:t xml:space="preserve"> podmínka pak znamená možnost tuto informaci najít a zjistit její obsah</w:t>
      </w:r>
      <w:r w:rsidR="00A464F4">
        <w:t>,</w:t>
      </w:r>
      <w:r>
        <w:t xml:space="preserve"> a to včetně možnosti ji kognitivně poznat a pochopit v kontextu. Vyhledávání právních informací, jak je patrné, se pak zabývá zejména, avšak nevýhradně, splněním podmínky druhé. Současně je ale splnění podmínky první, tedy existence a správnosti právní informace, nezbytné pro její vyhledání a poznání. Tyto dvě podmínky jsou tedy nutně vzájemně závislé.</w:t>
      </w:r>
      <w:r>
        <w:rPr>
          <w:rStyle w:val="Znakapoznpodarou"/>
        </w:rPr>
        <w:footnoteReference w:id="6"/>
      </w:r>
      <w:r>
        <w:t xml:space="preserve"> </w:t>
      </w:r>
      <w:hyperlink w:anchor="X2e9d117da599c9eb7bd54841919101cb87fe1fd">
        <w:r w:rsidRPr="00FA43A5">
          <w:t xml:space="preserve">V této práci se zabývám oběma dílčími úkoly. Pro </w:t>
        </w:r>
        <w:r w:rsidRPr="00FA43A5">
          <w:lastRenderedPageBreak/>
          <w:t xml:space="preserve">experimentování s metodami vyhledávání právních informací je totiž nejprve nutné, aby byly tyto právní informace dostupné ve formě vhodné k experimentování, tedy konkrétně jako korpus textů, které lze hromadně strojově zpracovávat. Na začátku doktorského projektu byly dokumenty, se kterými jsem poté během studia pracovala (soudní rozhodnutí </w:t>
        </w:r>
        <w:r w:rsidR="00BF0406">
          <w:t>tří vrcholných</w:t>
        </w:r>
        <w:r w:rsidRPr="00FA43A5">
          <w:t xml:space="preserve"> českých soudů), takovýmto způsobem nedostupné, jak bude popsáno níže.</w:t>
        </w:r>
      </w:hyperlink>
      <w:r w:rsidR="00BF0406">
        <w:rPr>
          <w:rStyle w:val="Znakapoznpodarou"/>
        </w:rPr>
        <w:footnoteReference w:id="7"/>
      </w:r>
      <w:r w:rsidR="0044577E">
        <w:t xml:space="preserve"> </w:t>
      </w:r>
      <w:hyperlink w:anchor="X2e9d117da599c9eb7bd54841919101cb87fe1fd">
        <w:r w:rsidRPr="00FA43A5">
          <w:t xml:space="preserve">Jako první krok </w:t>
        </w:r>
        <w:r w:rsidR="002164E4" w:rsidRPr="002164E4">
          <w:t xml:space="preserve">tedy </w:t>
        </w:r>
        <w:r w:rsidRPr="00FA43A5">
          <w:t xml:space="preserve">bylo nutné vytvořit korpusy textů soudních rozhodnutí tří </w:t>
        </w:r>
        <w:r w:rsidR="0044577E">
          <w:t>vrcholných</w:t>
        </w:r>
        <w:r w:rsidRPr="00FA43A5">
          <w:t xml:space="preserve"> soudů, které jsem poté uveřejnila k dalšímu výzkumnému užití. Právě </w:t>
        </w:r>
        <w:r w:rsidR="003E0C7E">
          <w:t>s</w:t>
        </w:r>
        <w:r w:rsidRPr="00FA43A5">
          <w:t xml:space="preserve"> těmito korpusy jsem pak následně prováděla popisované experimenty s metodami zpracování přirozeného jazyka. Tímto byla splněna první podmínka a bylo možné přejít ke zkoumání podmínky druhé.</w:t>
        </w:r>
      </w:hyperlink>
    </w:p>
    <w:p w14:paraId="2510AD13" w14:textId="1C5C5CAC" w:rsidR="00FA43A5" w:rsidRDefault="00FA43A5" w:rsidP="000E3336">
      <w:pPr>
        <w:pStyle w:val="Dalodstavce"/>
      </w:pPr>
      <w:r>
        <w:t>Jak uvádí Malmgren</w:t>
      </w:r>
      <w:r>
        <w:rPr>
          <w:rStyle w:val="Znakapoznpodarou"/>
        </w:rPr>
        <w:footnoteReference w:id="8"/>
      </w:r>
      <w:r>
        <w:t>, možnost efektivně nacházet dokumenty (právní prameny) v systému je důležitá vlastnost systému vyhledávání informací</w:t>
      </w:r>
      <w:r w:rsidR="006C5A42">
        <w:t>, která je ovšem úzce spojena se schopností uživatele tento systém k vyhledávání použít</w:t>
      </w:r>
      <w:r>
        <w:rPr>
          <w:rStyle w:val="Znakapoznpodarou"/>
        </w:rPr>
        <w:footnoteReference w:id="9"/>
      </w:r>
      <w:r w:rsidR="006C5A42">
        <w:t>.</w:t>
      </w:r>
      <w:r>
        <w:t xml:space="preserve"> </w:t>
      </w:r>
      <w:r w:rsidR="006C5A42">
        <w:t>Z</w:t>
      </w:r>
      <w:r>
        <w:t xml:space="preserve"> tohoto důvodu je definována tzv. informační potřeba koncového uživatele, kterou tento uživatel chce v rámci systému vyhledávání informací uspokojit. Za tímto účelem jsou definovány různé způsoby a metody, jak v systému informace vyhledávat – nejzákladnější rozdělení je vyhledávání pomocí uživatelského dotazu (a to jak fulltextem, tak pomocí klíčových slov atd.) nebo pomocí postupného tematického zužování hranic seznamu vyhledaných dokumentů (pod tímto způsobem si lze představit mimo jiné také vyhledávání pomocí předem určených kategorií a tříd dokumentů, které se postupně </w:t>
      </w:r>
      <w:r>
        <w:lastRenderedPageBreak/>
        <w:t>zpřesňují).</w:t>
      </w:r>
      <w:r>
        <w:rPr>
          <w:rStyle w:val="Znakapoznpodarou"/>
        </w:rPr>
        <w:footnoteReference w:id="10"/>
      </w:r>
      <w:r>
        <w:t xml:space="preserve"> Cílem využití metod vyhledávání informací je poskytnout všechny výsledky, které jsou relevantní a současně navíc žádné, které relevantní nejsou. Za tímto účelem vznikly metriky vyhledávání informací, které měří právě tyto hodnoty a slouží k hodnocení a komparaci metod vyhledávání informací.</w:t>
      </w:r>
      <w:r>
        <w:rPr>
          <w:rStyle w:val="Znakapoznpodarou"/>
        </w:rPr>
        <w:footnoteReference w:id="11"/>
      </w:r>
      <w:r>
        <w:t xml:space="preserve"> Je však patrné, že samotná definice </w:t>
      </w:r>
      <w:r>
        <w:rPr>
          <w:i/>
          <w:iCs/>
        </w:rPr>
        <w:t>relevance</w:t>
      </w:r>
      <w:r>
        <w:t xml:space="preserve"> vyhledané informace vůči uživatelské potřebě je náročným úkolem, protože z určité části bude vždy subjektivní. Přesto však vznikají studie o tom, jak relevanci chápat a měřit tak, aby byly vyhledávací metody objektivně aplikovatelné. Například výše citovaní Opijnen a Santos kategorizují relevanci právních informací dle metodologie užívané pro obecné vyhledávání informací. Dle jejich kategorií se pak přirozeně liší i míra závislosti daného typu relevance na subjektivním hodnocení uživatele.</w:t>
      </w:r>
      <w:r>
        <w:rPr>
          <w:rStyle w:val="Znakapoznpodarou"/>
        </w:rPr>
        <w:footnoteReference w:id="12"/>
      </w:r>
      <w:r w:rsidR="00822659">
        <w:t xml:space="preserve"> </w:t>
      </w:r>
      <w:r w:rsidR="00705645">
        <w:t>Velmi zjednodušeně lze shrnout, že v této práci budou řešeny konkrétně všechny nastíněné problémy – jak otázka dostupnosti právních informací v České republice, tak otázka vhodných metod pro vyhledávání českých právních informací a s ní související otázka relevance výsledků těchto metod</w:t>
      </w:r>
      <w:r w:rsidR="005526FE">
        <w:t xml:space="preserve"> a na závěr i otázka subjektivnosti hodnocení člověkem</w:t>
      </w:r>
      <w:r w:rsidR="00705645">
        <w:t>.</w:t>
      </w:r>
    </w:p>
    <w:p w14:paraId="0BCC6E39" w14:textId="457F784E" w:rsidR="00FA43A5" w:rsidRDefault="000E3336" w:rsidP="00FA43A5">
      <w:pPr>
        <w:pStyle w:val="Dalodstavce"/>
      </w:pPr>
      <w:r>
        <w:t>Abych tuto výzkumnou motivaci uvedla do kontextu této práce,</w:t>
      </w:r>
      <w:r w:rsidR="00FA43A5">
        <w:t xml:space="preserve"> </w:t>
      </w:r>
      <w:r w:rsidR="00A011E6">
        <w:t>vycházím z výše uvedeného</w:t>
      </w:r>
      <w:r>
        <w:t xml:space="preserve"> </w:t>
      </w:r>
      <w:r w:rsidR="00FA43A5">
        <w:t xml:space="preserve">předpokladu, že užití informačních technologií (zde konkrétně metod </w:t>
      </w:r>
      <w:r w:rsidR="00705645">
        <w:t xml:space="preserve">síťové analýzy a </w:t>
      </w:r>
      <w:r w:rsidR="00FA43A5">
        <w:t xml:space="preserve">zpracování přirozeného jazyka) je v dnešní době nezbytné pro práci s právními informacemi. To znamená, že je nutné tyto technologie či metody uzpůsobit práci s právními informacemi a právním textem a navrhnout je tak, aby práci opravdu zefektivňovaly. V obecné rovině </w:t>
      </w:r>
      <w:r w:rsidR="00A011E6">
        <w:t>je smyslem práce</w:t>
      </w:r>
      <w:r w:rsidR="00FA43A5">
        <w:t xml:space="preserve"> experimentálně </w:t>
      </w:r>
      <w:r w:rsidR="00A011E6">
        <w:t>ověřit</w:t>
      </w:r>
      <w:r w:rsidR="00FA43A5">
        <w:t xml:space="preserve">, zda </w:t>
      </w:r>
      <w:r w:rsidR="00A011E6">
        <w:t xml:space="preserve">jsou </w:t>
      </w:r>
      <w:r w:rsidR="00FA43A5">
        <w:t xml:space="preserve">metody </w:t>
      </w:r>
      <w:r w:rsidR="00705645">
        <w:t xml:space="preserve">síťové analýzy a </w:t>
      </w:r>
      <w:r w:rsidR="00FA43A5">
        <w:t xml:space="preserve">zpracování přirozeného jazyka standardně užívané k vyhledávání a analyzování právních informací schopné </w:t>
      </w:r>
      <w:r w:rsidR="00A011E6">
        <w:lastRenderedPageBreak/>
        <w:t xml:space="preserve">o nich </w:t>
      </w:r>
      <w:r w:rsidR="00FA43A5">
        <w:t xml:space="preserve">přinést nové informace a zlepšit jejich vyhledávání. Konkrétně se v práci snažím zjistit, zda jsou </w:t>
      </w:r>
      <w:r w:rsidR="00F40785">
        <w:t>vybrané metody</w:t>
      </w:r>
      <w:r w:rsidR="00CD4459">
        <w:t xml:space="preserve"> (</w:t>
      </w:r>
      <w:r w:rsidR="00CD4459" w:rsidRPr="00CD4459">
        <w:rPr>
          <w:i/>
          <w:iCs/>
        </w:rPr>
        <w:t xml:space="preserve">citační síťová analýzy, doc2vec model </w:t>
      </w:r>
      <w:r w:rsidR="00CD4459" w:rsidRPr="00CD4459">
        <w:t>a</w:t>
      </w:r>
      <w:r w:rsidR="00CD4459" w:rsidRPr="00CD4459">
        <w:rPr>
          <w:i/>
          <w:iCs/>
        </w:rPr>
        <w:t xml:space="preserve"> modelování témat</w:t>
      </w:r>
      <w:r w:rsidR="00CD4459">
        <w:t>)</w:t>
      </w:r>
      <w:r w:rsidR="00F40785">
        <w:t xml:space="preserve"> vhodné pro vyhledávání soudních rozhodnutí</w:t>
      </w:r>
      <w:r w:rsidR="00FA43A5">
        <w:t xml:space="preserve"> a zda </w:t>
      </w:r>
      <w:r w:rsidR="00F40785">
        <w:t xml:space="preserve">při praktické aplikaci </w:t>
      </w:r>
      <w:r w:rsidR="00FA43A5">
        <w:t xml:space="preserve">poskytují dostatečně přesné výsledky na to, aby byly použitelné </w:t>
      </w:r>
      <w:r w:rsidR="00F40785">
        <w:t xml:space="preserve">právníky </w:t>
      </w:r>
      <w:r w:rsidR="00FA43A5">
        <w:t xml:space="preserve">v praxi. </w:t>
      </w:r>
      <w:r w:rsidR="00F40785">
        <w:t>V této práci je nejprve řešena technická stránka aplikace vybraných metod na texty soudních rozhodnutí českých soudů. Protože mě ale zajímá praktický dopad metod, je pro mě d</w:t>
      </w:r>
      <w:r w:rsidR="00FA43A5">
        <w:t xml:space="preserve">ůležitý konečný názor člověka, </w:t>
      </w:r>
      <w:r w:rsidR="00A011E6">
        <w:t>jenž</w:t>
      </w:r>
      <w:r w:rsidR="00FA43A5">
        <w:t xml:space="preserve"> pomocí této metody bude vyhledávat </w:t>
      </w:r>
      <w:r w:rsidR="00F40785">
        <w:t>soudní rozhodnutí</w:t>
      </w:r>
      <w:r w:rsidR="00FA43A5">
        <w:t xml:space="preserve"> </w:t>
      </w:r>
      <w:r w:rsidR="00F40785">
        <w:t>a proto je stěžejní částí této práce následná evaluace metod právníky</w:t>
      </w:r>
      <w:r w:rsidR="00FA43A5">
        <w:t>.</w:t>
      </w:r>
    </w:p>
    <w:p w14:paraId="5CFC9221" w14:textId="14F83190" w:rsidR="00FA43A5" w:rsidRDefault="00FA43A5" w:rsidP="00FA43A5">
      <w:pPr>
        <w:pStyle w:val="Dalodstavce"/>
      </w:pPr>
      <w:r>
        <w:t xml:space="preserve">Užité metody zpracování přirozeného jazyka v této dizertační práci se vždy vztahují k síťové analýze. Je však nutné zde vymezit, že síťovou analýzou </w:t>
      </w:r>
      <w:r w:rsidR="00D26529">
        <w:t xml:space="preserve">jsou </w:t>
      </w:r>
      <w:r>
        <w:t>v tomto kontextu myšleny ty metody, které naplňují základní principy síťové analýzy – a tedy možnost zkoumat jak dané entity (právní informace či dokumenty), tak zejména vztahy mezi nimi. Bude se tedy jednat jak o metody, které jsou označovány v odborné literatuře jako metody síťové analýzy v užším smyslu (</w:t>
      </w:r>
      <w:r w:rsidRPr="00CD4459">
        <w:rPr>
          <w:i/>
          <w:iCs/>
        </w:rPr>
        <w:t>citační síťová analýza</w:t>
      </w:r>
      <w:r>
        <w:t>), tak o metody, které splňují výše uvedené principy, ale standardně jako „síťové“ nutně nebývají označovány</w:t>
      </w:r>
      <w:r w:rsidR="00CD4459">
        <w:t xml:space="preserve"> (</w:t>
      </w:r>
      <w:r w:rsidR="00CD4459" w:rsidRPr="00CD4459">
        <w:rPr>
          <w:i/>
          <w:iCs/>
        </w:rPr>
        <w:t>doc2vec model</w:t>
      </w:r>
      <w:r w:rsidR="00CD4459">
        <w:t xml:space="preserve"> a </w:t>
      </w:r>
      <w:r w:rsidR="00CD4459" w:rsidRPr="00CD4459">
        <w:rPr>
          <w:i/>
          <w:iCs/>
        </w:rPr>
        <w:t>modelování témat</w:t>
      </w:r>
      <w:r w:rsidR="00CD4459">
        <w:t>)</w:t>
      </w:r>
      <w:r>
        <w:t>.</w:t>
      </w:r>
      <w:r>
        <w:rPr>
          <w:rStyle w:val="Znakapoznpodarou"/>
        </w:rPr>
        <w:footnoteReference w:id="13"/>
      </w:r>
      <w:r>
        <w:t xml:space="preserve"> Ačkoliv je tento přístup k definování základní užívané metody neortodoxní, byl zvolen z toho důvodu, že podle mě povede k zamýšlenému cíli, kterým je ověření, zda vybrané metody (obecně) přinášejí nové </w:t>
      </w:r>
      <w:r w:rsidR="00D26529">
        <w:t>poznatky</w:t>
      </w:r>
      <w:r>
        <w:t xml:space="preserve"> při práci s právními informacemi. Splnění tohoto cíle je totiž, jak bude ukázáno níže, založeno právě na zkoumání vztahů mezi právními entitami. Zjednodušeně </w:t>
      </w:r>
      <w:r w:rsidR="00D26529">
        <w:t>řečeno</w:t>
      </w:r>
      <w:r>
        <w:t xml:space="preserve"> – k ověření výzkumných otázek, které budou konkrétně popsány </w:t>
      </w:r>
      <w:r w:rsidR="000B380B">
        <w:t>v následující kapitole</w:t>
      </w:r>
      <w:r>
        <w:t xml:space="preserve">, budu zkoumat vztahy mezi jednotlivými právními entitami pomocí </w:t>
      </w:r>
      <w:r w:rsidR="00CD4459">
        <w:t>zmíněných</w:t>
      </w:r>
      <w:r>
        <w:t xml:space="preserve"> metod zpracování přirozeného jazyka, tyto metody budu následně také evaluovat. Zkoumání pak bude metodologicky zastřešovat metoda síťové analýzy.</w:t>
      </w:r>
    </w:p>
    <w:p w14:paraId="6AE8F761" w14:textId="4458584B" w:rsidR="006A3938" w:rsidRDefault="006A3938" w:rsidP="00A22654">
      <w:pPr>
        <w:pStyle w:val="Dalodstavce"/>
      </w:pPr>
      <w:r>
        <w:t xml:space="preserve">Metody, které nazývám metodami síťové analýzy, zde budu užívat ke dvěma hlavním účelům. Prvním je výše diskutované vyhledávání právních informací (soudních rozhodnutí), pro úplnost však zahrnu i krátký vhled do toho, jak lze síťovou analýzu užít k popisu a chápání některých právně teoretických konceptů. Konkrétně představím výzkum, který se zabýval síťovou analýzou citací českých soudů </w:t>
      </w:r>
      <w:r w:rsidR="005A1C73">
        <w:t>a uvedu některé z hlavních závěrů tohoto výzkumu.</w:t>
      </w:r>
    </w:p>
    <w:p w14:paraId="220D687D" w14:textId="65BA195E" w:rsidR="00A22654" w:rsidRDefault="00A22654" w:rsidP="005A1C73">
      <w:pPr>
        <w:pStyle w:val="Dalodstavce"/>
      </w:pPr>
      <w:r w:rsidRPr="006A3938">
        <w:lastRenderedPageBreak/>
        <w:t>Oddělení těchto dvou základních východisek je pro dizertační práci klíčové. Aplikace metod zpracování přirozeného jazyka na právní text totiž obvykle, ale ne nezbytně, následuje jeden z těchto cílů: získat nový (empirický) náhled na určitý teoreticko</w:t>
      </w:r>
      <w:r w:rsidR="009F64AB">
        <w:t>-</w:t>
      </w:r>
      <w:r w:rsidRPr="006A3938">
        <w:t xml:space="preserve">právní institut či koncept, nebo lépe vyhledávat právní informace a dokumenty. Zde je ovšem nutné zmínit, že se tyto dva cíle často prolínají a současně je obvykle možné určitou konkrétní metodu použít bez výrazných úprav k oběma cílům dle toho, co skrze ni v daný moment zkoumáme. Pro tuto práci je však toto oddělení důležité zejména proto, </w:t>
      </w:r>
      <w:r w:rsidR="005A1C73">
        <w:t>že dosažení těchto dvou cílů vyžaduje velmi odlišnou metodologii</w:t>
      </w:r>
      <w:r w:rsidRPr="006A3938">
        <w:t xml:space="preserve"> i metod</w:t>
      </w:r>
      <w:r w:rsidR="005A1C73">
        <w:t>u</w:t>
      </w:r>
      <w:r w:rsidRPr="006A3938">
        <w:t xml:space="preserve"> hodnocení splnění tohoto cíle (metoda evaluace).</w:t>
      </w:r>
      <w:r w:rsidR="00BE701A">
        <w:t xml:space="preserve"> Toto se promítá do struktury i metodologie této práce.</w:t>
      </w:r>
    </w:p>
    <w:p w14:paraId="01C05F6F" w14:textId="5289DA93" w:rsidR="00FA43A5" w:rsidRDefault="00FA43A5" w:rsidP="00FA43A5">
      <w:pPr>
        <w:pStyle w:val="Dalodstavce"/>
      </w:pPr>
      <w:r>
        <w:t>Konstatování, že metody zpracování přirozeného jazyka (se zaměřením na metody síťové analýzy) jsou vhodným prostředkem pro vyhledávání právních informací</w:t>
      </w:r>
      <w:r w:rsidR="009942AA">
        <w:t xml:space="preserve"> a pro popis teoretických právních konceptů</w:t>
      </w:r>
      <w:r>
        <w:t xml:space="preserve"> je základní tezí dizertační práce. Tato teze pak zastřešuje všechny výzkumné otázky a je skrze jejich metodologii zkoumána. Nejedná se totiž o binární volbu, zda metody k vyhledávání lze efektivně použít či nikoliv</w:t>
      </w:r>
      <w:r w:rsidR="009942AA">
        <w:t xml:space="preserve"> a zda jsou schopné nám přinést nové informace o právních konceptech</w:t>
      </w:r>
      <w:r>
        <w:t xml:space="preserve">, ale spíše o škálu </w:t>
      </w:r>
      <w:r>
        <w:rPr>
          <w:i/>
          <w:iCs/>
        </w:rPr>
        <w:t>přesnosti</w:t>
      </w:r>
      <w:r>
        <w:t xml:space="preserve">, na </w:t>
      </w:r>
      <w:r w:rsidR="00D26529">
        <w:t>níž</w:t>
      </w:r>
      <w:r>
        <w:t xml:space="preserve"> se jednotlivé metody představené v dizertační práci pohybují.</w:t>
      </w:r>
    </w:p>
    <w:p w14:paraId="56C53F4E" w14:textId="2862E3CA" w:rsidR="009942AA" w:rsidRDefault="009B7C56" w:rsidP="009942AA">
      <w:pPr>
        <w:pStyle w:val="Dalodstavce"/>
      </w:pPr>
      <w:r w:rsidRPr="006F74D2">
        <w:t xml:space="preserve">Na závěr je nutné ještě reflektovat </w:t>
      </w:r>
      <w:r w:rsidR="006F74D2">
        <w:t>probíhající</w:t>
      </w:r>
      <w:r w:rsidR="006F74D2" w:rsidRPr="006F74D2">
        <w:t xml:space="preserve"> diskuzi </w:t>
      </w:r>
      <w:r w:rsidR="006F74D2">
        <w:t>v souvislosti se vstupem nových technologií</w:t>
      </w:r>
      <w:r w:rsidR="006F74D2" w:rsidRPr="006F74D2">
        <w:t xml:space="preserve"> </w:t>
      </w:r>
      <w:r w:rsidR="006F74D2">
        <w:t xml:space="preserve">do právního odvětví. Vzhledem ke </w:t>
      </w:r>
      <w:r w:rsidR="009942AA" w:rsidRPr="006F74D2">
        <w:t>konzervativní pova</w:t>
      </w:r>
      <w:r w:rsidR="006F74D2">
        <w:t>ze</w:t>
      </w:r>
      <w:r w:rsidR="009942AA" w:rsidRPr="006F74D2">
        <w:t xml:space="preserve"> práva a případn</w:t>
      </w:r>
      <w:r w:rsidR="006F74D2" w:rsidRPr="006F74D2">
        <w:t>é</w:t>
      </w:r>
      <w:r w:rsidR="009942AA" w:rsidRPr="006F74D2">
        <w:t xml:space="preserve"> deterministick</w:t>
      </w:r>
      <w:r w:rsidR="006F74D2" w:rsidRPr="006F74D2">
        <w:t>é</w:t>
      </w:r>
      <w:r w:rsidR="009942AA" w:rsidRPr="006F74D2">
        <w:t xml:space="preserve"> pova</w:t>
      </w:r>
      <w:r w:rsidR="006F74D2">
        <w:t>ze</w:t>
      </w:r>
      <w:r w:rsidR="009942AA" w:rsidRPr="006F74D2">
        <w:t xml:space="preserve"> rozhodnutí v</w:t>
      </w:r>
      <w:r w:rsidR="006F74D2">
        <w:t> </w:t>
      </w:r>
      <w:r w:rsidR="009942AA" w:rsidRPr="006F74D2">
        <w:t>právu</w:t>
      </w:r>
      <w:r w:rsidR="009942AA" w:rsidRPr="00AF09DE">
        <w:t xml:space="preserve"> je využívání nových technologií v právu vždy doprovázeno širokou debatou o vhodnosti toho kterého postupu či technologie, jeho možného negativního vlivu na konkrétní adresáty apod. Tato otázka, aktuálně nejčastěji zmiňovaná v souvislosti s užitím umělé inteligence v právu, však není předmětem </w:t>
      </w:r>
      <w:r w:rsidR="006F74D2">
        <w:t>této</w:t>
      </w:r>
      <w:r w:rsidR="009942AA" w:rsidRPr="00AF09DE">
        <w:t xml:space="preserve"> dizertační práce. Základním východiskem této práce </w:t>
      </w:r>
      <w:r w:rsidR="00D26529">
        <w:t xml:space="preserve">je </w:t>
      </w:r>
      <w:r w:rsidR="009942AA" w:rsidRPr="00AF09DE">
        <w:t>naopak to, že metody zpracování přirozeného jazyka mohou být důležitým pomocníkem při zkoumání práva i při práci s právními prameny, limitaci jejich negativních vlivů práce považuje za nutnou podmínku, která je však mimo její rozsah.</w:t>
      </w:r>
    </w:p>
    <w:p w14:paraId="386B121A" w14:textId="33DF55A6" w:rsidR="002121D4" w:rsidRDefault="00FA43A5" w:rsidP="00FA43A5">
      <w:pPr>
        <w:pStyle w:val="Dalodstavce"/>
      </w:pPr>
      <w:r>
        <w:t xml:space="preserve">Tato práce je rozdělena do </w:t>
      </w:r>
      <w:r w:rsidR="002121D4">
        <w:t>tří</w:t>
      </w:r>
      <w:r>
        <w:t xml:space="preserve"> hlavních částí</w:t>
      </w:r>
      <w:r w:rsidR="002121D4">
        <w:t xml:space="preserve">. První část, která pokládá teoretický základ práce, obsahuje mimo tento úvod a motivaci i definici výzkumných otázek v kapitole 2 a přehled relevantní literatury k síťové analýze a vysvětlení jejích teoretických základů v kapitole 3. Do teoretické části je dále zahrnuta kapitola 4, která obsahuje základní přehled </w:t>
      </w:r>
      <w:r w:rsidR="00671302">
        <w:t>použitých datasetů, zvolených metod zkoumání a způsobů jejich evaluace</w:t>
      </w:r>
      <w:r w:rsidR="002121D4">
        <w:t>.</w:t>
      </w:r>
      <w:r w:rsidR="000033B3">
        <w:t xml:space="preserve"> V kapitole</w:t>
      </w:r>
      <w:r w:rsidR="000033B3" w:rsidRPr="000033B3">
        <w:t xml:space="preserve"> 5 </w:t>
      </w:r>
      <w:r w:rsidR="000033B3">
        <w:t xml:space="preserve">pak </w:t>
      </w:r>
      <w:r w:rsidR="000033B3" w:rsidRPr="000033B3">
        <w:t xml:space="preserve">přináším </w:t>
      </w:r>
      <w:r w:rsidR="00B40A7D">
        <w:t xml:space="preserve">pro úplnost </w:t>
      </w:r>
      <w:r w:rsidR="000033B3" w:rsidRPr="000033B3">
        <w:t xml:space="preserve">základní přehled užití </w:t>
      </w:r>
      <w:r w:rsidR="000033B3" w:rsidRPr="000033B3">
        <w:lastRenderedPageBreak/>
        <w:t>síťové analýzy na citační síť soudních rozhodnutí tří vrcholných soudů za účelem jejího popisu.</w:t>
      </w:r>
    </w:p>
    <w:p w14:paraId="114EA338" w14:textId="404B9EAD" w:rsidR="002121D4" w:rsidRDefault="002121D4" w:rsidP="00FA43A5">
      <w:pPr>
        <w:pStyle w:val="Dalodstavce"/>
      </w:pPr>
      <w:r>
        <w:t>Druhá část, kterou nazývám praktickou</w:t>
      </w:r>
      <w:r w:rsidR="006F7C39">
        <w:t>, obsahuje kapitoly týkající se konkrétních vybraných metod a jejich aplikaci na soudní rozhodnutí. V kapitolách 6 až 9 popisuji další metody aplikované už za účelem vyhledávání soudních rozhodnutí a metody jejich evaluace</w:t>
      </w:r>
      <w:r w:rsidR="000033B3">
        <w:t xml:space="preserve"> skupinou doménových expertů</w:t>
      </w:r>
      <w:r w:rsidR="006F7C39">
        <w:t>. V kapitole 6 se jedná opět o citační síťovou analýzu, kterou však užívám k vyhledání důležitých rozhodnutí v</w:t>
      </w:r>
      <w:r w:rsidR="000033B3">
        <w:t> </w:t>
      </w:r>
      <w:r w:rsidR="006F7C39">
        <w:t>síti</w:t>
      </w:r>
      <w:r w:rsidR="000033B3">
        <w:t xml:space="preserve"> a dále zde popisuji metodologii evaluace. Kapitola 7 obsahuje popis trénování doc2vec modelu za účelem získání </w:t>
      </w:r>
      <w:r w:rsidR="00CD4459">
        <w:t xml:space="preserve">sémanticky </w:t>
      </w:r>
      <w:r w:rsidR="000033B3">
        <w:t>podobných soudních rozhodnutí a taktéž evaluaci této metody. Kapitola 8 popisuji užití dvou metod modelování témat, které zde slouží k </w:t>
      </w:r>
      <w:r w:rsidR="00CD4459">
        <w:t>získání</w:t>
      </w:r>
      <w:r w:rsidR="000033B3">
        <w:t xml:space="preserve"> témat soudních rozhodnutí a jejich evaluaci. V kapitole 9 je pak popsána tzv. vícevrstvá aplikace těchto tří </w:t>
      </w:r>
      <w:r w:rsidR="00CD4459">
        <w:t>metod</w:t>
      </w:r>
      <w:r w:rsidR="000033B3">
        <w:t xml:space="preserve"> neboli jejich souběžné využití za účelem zpřesnění výsledků a taktéž následná evaluace tohoto přístupu.</w:t>
      </w:r>
    </w:p>
    <w:p w14:paraId="57B2484E" w14:textId="2EA7881C" w:rsidR="00AF09DE" w:rsidRDefault="000033B3" w:rsidP="00B40A7D">
      <w:pPr>
        <w:pStyle w:val="Dalodstavce"/>
      </w:pPr>
      <w:r>
        <w:t xml:space="preserve">Ve třetí části </w:t>
      </w:r>
      <w:r w:rsidR="00B40A7D">
        <w:t>představuji</w:t>
      </w:r>
      <w:r>
        <w:t xml:space="preserve"> výsledky a diskuzi </w:t>
      </w:r>
      <w:r w:rsidR="00B40A7D">
        <w:t>experimentů provedených s metodami v části druhé v kapitole 10. Vedle těchto výsledků dále rozebírám i subjektivnost evaluace expertní skupinou v kapitole 11. V závěru této práce shrnuji výsledky a odpovídám na výzkumné otázky.</w:t>
      </w:r>
    </w:p>
    <w:p w14:paraId="69F9FD7D" w14:textId="77777777" w:rsidR="00AF09DE" w:rsidRDefault="00AF09DE" w:rsidP="00FA43A5">
      <w:pPr>
        <w:pStyle w:val="Dalodstavce"/>
      </w:pPr>
    </w:p>
    <w:p w14:paraId="3C4083F8" w14:textId="77777777" w:rsidR="00FA43A5" w:rsidRPr="00FA43A5" w:rsidRDefault="00FA43A5" w:rsidP="00FA43A5">
      <w:pPr>
        <w:pStyle w:val="Dalodstavce"/>
      </w:pPr>
    </w:p>
    <w:p w14:paraId="501B8DF2" w14:textId="77777777" w:rsidR="00FA43A5" w:rsidRPr="00FA43A5" w:rsidRDefault="00FA43A5" w:rsidP="00FA43A5">
      <w:pPr>
        <w:pStyle w:val="Dalodstavce"/>
      </w:pPr>
    </w:p>
    <w:p w14:paraId="2E78DD43" w14:textId="2B875CA9" w:rsidR="002A18FA" w:rsidRDefault="003E2B59">
      <w:pPr>
        <w:pStyle w:val="Nadpis1"/>
        <w:numPr>
          <w:ilvl w:val="0"/>
          <w:numId w:val="14"/>
        </w:numPr>
      </w:pPr>
      <w:bookmarkStart w:id="11" w:name="_Toc20320071"/>
      <w:bookmarkStart w:id="12" w:name="_Toc126909335"/>
      <w:r>
        <w:lastRenderedPageBreak/>
        <w:t>V</w:t>
      </w:r>
      <w:bookmarkEnd w:id="11"/>
      <w:r>
        <w:t>ýzkumné otázky</w:t>
      </w:r>
      <w:bookmarkEnd w:id="12"/>
    </w:p>
    <w:p w14:paraId="4A9FE1DC" w14:textId="4555F8C3" w:rsidR="003E2B59" w:rsidRDefault="003E2B59" w:rsidP="003E2B59">
      <w:pPr>
        <w:pStyle w:val="Odstavec1"/>
      </w:pPr>
      <w:r>
        <w:t>Jak bylo vysvětleno výše, síťové metody mohou pro svou metodologickou šíři sloužit v právu více</w:t>
      </w:r>
      <w:r w:rsidR="00A23324">
        <w:t>ro</w:t>
      </w:r>
      <w:r>
        <w:t xml:space="preserve"> účelům, respektive existuje několik tematicky a metodologicky koherentních směrů aplikace těchto metod v právu. </w:t>
      </w:r>
      <w:r w:rsidR="00A23324">
        <w:t>K</w:t>
      </w:r>
      <w:r>
        <w:t xml:space="preserve">onkrétně </w:t>
      </w:r>
      <w:r w:rsidR="00A23324">
        <w:t xml:space="preserve">se </w:t>
      </w:r>
      <w:r>
        <w:t xml:space="preserve">zabývám dvěma těmito směry – nejprve užitím metod síťové analýzy pro popis a zkoumání některých teoreticko-právních institutů a poté užitím metod síťové analýzy pro </w:t>
      </w:r>
      <w:r w:rsidR="00A23324">
        <w:t>efektivnější</w:t>
      </w:r>
      <w:r>
        <w:t xml:space="preserve"> vyhledávání právních informací. Oba tyto směry jsou v základu </w:t>
      </w:r>
      <w:r w:rsidR="00A23324">
        <w:t>vymezeny</w:t>
      </w:r>
      <w:r>
        <w:t xml:space="preserve"> zejména účelem, za kterým metody síťové analýzy používám, samotné metodologické oddělení je pak až důsledkem této distinkce. Účely, pro </w:t>
      </w:r>
      <w:r w:rsidR="00A23324">
        <w:t>něž</w:t>
      </w:r>
      <w:r>
        <w:t xml:space="preserve"> metody síťové analýzy v této práci používám, </w:t>
      </w:r>
      <w:r w:rsidR="00A23324">
        <w:t xml:space="preserve">pak </w:t>
      </w:r>
      <w:r>
        <w:t>slouží i k formulaci výzkumných otázek, které jsou také dvou směrů.</w:t>
      </w:r>
    </w:p>
    <w:p w14:paraId="6C8B4BEA" w14:textId="6FDC52ED" w:rsidR="003E2B59" w:rsidRDefault="00186BA4" w:rsidP="003E2B59">
      <w:pPr>
        <w:pStyle w:val="Dalodstavce"/>
      </w:pPr>
      <w:r>
        <w:t>Zprvu</w:t>
      </w:r>
      <w:r w:rsidR="003E2B59">
        <w:t xml:space="preserve"> tedy používám metody síťové analýzy proto, abych odpověděla na některé základní otázky týkající se </w:t>
      </w:r>
      <w:r w:rsidR="00A44ABF">
        <w:t>citování předchozích soudních rozhodnutí</w:t>
      </w:r>
      <w:r w:rsidR="003E2B59">
        <w:t xml:space="preserve"> tře</w:t>
      </w:r>
      <w:r w:rsidR="00A44ABF">
        <w:t>mi</w:t>
      </w:r>
      <w:r w:rsidR="003E2B59">
        <w:t xml:space="preserve"> vrcholný</w:t>
      </w:r>
      <w:r w:rsidR="00A44ABF">
        <w:t>mi</w:t>
      </w:r>
      <w:r w:rsidR="003E2B59">
        <w:t xml:space="preserve"> český</w:t>
      </w:r>
      <w:r w:rsidR="00A44ABF">
        <w:t>mi</w:t>
      </w:r>
      <w:r w:rsidR="003E2B59">
        <w:t xml:space="preserve"> soud</w:t>
      </w:r>
      <w:r w:rsidR="00A44ABF">
        <w:t>y</w:t>
      </w:r>
      <w:r w:rsidR="003E2B59">
        <w:t xml:space="preserve">. Metody síťové analýzy </w:t>
      </w:r>
      <w:r>
        <w:t>uplatňuji</w:t>
      </w:r>
      <w:r w:rsidR="003E2B59">
        <w:t xml:space="preserve"> pro statistický popis citační sítě soudních rozhodnutí těchto soudů a předkládám základní údaje o jejich citační praxi. Tato část práce je </w:t>
      </w:r>
      <w:r>
        <w:t>proto</w:t>
      </w:r>
      <w:r w:rsidR="003E2B59">
        <w:t xml:space="preserve"> spíše deskriptivního a explorativního charakteru a má za cíl podat základní kvantitativní informace o tom, kdy, jak a koho tři vrcholné české soudy citují. Je příkladným provedením klasické citační síťové analýzy tak, jak bude definována v následující kapitole.</w:t>
      </w:r>
      <w:r w:rsidR="003E2B59">
        <w:rPr>
          <w:rStyle w:val="Znakapoznpodarou"/>
        </w:rPr>
        <w:footnoteReference w:id="14"/>
      </w:r>
      <w:r w:rsidR="003E2B59">
        <w:t xml:space="preserve"> </w:t>
      </w:r>
      <w:r w:rsidR="00A44ABF">
        <w:t>Tato část je uvedena pro úplnost přehledu možného užití síťové analýzy</w:t>
      </w:r>
      <w:r w:rsidR="00C36926">
        <w:t xml:space="preserve"> a je </w:t>
      </w:r>
      <w:r w:rsidR="005B2A35">
        <w:t>doplněním</w:t>
      </w:r>
      <w:r w:rsidR="00C36926">
        <w:t xml:space="preserve"> teoretického základu této práce.</w:t>
      </w:r>
    </w:p>
    <w:p w14:paraId="36EC4652" w14:textId="7B0BA566" w:rsidR="003E2B59" w:rsidRDefault="003E2B59" w:rsidP="003E2B59">
      <w:pPr>
        <w:pStyle w:val="Dalodstavce"/>
      </w:pPr>
      <w:r>
        <w:rPr>
          <w:i/>
          <w:iCs/>
        </w:rPr>
        <w:t>Obecnou výzkumnou otázkou teoretické aplikace síťové analýzy t</w:t>
      </w:r>
      <w:r w:rsidR="00186BA4">
        <w:rPr>
          <w:i/>
          <w:iCs/>
        </w:rPr>
        <w:t>e</w:t>
      </w:r>
      <w:r>
        <w:rPr>
          <w:i/>
          <w:iCs/>
        </w:rPr>
        <w:t>dy bude,</w:t>
      </w:r>
      <w:r>
        <w:t xml:space="preserve"> </w:t>
      </w:r>
      <w:r w:rsidR="00403581">
        <w:rPr>
          <w:i/>
          <w:iCs/>
        </w:rPr>
        <w:t>jak</w:t>
      </w:r>
      <w:r>
        <w:rPr>
          <w:i/>
          <w:iCs/>
        </w:rPr>
        <w:t xml:space="preserve"> </w:t>
      </w:r>
      <w:r w:rsidR="00186BA4">
        <w:rPr>
          <w:i/>
          <w:iCs/>
        </w:rPr>
        <w:t xml:space="preserve">lze </w:t>
      </w:r>
      <w:r>
        <w:rPr>
          <w:i/>
          <w:iCs/>
        </w:rPr>
        <w:t xml:space="preserve">pomocí </w:t>
      </w:r>
      <w:r w:rsidR="000D314B">
        <w:rPr>
          <w:i/>
          <w:iCs/>
        </w:rPr>
        <w:t>této metody</w:t>
      </w:r>
      <w:r>
        <w:rPr>
          <w:i/>
          <w:iCs/>
        </w:rPr>
        <w:t xml:space="preserve"> popsat</w:t>
      </w:r>
      <w:r w:rsidR="002B4DB7">
        <w:rPr>
          <w:i/>
          <w:iCs/>
        </w:rPr>
        <w:t xml:space="preserve"> citační prostředí </w:t>
      </w:r>
      <w:r>
        <w:rPr>
          <w:i/>
          <w:iCs/>
        </w:rPr>
        <w:t>třech vrcholných</w:t>
      </w:r>
      <w:r w:rsidR="002B4DB7">
        <w:rPr>
          <w:i/>
          <w:iCs/>
        </w:rPr>
        <w:t xml:space="preserve"> českých soudů</w:t>
      </w:r>
      <w:r>
        <w:rPr>
          <w:i/>
          <w:iCs/>
        </w:rPr>
        <w:t>.</w:t>
      </w:r>
    </w:p>
    <w:p w14:paraId="21528A70" w14:textId="3B0481D3" w:rsidR="003E2B59" w:rsidRDefault="003E2B59" w:rsidP="003E2B59">
      <w:pPr>
        <w:pStyle w:val="Dalodstavce"/>
      </w:pPr>
      <w:r>
        <w:t>V druhém metodologickém směru aplikace metod síťové analýzy mě zajímají konkrétní vybrané metody zpracování přirozeného jazyka</w:t>
      </w:r>
      <w:r w:rsidR="005B2A35">
        <w:t xml:space="preserve"> </w:t>
      </w:r>
      <w:r>
        <w:t xml:space="preserve">a zjišťování, zda a jak mohou být užitečné k vyhledávání právních informací. Všechny vybrané metody byly zvoleny tak, aby splňovaly podmínku užití aktuální </w:t>
      </w:r>
      <w:r>
        <w:rPr>
          <w:i/>
          <w:iCs/>
        </w:rPr>
        <w:t xml:space="preserve">state-of-the-art </w:t>
      </w:r>
      <w:r>
        <w:t>technologie a současně, aby byly vhodné k nějakému konkrétnímu účelu, tedy ke konkrétnímu úkonu vyhledávání právních informací.</w:t>
      </w:r>
    </w:p>
    <w:p w14:paraId="7695AB93" w14:textId="521C1FAD" w:rsidR="003E2B59" w:rsidRDefault="003E2B59" w:rsidP="003E2B59">
      <w:pPr>
        <w:pStyle w:val="Dalodstavce"/>
      </w:pPr>
      <w:r>
        <w:t xml:space="preserve">Metody, které v této části dizertační práce zkoumám, lze přiřadit ke třem hlavním směrům: </w:t>
      </w:r>
      <w:r w:rsidRPr="00C75858">
        <w:rPr>
          <w:i/>
          <w:iCs/>
        </w:rPr>
        <w:t>citační síťová analýza</w:t>
      </w:r>
      <w:r>
        <w:t xml:space="preserve"> </w:t>
      </w:r>
      <w:r w:rsidRPr="00C75858">
        <w:rPr>
          <w:i/>
          <w:iCs/>
        </w:rPr>
        <w:t>(v užším slova smyslu)</w:t>
      </w:r>
      <w:r>
        <w:t xml:space="preserve">, </w:t>
      </w:r>
      <w:r w:rsidRPr="00C75858">
        <w:rPr>
          <w:i/>
          <w:iCs/>
        </w:rPr>
        <w:lastRenderedPageBreak/>
        <w:t>sémantická podobnost dokumentů na základě jejich vektorové reprezentace</w:t>
      </w:r>
      <w:r w:rsidR="00986708" w:rsidRPr="00C75858">
        <w:rPr>
          <w:i/>
          <w:iCs/>
        </w:rPr>
        <w:t xml:space="preserve"> pomocí modelu doc2vec</w:t>
      </w:r>
      <w:r>
        <w:t xml:space="preserve"> a </w:t>
      </w:r>
      <w:r w:rsidRPr="00C75858">
        <w:rPr>
          <w:i/>
          <w:iCs/>
        </w:rPr>
        <w:t>metody modelování témat dokumentů</w:t>
      </w:r>
      <w:r>
        <w:t>.</w:t>
      </w:r>
      <w:r w:rsidR="00421F8F">
        <w:t xml:space="preserve"> </w:t>
      </w:r>
    </w:p>
    <w:p w14:paraId="66E40BC7" w14:textId="7A0E7CF9" w:rsidR="003E2B59" w:rsidRDefault="003E2B59" w:rsidP="003E2B59">
      <w:pPr>
        <w:pStyle w:val="Dalodstavce"/>
      </w:pPr>
      <w:r>
        <w:t>Každá z uvedených metod zpracovává (v této práci právní) data jiným způsobem a poskytuje na ně jiný pohled, tedy nabízí na výstupu jiné informace. Velmi zjednodušeně</w:t>
      </w:r>
      <w:r w:rsidR="0009529A">
        <w:t xml:space="preserve"> řečeno</w:t>
      </w:r>
      <w:r>
        <w:t xml:space="preserve">, citační síťová analýza se zabývá vzájemnými citacemi dokumentů, ze kterých vytváří síť, pomocí </w:t>
      </w:r>
      <w:r w:rsidR="0009529A">
        <w:t>níž</w:t>
      </w:r>
      <w:r>
        <w:t xml:space="preserve"> přináší o dokumentech</w:t>
      </w:r>
      <w:r w:rsidR="0009529A">
        <w:t xml:space="preserve"> informace</w:t>
      </w:r>
      <w:r>
        <w:t xml:space="preserve">, které nejsou patrné při zkoumání jinými metodami. Hledání sémanticky podobných dokumentů pomocí jejich vektorových reprezentací </w:t>
      </w:r>
      <w:r w:rsidR="00421F8F">
        <w:t>vytvořených doc2vec modelem</w:t>
      </w:r>
      <w:r>
        <w:t xml:space="preserve"> je zase metoda</w:t>
      </w:r>
      <w:r w:rsidR="00421F8F">
        <w:t>, kde jsou zkoumané vztahy mezi dokumenty vytvářeny podobností těchto vektorových reprezentací</w:t>
      </w:r>
      <w:r>
        <w:t xml:space="preserve">. Metody modelování témat jsou založené na statistických výskytech jednotlivých slov, pomocí </w:t>
      </w:r>
      <w:r w:rsidR="0009529A">
        <w:t>nichž</w:t>
      </w:r>
      <w:r>
        <w:t xml:space="preserve"> mohou generovat témata dokumentů a sloužit tak k jejich kategorizaci či sumarizaci.</w:t>
      </w:r>
      <w:r w:rsidR="00421F8F">
        <w:t xml:space="preserve"> Vztahy mezi dokumenty, zkoumané v tomto experimentu, jsou vytvářeny přiřazenými tématy.</w:t>
      </w:r>
      <w:r>
        <w:t xml:space="preserve"> Dílčí výzkumné otázky tedy budou respektovat metodologické odlišení </w:t>
      </w:r>
      <w:r w:rsidR="00421F8F">
        <w:t xml:space="preserve">těchto tří </w:t>
      </w:r>
      <w:r>
        <w:t xml:space="preserve">metod a v dílčích experimentech </w:t>
      </w:r>
      <w:r w:rsidR="0009529A">
        <w:t xml:space="preserve">tak </w:t>
      </w:r>
      <w:r>
        <w:t>budou sledovat odlišné cíle.</w:t>
      </w:r>
    </w:p>
    <w:p w14:paraId="55A4C85A" w14:textId="09B28657" w:rsidR="003E2B59" w:rsidRDefault="003E2B59" w:rsidP="003E2B59">
      <w:pPr>
        <w:pStyle w:val="Dalodstavce"/>
      </w:pPr>
      <w:r>
        <w:t xml:space="preserve">Pro účel užití metod síťové analýzy pro vyhledávání právních informací je zvolena i evaluační metodologie, která přináší klíčové výsledky v kontextu této práce. Vzhledem k tomu, že </w:t>
      </w:r>
      <w:r w:rsidR="00421F8F">
        <w:t>je tato práce</w:t>
      </w:r>
      <w:r>
        <w:t xml:space="preserve"> uživatelsky orientován</w:t>
      </w:r>
      <w:r w:rsidR="00421F8F">
        <w:t>a</w:t>
      </w:r>
      <w:r>
        <w:t>, zajímalo mě nejen hodnocení pomocí standardních metrik k příslušným metodám a jejich porovnání se související relevantní literaturou (ačkoliv pro úplnost i tyto metriky budou v práci zmíněny), ale zejména hodnocení přesnosti metod skupinou lidí jako potenciálních uživatelů. Uživatelská evaluace metod zpracování přirozeného jazyka je běžným přístupem, nicméně v právní informatice tento přístup zatím nebyl šířeji přijat, existuje tedy jen malé množství evaluačních studií a výsledků, se kterými by bylo možné výsledky této práce porovnávat. Motivem k lidské evaluaci těchto metod bylo dále také určité specifikum českého jazykového prostředí. Vzhledem k výrazným odlišnostem českého jazyka od angličtiny, ve které bývají zde užité metody obvykle konstruovány, pak nelze určitou metodu převzít na základě kvalitních výsledků v původním jazyce a bez další</w:t>
      </w:r>
      <w:r w:rsidR="00E44299">
        <w:t>ch úprav</w:t>
      </w:r>
      <w:r>
        <w:t xml:space="preserve"> aplikovat na české texty. I z tohoto důvodu pro mě bylo důležité znát názor česky mluvících uživatelů. Třetím důležitým obecným důvodem bylo pak určité „</w:t>
      </w:r>
      <w:r w:rsidRPr="003C053E">
        <w:rPr>
          <w:i/>
          <w:iCs/>
        </w:rPr>
        <w:t>zaplnění kvalitativní mezery</w:t>
      </w:r>
      <w:r>
        <w:t xml:space="preserve">“ aplikace těchto metod v právu. Velmi často totiž </w:t>
      </w:r>
      <w:r w:rsidR="0005476E">
        <w:t>zaznívají</w:t>
      </w:r>
      <w:r>
        <w:t xml:space="preserve">, zejména ze strany praktikujících právníků, nesouhlasné názory týkající se aplikace těchto metod, které míří na </w:t>
      </w:r>
      <w:r w:rsidR="0005476E">
        <w:t>skutečnost</w:t>
      </w:r>
      <w:r>
        <w:t xml:space="preserve">, že </w:t>
      </w:r>
      <w:r w:rsidR="00911554">
        <w:t xml:space="preserve">kvantitativní </w:t>
      </w:r>
      <w:r>
        <w:t xml:space="preserve">metody založené na strojovém učení a umělé inteligenci i přes velmi dobré výsledky </w:t>
      </w:r>
      <w:r>
        <w:lastRenderedPageBreak/>
        <w:t>postrádají hlubší právní kontext týkající se určitých právních problémů či širší chápání právních institutů v</w:t>
      </w:r>
      <w:r w:rsidR="00911554">
        <w:t> </w:t>
      </w:r>
      <w:r>
        <w:t>kontextu</w:t>
      </w:r>
      <w:r w:rsidR="00911554">
        <w:t>.</w:t>
      </w:r>
      <w:r>
        <w:t xml:space="preserve"> </w:t>
      </w:r>
      <w:r w:rsidR="00911554">
        <w:t>Podle nich tato kvalitativní stránka právních znalostí</w:t>
      </w:r>
      <w:r>
        <w:t xml:space="preserve"> </w:t>
      </w:r>
      <w:r w:rsidR="00911554">
        <w:t>nemusí být</w:t>
      </w:r>
      <w:r>
        <w:t xml:space="preserve"> jednoduše </w:t>
      </w:r>
      <w:r w:rsidR="0005476E">
        <w:t>detekovateln</w:t>
      </w:r>
      <w:r w:rsidR="00911554">
        <w:t>á</w:t>
      </w:r>
      <w:r>
        <w:t xml:space="preserve"> z </w:t>
      </w:r>
      <w:r w:rsidR="0005476E">
        <w:t>pouhých</w:t>
      </w:r>
      <w:r>
        <w:t xml:space="preserve"> statistických výpočtů nad text</w:t>
      </w:r>
      <w:r w:rsidR="0005476E">
        <w:t>ů</w:t>
      </w:r>
      <w:r>
        <w:t xml:space="preserve"> a slov. Tuto mezeru bych chtěla alespoň částečně vyplnit argumentací založenou na shodě názorů právníků evaluujících vybrané metody.</w:t>
      </w:r>
    </w:p>
    <w:p w14:paraId="2DA71696" w14:textId="0F31B3BD" w:rsidR="003E2B59" w:rsidRDefault="003E2B59" w:rsidP="003E2B59">
      <w:pPr>
        <w:pStyle w:val="Dalodstavce"/>
      </w:pPr>
      <w:r>
        <w:rPr>
          <w:i/>
          <w:iCs/>
        </w:rPr>
        <w:t xml:space="preserve">Obecná výzkumná otázka </w:t>
      </w:r>
      <w:r w:rsidR="00F44450">
        <w:rPr>
          <w:i/>
          <w:iCs/>
        </w:rPr>
        <w:t>praktické</w:t>
      </w:r>
      <w:r>
        <w:rPr>
          <w:i/>
          <w:iCs/>
        </w:rPr>
        <w:t xml:space="preserve"> aplikace </w:t>
      </w:r>
      <w:r w:rsidR="00CD3ED3">
        <w:rPr>
          <w:i/>
          <w:iCs/>
        </w:rPr>
        <w:t>metod síťové analýzy v širším smyslu</w:t>
      </w:r>
      <w:r w:rsidR="00F44450">
        <w:rPr>
          <w:i/>
          <w:iCs/>
        </w:rPr>
        <w:t xml:space="preserve"> pro vyhledávání právních informací</w:t>
      </w:r>
      <w:r>
        <w:rPr>
          <w:i/>
          <w:iCs/>
        </w:rPr>
        <w:t xml:space="preserve"> tedy zní, zda mohou konkrétní zvolené metody přispět k přesnějšímu a efektivnějšímu vyhledávání právních informací, zde konkrétně relevantních soudních rozhodnutí.</w:t>
      </w:r>
    </w:p>
    <w:p w14:paraId="7E1A55ED" w14:textId="38B3784F" w:rsidR="003E2B59" w:rsidRDefault="003E2B59" w:rsidP="003E2B59">
      <w:pPr>
        <w:pStyle w:val="Dalodstavce"/>
      </w:pPr>
      <w:r>
        <w:rPr>
          <w:i/>
          <w:iCs/>
        </w:rPr>
        <w:t>Konkrétní výzkumné otázky</w:t>
      </w:r>
      <w:r w:rsidR="00E44299">
        <w:rPr>
          <w:i/>
          <w:iCs/>
        </w:rPr>
        <w:t xml:space="preserve"> </w:t>
      </w:r>
      <w:r>
        <w:rPr>
          <w:i/>
          <w:iCs/>
        </w:rPr>
        <w:t>zní:</w:t>
      </w:r>
    </w:p>
    <w:p w14:paraId="51AF16C5" w14:textId="1AE666CA" w:rsidR="00CD3ED3" w:rsidRPr="00CD3ED3" w:rsidRDefault="003E2B59" w:rsidP="00CD3ED3">
      <w:pPr>
        <w:pStyle w:val="Dalodstavce"/>
        <w:numPr>
          <w:ilvl w:val="0"/>
          <w:numId w:val="26"/>
        </w:numPr>
      </w:pPr>
      <w:r>
        <w:rPr>
          <w:i/>
          <w:iCs/>
        </w:rPr>
        <w:t>Je vhodné užít citační síťovou anal</w:t>
      </w:r>
      <w:r w:rsidR="006F42FA">
        <w:rPr>
          <w:i/>
          <w:iCs/>
        </w:rPr>
        <w:t>ýzu</w:t>
      </w:r>
      <w:r>
        <w:rPr>
          <w:i/>
          <w:iCs/>
        </w:rPr>
        <w:t xml:space="preserve"> pro vyhledávání soudních rozhodnutí českých soudů?</w:t>
      </w:r>
    </w:p>
    <w:p w14:paraId="159B1CA5" w14:textId="5A2D848F" w:rsidR="00CD3ED3" w:rsidRDefault="00CD3ED3" w:rsidP="00CD3ED3">
      <w:pPr>
        <w:pStyle w:val="Dalodstavce"/>
        <w:numPr>
          <w:ilvl w:val="0"/>
          <w:numId w:val="26"/>
        </w:numPr>
      </w:pPr>
      <w:r>
        <w:rPr>
          <w:i/>
          <w:iCs/>
        </w:rPr>
        <w:t xml:space="preserve">Je vhodné </w:t>
      </w:r>
      <w:r w:rsidR="001234F9">
        <w:rPr>
          <w:i/>
          <w:iCs/>
        </w:rPr>
        <w:t>užít</w:t>
      </w:r>
      <w:r>
        <w:rPr>
          <w:i/>
          <w:iCs/>
        </w:rPr>
        <w:t xml:space="preserve"> metody vektorové reprezentace dokumentů </w:t>
      </w:r>
      <w:r w:rsidR="00E44299">
        <w:rPr>
          <w:i/>
          <w:iCs/>
        </w:rPr>
        <w:t>k určení jejich sémantické podobnosti</w:t>
      </w:r>
      <w:r>
        <w:rPr>
          <w:i/>
          <w:iCs/>
        </w:rPr>
        <w:t xml:space="preserve"> pro vyhledávání rozhodnutí</w:t>
      </w:r>
      <w:r w:rsidR="00E44299">
        <w:rPr>
          <w:i/>
          <w:iCs/>
        </w:rPr>
        <w:t xml:space="preserve"> českých soudů</w:t>
      </w:r>
      <w:r>
        <w:rPr>
          <w:i/>
          <w:iCs/>
        </w:rPr>
        <w:t>?</w:t>
      </w:r>
    </w:p>
    <w:p w14:paraId="0AE6CD84" w14:textId="0EC5B4A0" w:rsidR="003E2B59" w:rsidRDefault="003E2B59" w:rsidP="006F42FA">
      <w:pPr>
        <w:pStyle w:val="Dalodstavce"/>
        <w:numPr>
          <w:ilvl w:val="0"/>
          <w:numId w:val="26"/>
        </w:numPr>
      </w:pPr>
      <w:r>
        <w:rPr>
          <w:i/>
          <w:iCs/>
        </w:rPr>
        <w:t>Je vhodné užít metody modelování témat rozhodnutí českých soudů pro vyhledávání těchto rozhodnutí?</w:t>
      </w:r>
    </w:p>
    <w:p w14:paraId="32C6EE96" w14:textId="77777777" w:rsidR="003E2B59" w:rsidRDefault="003E2B59" w:rsidP="006F42FA">
      <w:pPr>
        <w:pStyle w:val="Dalodstavce"/>
        <w:numPr>
          <w:ilvl w:val="0"/>
          <w:numId w:val="26"/>
        </w:numPr>
      </w:pPr>
      <w:r>
        <w:rPr>
          <w:i/>
          <w:iCs/>
        </w:rPr>
        <w:t>Zpřesní se výsledky metod v případě, že metody aplikujeme současně?</w:t>
      </w:r>
    </w:p>
    <w:p w14:paraId="6DCD2E4D" w14:textId="6D66846F" w:rsidR="002A18FA" w:rsidRDefault="003E2B59" w:rsidP="00947E41">
      <w:pPr>
        <w:pStyle w:val="Dalodstavce"/>
      </w:pPr>
      <w:r>
        <w:t>Na tomto místě je nutné uvést, že metodologickému oddělení těchto dvou směrů odpovídá i struktura této práce</w:t>
      </w:r>
      <w:r w:rsidR="00E44299">
        <w:t>, která byla shrnuta na konci kapitoly 1</w:t>
      </w:r>
      <w:r>
        <w:t>.</w:t>
      </w:r>
    </w:p>
    <w:p w14:paraId="1F3ED599" w14:textId="77777777" w:rsidR="00947E41" w:rsidRDefault="00947E41" w:rsidP="00947E41">
      <w:pPr>
        <w:pStyle w:val="Dalodstavce"/>
      </w:pPr>
    </w:p>
    <w:p w14:paraId="73762D71" w14:textId="77777777" w:rsidR="002A18FA" w:rsidRDefault="002A18FA" w:rsidP="00B009CE">
      <w:pPr>
        <w:pStyle w:val="Odstavec1"/>
      </w:pPr>
    </w:p>
    <w:p w14:paraId="17BA306E" w14:textId="721853D4" w:rsidR="002A18FA" w:rsidRDefault="00947E41">
      <w:pPr>
        <w:pStyle w:val="Nadpis1"/>
        <w:numPr>
          <w:ilvl w:val="0"/>
          <w:numId w:val="14"/>
        </w:numPr>
      </w:pPr>
      <w:bookmarkStart w:id="13" w:name="_Toc126909336"/>
      <w:r>
        <w:lastRenderedPageBreak/>
        <w:t>Přehled literatury</w:t>
      </w:r>
      <w:r w:rsidR="006E46CB">
        <w:rPr>
          <w:rStyle w:val="Znakapoznpodarou"/>
        </w:rPr>
        <w:footnoteReference w:id="15"/>
      </w:r>
      <w:bookmarkEnd w:id="13"/>
    </w:p>
    <w:p w14:paraId="09102FD1" w14:textId="77777777" w:rsidR="00947E41" w:rsidRDefault="00947E41" w:rsidP="00947E41">
      <w:pPr>
        <w:pStyle w:val="Odstavec1"/>
      </w:pPr>
      <w:r>
        <w:t xml:space="preserve">Není překvapivé, že mezi kvantitativními metodami používanými ve společenských vědách síťová analýza vzbuzuje čím dál větší zájem. Oproti ostatním – statistickým – kvantitativním metodám totiž obsahuje jeden další nástavbový atribut, kterým je možnost zobrazovat a kvantifikovat nejen určité společenské jevy či entity a jejich vlastnosti, ale i </w:t>
      </w:r>
      <w:r>
        <w:rPr>
          <w:i/>
          <w:iCs/>
        </w:rPr>
        <w:t>vztahy mezi nimi</w:t>
      </w:r>
      <w:r>
        <w:t>.</w:t>
      </w:r>
      <w:r>
        <w:rPr>
          <w:rStyle w:val="Znakapoznpodarou"/>
        </w:rPr>
        <w:footnoteReference w:id="16"/>
      </w:r>
      <w:r>
        <w:t xml:space="preserve"> Právě tyto vztahy jsou jádrem síťové analýzy a spolu s entitami tvoří tzv. </w:t>
      </w:r>
      <w:r>
        <w:rPr>
          <w:i/>
          <w:iCs/>
        </w:rPr>
        <w:t>síť</w:t>
      </w:r>
      <w:r>
        <w:t>. Tímto způsobem síťová analýza nabízí novou úroveň zkoumání společenských jevů skrz vztahy mezi nimi a jejich kvantifikaci, a to se ukazuje jako směr, který přináší do aktuální odborné diskuze nová zjištění, což mu zajišťuje vzrůstající popularitu. Typ zkoumaných společenských vztahů je pak velmi široký, dnešní datová analýza využívá síťové metody ke zkoumání struktur politických, ekonomických, společenských, psychologických i právních.</w:t>
      </w:r>
    </w:p>
    <w:p w14:paraId="0608A3D7" w14:textId="654651E4" w:rsidR="00947E41" w:rsidRDefault="00947E41" w:rsidP="00947E41">
      <w:pPr>
        <w:pStyle w:val="Odstavec1"/>
      </w:pPr>
    </w:p>
    <w:p w14:paraId="30799B8D" w14:textId="3FE3B16C" w:rsidR="00761D2F" w:rsidRDefault="00947E41">
      <w:pPr>
        <w:pStyle w:val="Nadpis2"/>
        <w:numPr>
          <w:ilvl w:val="1"/>
          <w:numId w:val="14"/>
        </w:numPr>
      </w:pPr>
      <w:bookmarkStart w:id="14" w:name="_Toc126909337"/>
      <w:r>
        <w:t>Co jsou metody síťové analýzy a jak fungují?</w:t>
      </w:r>
      <w:bookmarkEnd w:id="14"/>
    </w:p>
    <w:p w14:paraId="2F940BB9" w14:textId="0E7B0DA7" w:rsidR="00947E41" w:rsidRDefault="00947E41" w:rsidP="00947E41">
      <w:pPr>
        <w:pStyle w:val="Odstavec1"/>
      </w:pPr>
      <w:r>
        <w:t xml:space="preserve">Síťová analýza je založena na předpokladu, že pro co nejúplnější obraz o zkoumaném datasetu entit (těmi mohou být jednotliví aktéři, jako jsou politici, uživatelé sociálních médií či členové kriminálních gangů, dále například politické strany či lokální novinové deníky až po dokumenty jako jsou např. soudní rozhodnutí, jednotlivé zákony nebo zapsané patenty) je stejně důležitá struktura, ve které se tyto entity navzájem nacházejí a </w:t>
      </w:r>
      <w:r>
        <w:lastRenderedPageBreak/>
        <w:t>ovlivňují, jako jejich jednotlivé vlastnosti.</w:t>
      </w:r>
      <w:r>
        <w:rPr>
          <w:rStyle w:val="Znakapoznpodarou"/>
        </w:rPr>
        <w:footnoteReference w:id="17"/>
      </w:r>
      <w:r>
        <w:t xml:space="preserve"> Tento přístup, ačkoliv není tak široce použitelný jako např. obecná statistika, se ukázal nejen pro vědy společenské jako přístup, který přináší mnohá zjištění. Tato zjištění jsou pak možná nejen </w:t>
      </w:r>
      <w:r w:rsidR="00C6575C">
        <w:t>díky novým proměnným</w:t>
      </w:r>
      <w:r>
        <w:t xml:space="preserve">, které síťová analýza nabízí, ale také </w:t>
      </w:r>
      <w:r w:rsidR="00C6575C">
        <w:t>díky grafickým znázorněním</w:t>
      </w:r>
      <w:r>
        <w:t xml:space="preserve"> zkouman</w:t>
      </w:r>
      <w:r w:rsidR="00C6575C">
        <w:t>ých</w:t>
      </w:r>
      <w:r>
        <w:t xml:space="preserve"> struktur, kter</w:t>
      </w:r>
      <w:r w:rsidR="00C6575C">
        <w:t>á</w:t>
      </w:r>
      <w:r>
        <w:t xml:space="preserve"> sam</w:t>
      </w:r>
      <w:r w:rsidR="00C6575C">
        <w:t>a</w:t>
      </w:r>
      <w:r>
        <w:t xml:space="preserve"> o sobě přináš</w:t>
      </w:r>
      <w:r w:rsidR="00C6575C">
        <w:t>ej</w:t>
      </w:r>
      <w:r>
        <w:t>í další kognitivní vjemy při analýze společenského jevu.</w:t>
      </w:r>
      <w:r>
        <w:rPr>
          <w:rStyle w:val="Znakapoznpodarou"/>
        </w:rPr>
        <w:footnoteReference w:id="18"/>
      </w:r>
      <w:r>
        <w:t xml:space="preserve"> Mezi výhody, které přináší vhled na společenský jev jako na síť, </w:t>
      </w:r>
      <w:r w:rsidR="00C6575C">
        <w:t>spadá</w:t>
      </w:r>
      <w:r>
        <w:t xml:space="preserve"> také možnost vybrat úroveň, na které chceme daný jev pozorovat. Síťová analýza totiž díky </w:t>
      </w:r>
      <w:r w:rsidR="00C6575C">
        <w:t>skutečnosti</w:t>
      </w:r>
      <w:r>
        <w:t xml:space="preserve">, že nabízí proměnné, na základě </w:t>
      </w:r>
      <w:r w:rsidR="00C6575C">
        <w:t>nichž</w:t>
      </w:r>
      <w:r>
        <w:t xml:space="preserve"> lze pozorovat strukturu společenského jevu</w:t>
      </w:r>
      <w:r w:rsidR="00C6575C">
        <w:t>,</w:t>
      </w:r>
      <w:r>
        <w:t xml:space="preserve"> a tím si lze vytvořit celkový přehled, nabízí také možnosti</w:t>
      </w:r>
      <w:r w:rsidR="00C6575C">
        <w:t>,</w:t>
      </w:r>
      <w:r>
        <w:t xml:space="preserve"> jak </w:t>
      </w:r>
      <w:r w:rsidR="00C6575C">
        <w:t xml:space="preserve">můžeme </w:t>
      </w:r>
      <w:r>
        <w:t>pozorovat pouze část sítě či pouze jednotlivou entitu a její vztahy</w:t>
      </w:r>
      <w:r w:rsidR="00C6575C">
        <w:t>,</w:t>
      </w:r>
      <w:r>
        <w:t xml:space="preserve"> a tím nabízí hodnotné zázemí i pro individuálně zaměřenou kvalitativní analýzu.</w:t>
      </w:r>
    </w:p>
    <w:p w14:paraId="4A1F3109" w14:textId="71909702" w:rsidR="00947E41" w:rsidRDefault="00947E41" w:rsidP="00947E41">
      <w:pPr>
        <w:pStyle w:val="Dalodstavce"/>
      </w:pPr>
      <w:r>
        <w:t>Jak již bylo řečeno, síťová analýza je vhodná zejména k popisu společenského jevu jako celku se zaměřením na jeho strukturu a na vzájemné vztahy mezi jednotlivými aktéry či entitami. Podoba těchto vztahů může být velmi široká, jedná se</w:t>
      </w:r>
      <w:r w:rsidR="00C6575C">
        <w:t xml:space="preserve"> o</w:t>
      </w:r>
      <w:r>
        <w:t xml:space="preserve"> jakoukoliv změřitelnou či zaznamenatelnou spojitost mezi entitami. Vedle tohoto základního principu vznikla v odborné literatuře shoda na základních konceptech, které odlišují síťovou analýzu od jiných vědeckých metod použitelných ve společenských vědách. Tyto koncepty popsal už v roce 1988 Wellman. Zde jsou vybrány dva z těchto konceptů, které lze úspěšně aplikovat i na téma </w:t>
      </w:r>
      <w:r w:rsidR="00C6575C">
        <w:t>této práce</w:t>
      </w:r>
      <w:r>
        <w:t xml:space="preserve">, </w:t>
      </w:r>
      <w:r w:rsidR="00C6575C">
        <w:t>jímž</w:t>
      </w:r>
      <w:r>
        <w:t xml:space="preserve"> je síťová analýza v právu: (1) na entity či aktéry a jejich interakce je nahlíženo spíše jako na vzájemně závislé než nezávislé a (2) síťový model je konceptem, který zdůrazňuje strukturu jako trvalý model vztahů mezi objekty.</w:t>
      </w:r>
      <w:r>
        <w:rPr>
          <w:rStyle w:val="Znakapoznpodarou"/>
        </w:rPr>
        <w:footnoteReference w:id="19"/>
      </w:r>
    </w:p>
    <w:p w14:paraId="1A8488BF" w14:textId="7FFC4B24" w:rsidR="00332EA6" w:rsidRDefault="00332EA6">
      <w:pPr>
        <w:pStyle w:val="Nadpis2"/>
        <w:numPr>
          <w:ilvl w:val="1"/>
          <w:numId w:val="14"/>
        </w:numPr>
      </w:pPr>
      <w:bookmarkStart w:id="15" w:name="_Toc126909338"/>
      <w:r>
        <w:lastRenderedPageBreak/>
        <w:t>Historie síťové analýzy</w:t>
      </w:r>
      <w:bookmarkEnd w:id="15"/>
    </w:p>
    <w:p w14:paraId="0DEC123D" w14:textId="63600526" w:rsidR="00332EA6" w:rsidRDefault="00332EA6" w:rsidP="00332EA6">
      <w:pPr>
        <w:pStyle w:val="Odstavec1"/>
      </w:pPr>
      <w:r>
        <w:t xml:space="preserve">Historické kořeny síťové analýzy a s ní související teorie grafů jsou datovány do roku 1736, kdy Leonhard Euler vyřešil matematický problém známý pod názvem </w:t>
      </w:r>
      <w:r w:rsidR="009854B8">
        <w:t>„</w:t>
      </w:r>
      <w:r w:rsidRPr="009854B8">
        <w:rPr>
          <w:i/>
          <w:iCs/>
        </w:rPr>
        <w:t>Sedm mostů v</w:t>
      </w:r>
      <w:r w:rsidR="009854B8" w:rsidRPr="009854B8">
        <w:rPr>
          <w:i/>
          <w:iCs/>
        </w:rPr>
        <w:t> </w:t>
      </w:r>
      <w:r w:rsidRPr="009854B8">
        <w:rPr>
          <w:i/>
          <w:iCs/>
        </w:rPr>
        <w:t>Královci</w:t>
      </w:r>
      <w:r w:rsidR="009854B8">
        <w:t>“</w:t>
      </w:r>
      <w:r>
        <w:t>, což je považováno za stavební kámen teorie grafů.</w:t>
      </w:r>
      <w:r>
        <w:rPr>
          <w:rStyle w:val="Znakapoznpodarou"/>
        </w:rPr>
        <w:footnoteReference w:id="20"/>
      </w:r>
      <w:r>
        <w:t xml:space="preserve"> Od té doby můžeme její použití sledovat v každém oboru přírodních věd od matematiky, </w:t>
      </w:r>
      <w:r w:rsidR="004E3DD4">
        <w:t>jež</w:t>
      </w:r>
      <w:r>
        <w:t xml:space="preserve"> položila její základy</w:t>
      </w:r>
      <w:r w:rsidR="004E3DD4">
        <w:t>,</w:t>
      </w:r>
      <w:r>
        <w:t xml:space="preserve"> a počítačové vědy, která zase umožnila její jednoduché použití i pro matematické laiky</w:t>
      </w:r>
      <w:r>
        <w:rPr>
          <w:rStyle w:val="Znakapoznpodarou"/>
        </w:rPr>
        <w:footnoteReference w:id="21"/>
      </w:r>
      <w:r>
        <w:t>, až po biologii</w:t>
      </w:r>
      <w:r>
        <w:rPr>
          <w:rStyle w:val="Znakapoznpodarou"/>
        </w:rPr>
        <w:footnoteReference w:id="22"/>
      </w:r>
      <w:r>
        <w:t>, chemii</w:t>
      </w:r>
      <w:r>
        <w:rPr>
          <w:rStyle w:val="Znakapoznpodarou"/>
        </w:rPr>
        <w:footnoteReference w:id="23"/>
      </w:r>
      <w:r>
        <w:t>, fyziku</w:t>
      </w:r>
      <w:r>
        <w:rPr>
          <w:rStyle w:val="Znakapoznpodarou"/>
        </w:rPr>
        <w:footnoteReference w:id="24"/>
      </w:r>
      <w:r>
        <w:t xml:space="preserve"> a další.</w:t>
      </w:r>
    </w:p>
    <w:p w14:paraId="18DC1FAC" w14:textId="716FBB5E" w:rsidR="00332EA6" w:rsidRDefault="00332EA6" w:rsidP="00332EA6">
      <w:pPr>
        <w:pStyle w:val="Dalodstavce"/>
      </w:pPr>
      <w:r>
        <w:t xml:space="preserve">Nicméně, ve společenských vědách </w:t>
      </w:r>
      <w:r w:rsidR="004E3DD4">
        <w:t>registru</w:t>
      </w:r>
      <w:r>
        <w:t xml:space="preserve">jeme první použití této metody </w:t>
      </w:r>
      <w:r w:rsidR="004E3DD4">
        <w:t>až ve</w:t>
      </w:r>
      <w:r>
        <w:t xml:space="preserve"> 30. let</w:t>
      </w:r>
      <w:r w:rsidR="004E3DD4">
        <w:t>ech</w:t>
      </w:r>
      <w:r>
        <w:t xml:space="preserve"> 20. století a </w:t>
      </w:r>
      <w:r w:rsidR="004E3DD4">
        <w:t xml:space="preserve">za </w:t>
      </w:r>
      <w:r>
        <w:t xml:space="preserve">první průkopníky využití této metody bývají </w:t>
      </w:r>
      <w:r w:rsidR="004E3DD4">
        <w:t>označováni</w:t>
      </w:r>
      <w:r>
        <w:t xml:space="preserve"> například Moreno, Cartwright, Newcomb a Bavelas v sociologii a sociální psychologii a Barnes s Mitchellem v antropologii.</w:t>
      </w:r>
      <w:r w:rsidR="007B7C2D">
        <w:rPr>
          <w:rStyle w:val="Znakapoznpodarou"/>
        </w:rPr>
        <w:footnoteReference w:id="25"/>
      </w:r>
      <w:r>
        <w:t xml:space="preserve"> Počátek síťové analýzy ve společenských vědách je spojen s interdisciplinárními výzkumy propojování matematických modelů se sociologickými a psychologickými výzkumy a to zejména za účelem vyobrazení či grafického znázornění zkoumaných struktur. Síťová analýza jako nová statistická metoda se v tomto ohledu ukázala jako vhodná i z popularizačního hlediska právě díky tomuto vizuálnímu výstupu.</w:t>
      </w:r>
    </w:p>
    <w:p w14:paraId="4FB7CA72" w14:textId="32E951BF" w:rsidR="00332EA6" w:rsidRDefault="00332EA6" w:rsidP="00332EA6">
      <w:pPr>
        <w:pStyle w:val="Dalodstavce"/>
      </w:pPr>
      <w:r>
        <w:t xml:space="preserve">Za pilotní využití síťové analýzy je považován tzv. sociogram Morena z roku 1933, který je současně považován za zakladete sociometrie jako vědního oboru. Sociogram je jednoduchou sítí složenou (1) z bodů </w:t>
      </w:r>
      <w:r>
        <w:lastRenderedPageBreak/>
        <w:t xml:space="preserve">(tedy uzlů, jak je vysvětleno následně), které přestavují jednotlivce či sociální skupiny a (2) ze vztahů mezi nimi, které </w:t>
      </w:r>
      <w:r w:rsidR="00536C4F">
        <w:t>reprezentují</w:t>
      </w:r>
      <w:r>
        <w:t xml:space="preserve"> linky mezi body (tedy hrany). Tento model se stal velmi brzy populárním právě díky názornému grafickému znázornění, </w:t>
      </w:r>
      <w:r w:rsidR="00536C4F">
        <w:t>jež</w:t>
      </w:r>
      <w:r>
        <w:t xml:space="preserve"> velmi usnadnilo jeho popularizaci i mezi neodbornou veřejností (</w:t>
      </w:r>
      <w:r w:rsidR="00536C4F">
        <w:t>i jeho zásluhou</w:t>
      </w:r>
      <w:r>
        <w:t xml:space="preserve"> byl poté zveřejněn v </w:t>
      </w:r>
      <w:r>
        <w:rPr>
          <w:i/>
          <w:iCs/>
        </w:rPr>
        <w:t>The New York Times</w:t>
      </w:r>
      <w:r>
        <w:t>).</w:t>
      </w:r>
      <w:r w:rsidR="007B7C2D">
        <w:rPr>
          <w:rStyle w:val="Znakapoznpodarou"/>
        </w:rPr>
        <w:footnoteReference w:id="26"/>
      </w:r>
      <w:r>
        <w:t xml:space="preserve"> Grafické modely společenských jevů se po uveřejnění sociogramu staly velmi populárními napříč společenskovědními obory – od sociologie a psychologie</w:t>
      </w:r>
      <w:r w:rsidR="007B7C2D">
        <w:rPr>
          <w:rStyle w:val="Znakapoznpodarou"/>
        </w:rPr>
        <w:footnoteReference w:id="27"/>
      </w:r>
      <w:r>
        <w:t xml:space="preserve"> přes ekonomii</w:t>
      </w:r>
      <w:r w:rsidR="007B7C2D">
        <w:rPr>
          <w:rStyle w:val="Znakapoznpodarou"/>
        </w:rPr>
        <w:footnoteReference w:id="28"/>
      </w:r>
      <w:r>
        <w:t>, politologii</w:t>
      </w:r>
      <w:r w:rsidR="007B7C2D">
        <w:rPr>
          <w:rStyle w:val="Znakapoznpodarou"/>
        </w:rPr>
        <w:footnoteReference w:id="29"/>
      </w:r>
      <w:r>
        <w:t xml:space="preserve"> po </w:t>
      </w:r>
      <w:r w:rsidR="00D21229">
        <w:t xml:space="preserve">až </w:t>
      </w:r>
      <w:r>
        <w:t>antropologii</w:t>
      </w:r>
      <w:r w:rsidR="007B7C2D">
        <w:rPr>
          <w:rStyle w:val="Znakapoznpodarou"/>
        </w:rPr>
        <w:footnoteReference w:id="30"/>
      </w:r>
      <w:r>
        <w:t xml:space="preserve"> a </w:t>
      </w:r>
      <w:r w:rsidR="00D21229">
        <w:t>též</w:t>
      </w:r>
      <w:r>
        <w:t xml:space="preserve"> právo</w:t>
      </w:r>
      <w:r w:rsidR="007B7C2D">
        <w:rPr>
          <w:rStyle w:val="Znakapoznpodarou"/>
        </w:rPr>
        <w:footnoteReference w:id="31"/>
      </w:r>
      <w:r>
        <w:t>.</w:t>
      </w:r>
    </w:p>
    <w:p w14:paraId="45B2BC8F" w14:textId="0E950747" w:rsidR="00091C6A" w:rsidRDefault="00091C6A">
      <w:pPr>
        <w:pStyle w:val="Nadpis2"/>
        <w:numPr>
          <w:ilvl w:val="1"/>
          <w:numId w:val="14"/>
        </w:numPr>
      </w:pPr>
      <w:bookmarkStart w:id="16" w:name="_Toc126909339"/>
      <w:r>
        <w:lastRenderedPageBreak/>
        <w:t>Teoretické principy síťové analýzy</w:t>
      </w:r>
      <w:bookmarkEnd w:id="16"/>
    </w:p>
    <w:p w14:paraId="03EFD2E2" w14:textId="3A8D53E3" w:rsidR="006E46CB" w:rsidRDefault="006E46CB" w:rsidP="006E46CB">
      <w:pPr>
        <w:pStyle w:val="Odstavec1"/>
      </w:pPr>
      <w:r>
        <w:t xml:space="preserve">Ačkoliv je pojem síťové analýzy dnes již běžně spojován se společenskovědními obory, její základy a tedy koncepty, které nám umožňují popsat strukturu sítě a její charakteristiky, vychází z propojení dvou formálních matematických disciplín – statistiky a teorie grafů. V dnešní době je navíc síťová analýza úzce spojena i s počítačovou vědou, která nabízí široké možnosti, jak zpracovávat velké množství dat síťovou analýzou bez nutnosti znát a správně aplikovat matematické a statistické základy této metody. Tímto počítačová věda dělá síťovou analýzu </w:t>
      </w:r>
      <w:r w:rsidR="0044231F">
        <w:t xml:space="preserve">uživatelsky </w:t>
      </w:r>
      <w:r>
        <w:t>mnohem příjemnější a široce aplikovatelnou.</w:t>
      </w:r>
    </w:p>
    <w:p w14:paraId="445B7FA1" w14:textId="0580FB50" w:rsidR="006E46CB" w:rsidRDefault="006E46CB" w:rsidP="006E46CB">
      <w:pPr>
        <w:pStyle w:val="Dalodstavce"/>
      </w:pPr>
      <w:r>
        <w:t xml:space="preserve">Síťová analýza je založena na dvou základních konceptech (odlišných datových typech): na </w:t>
      </w:r>
      <w:r w:rsidRPr="009B7792">
        <w:rPr>
          <w:i/>
          <w:iCs/>
        </w:rPr>
        <w:t>uzlech</w:t>
      </w:r>
      <w:r>
        <w:t xml:space="preserve"> (neboli vrcholech) a </w:t>
      </w:r>
      <w:r w:rsidRPr="009B7792">
        <w:rPr>
          <w:i/>
          <w:iCs/>
        </w:rPr>
        <w:t>hranách</w:t>
      </w:r>
      <w:r>
        <w:t xml:space="preserve"> (neboli spojeních). Uzlem může být kterákoliv výzkumníkem zamýšlená entita (subjekt či objekt) a hranou je pak libovolným způsobem definovaný vztah mezi uzly (entitami). V síťové analýze </w:t>
      </w:r>
      <w:r w:rsidR="0044231F">
        <w:t>v oblasti práva</w:t>
      </w:r>
      <w:r>
        <w:t xml:space="preserve"> je jednoduchým příkladem (a </w:t>
      </w:r>
      <w:r w:rsidR="0044231F">
        <w:t>obvyklým</w:t>
      </w:r>
      <w:r>
        <w:t xml:space="preserve"> výzkumným modelem) ten, </w:t>
      </w:r>
      <w:r w:rsidR="0044231F">
        <w:t>v němž</w:t>
      </w:r>
      <w:r>
        <w:t xml:space="preserve"> je uzlem právní text – </w:t>
      </w:r>
      <w:r w:rsidR="0044231F">
        <w:t xml:space="preserve">například </w:t>
      </w:r>
      <w:r>
        <w:t>regulatorní text (zákon, zákoník, směrnice nebo jen paragraf či odstavec daného dokumentu) nebo soudní rozhodnutí (či rozhodnutí jiné autority)</w:t>
      </w:r>
      <w:r w:rsidR="004B0C2C">
        <w:t>, což je případ prvního experimentu v této práci</w:t>
      </w:r>
      <w:r>
        <w:t>.</w:t>
      </w:r>
      <w:r w:rsidR="004D735F">
        <w:rPr>
          <w:rStyle w:val="Znakapoznpodarou"/>
        </w:rPr>
        <w:footnoteReference w:id="32"/>
      </w:r>
      <w:r>
        <w:t xml:space="preserve"> Hranou je pak vzájemná citace mezi dvojicí dokumentů – citace předcházející judikatury, citace jiného regulatorního právního textu apod. Síť, tvořená z těchto uzlů a hran, je pak strukturou daného datasetu uzlů (dokumentů) dle jejich vzájemných hran (vztah definovaný na základě toho, zda se navzájem citují</w:t>
      </w:r>
      <w:r w:rsidR="0044231F">
        <w:t>,</w:t>
      </w:r>
      <w:r>
        <w:t xml:space="preserve"> či nikoliv).</w:t>
      </w:r>
      <w:r w:rsidR="009B7792">
        <w:t xml:space="preserve"> V této práci jsem </w:t>
      </w:r>
      <w:r w:rsidR="004B0C2C">
        <w:t xml:space="preserve">však </w:t>
      </w:r>
      <w:r w:rsidR="009B7792">
        <w:t xml:space="preserve">pojala síťovou analýzu ze širšího hlediska a zkoumané vztahy mezi právními dokumenty jsem rozšířila i </w:t>
      </w:r>
      <w:r w:rsidR="004B0C2C">
        <w:t>o další typy</w:t>
      </w:r>
      <w:r w:rsidR="009B7792">
        <w:t xml:space="preserve">. </w:t>
      </w:r>
      <w:r w:rsidR="004B0C2C">
        <w:t>Ve druhém experimentu</w:t>
      </w:r>
      <w:r w:rsidR="009B7792">
        <w:t xml:space="preserve"> </w:t>
      </w:r>
      <w:r w:rsidR="004B0C2C">
        <w:t xml:space="preserve">bude hranou </w:t>
      </w:r>
      <w:r w:rsidR="009B7792">
        <w:t>vzájemn</w:t>
      </w:r>
      <w:r w:rsidR="004B0C2C">
        <w:t>á</w:t>
      </w:r>
      <w:r w:rsidR="009B7792">
        <w:t xml:space="preserve"> sémantick</w:t>
      </w:r>
      <w:r w:rsidR="004B0C2C">
        <w:t>á</w:t>
      </w:r>
      <w:r w:rsidR="009B7792">
        <w:t xml:space="preserve"> podobnost dokumentů</w:t>
      </w:r>
      <w:r w:rsidR="004B0C2C">
        <w:t>.</w:t>
      </w:r>
      <w:r w:rsidR="004D735F">
        <w:rPr>
          <w:rStyle w:val="Znakapoznpodarou"/>
        </w:rPr>
        <w:footnoteReference w:id="33"/>
      </w:r>
      <w:r w:rsidR="004B0C2C">
        <w:t xml:space="preserve"> Ve třetím experimentu bude hranou tematická podobnost dvou dokumentů založená na přiřazených tématech.</w:t>
      </w:r>
      <w:r w:rsidR="004D735F">
        <w:rPr>
          <w:rStyle w:val="Znakapoznpodarou"/>
        </w:rPr>
        <w:footnoteReference w:id="34"/>
      </w:r>
    </w:p>
    <w:p w14:paraId="053C1FA7" w14:textId="64B933FA" w:rsidR="006E46CB" w:rsidRDefault="006E46CB" w:rsidP="006E46CB">
      <w:pPr>
        <w:pStyle w:val="Dalodstavce"/>
      </w:pPr>
      <w:r>
        <w:t xml:space="preserve">Základním pozorovaným prvkem síťové analýzy je poté graf. V teorii grafů se vyjadřuje uspořádanou dvojicí </w:t>
      </w:r>
      <w:r>
        <w:rPr>
          <w:i/>
          <w:iCs/>
        </w:rPr>
        <w:t>G(V,E),</w:t>
      </w:r>
      <w:r>
        <w:t xml:space="preserve"> kde </w:t>
      </w:r>
      <w:r>
        <w:rPr>
          <w:i/>
          <w:iCs/>
        </w:rPr>
        <w:t>V</w:t>
      </w:r>
      <w:r>
        <w:t xml:space="preserve"> je množinou uzlů (z anglického „</w:t>
      </w:r>
      <w:r>
        <w:rPr>
          <w:i/>
          <w:iCs/>
        </w:rPr>
        <w:t>vertices</w:t>
      </w:r>
      <w:r>
        <w:t xml:space="preserve">“) a </w:t>
      </w:r>
      <w:r>
        <w:rPr>
          <w:i/>
          <w:iCs/>
        </w:rPr>
        <w:t xml:space="preserve">E </w:t>
      </w:r>
      <w:r>
        <w:t>je množinou hran (z anglického „</w:t>
      </w:r>
      <w:r>
        <w:rPr>
          <w:i/>
          <w:iCs/>
        </w:rPr>
        <w:t>edges</w:t>
      </w:r>
      <w:r>
        <w:t xml:space="preserve">“), tedy množinou dvojic uzlů, mezi nimiž existuje definovaný vztah. Dle typu hran poté rozlišujeme graf na </w:t>
      </w:r>
      <w:r w:rsidRPr="009B7792">
        <w:rPr>
          <w:i/>
          <w:iCs/>
        </w:rPr>
        <w:t>orientovaný</w:t>
      </w:r>
      <w:r>
        <w:t xml:space="preserve"> a </w:t>
      </w:r>
      <w:r w:rsidRPr="009B7792">
        <w:rPr>
          <w:i/>
          <w:iCs/>
        </w:rPr>
        <w:t>neorientovaný</w:t>
      </w:r>
      <w:r w:rsidR="0044231F">
        <w:t xml:space="preserve">, a to </w:t>
      </w:r>
      <w:r w:rsidR="0044231F">
        <w:lastRenderedPageBreak/>
        <w:t>po</w:t>
      </w:r>
      <w:r>
        <w:t>dle toho, zda rozlišujeme směr hrany. V případě, že směr nerozlišujeme (znamená to tedy, že pořadí uzlů na obou koncích hrany, kterými je hrana definována, lze volně zaměňovat)</w:t>
      </w:r>
      <w:r w:rsidR="0044231F">
        <w:t>,</w:t>
      </w:r>
      <w:r>
        <w:t xml:space="preserve"> jedná se o neorientovaný graf</w:t>
      </w:r>
      <w:r w:rsidR="0044231F">
        <w:t>.</w:t>
      </w:r>
      <w:r>
        <w:t xml:space="preserve"> </w:t>
      </w:r>
      <w:r w:rsidR="0044231F">
        <w:t>O</w:t>
      </w:r>
      <w:r>
        <w:t xml:space="preserve">rientovaný graf je </w:t>
      </w:r>
      <w:r w:rsidR="0044231F">
        <w:t>takový</w:t>
      </w:r>
      <w:r>
        <w:t xml:space="preserve">, </w:t>
      </w:r>
      <w:r w:rsidR="0044231F">
        <w:t>u něhož</w:t>
      </w:r>
      <w:r>
        <w:t xml:space="preserve"> záleží na pořadí koncových uzlů hrany – tedy odkud a kam hrana vede. Další důležitou vlastností hrany, </w:t>
      </w:r>
      <w:r w:rsidR="0044231F">
        <w:t>pomocí níž</w:t>
      </w:r>
      <w:r>
        <w:t xml:space="preserve"> rozlišujeme typy grafů, je její </w:t>
      </w:r>
      <w:r w:rsidRPr="004B0C2C">
        <w:rPr>
          <w:i/>
          <w:iCs/>
        </w:rPr>
        <w:t>váha</w:t>
      </w:r>
      <w:r>
        <w:t xml:space="preserve">. Jedná se o distinkci dvou typů grafů, prvním a jednodušším typem je </w:t>
      </w:r>
      <w:r w:rsidR="0044231F">
        <w:t>takový</w:t>
      </w:r>
      <w:r>
        <w:t xml:space="preserve">, </w:t>
      </w:r>
      <w:r w:rsidR="0044231F">
        <w:t>jehož</w:t>
      </w:r>
      <w:r>
        <w:t xml:space="preserve"> všechny hrany </w:t>
      </w:r>
      <w:r w:rsidR="0044231F">
        <w:t>mají tutéž</w:t>
      </w:r>
      <w:r>
        <w:t xml:space="preserve"> váhu</w:t>
      </w:r>
      <w:r w:rsidR="0044231F">
        <w:t>,</w:t>
      </w:r>
      <w:r>
        <w:t xml:space="preserve"> a druhým je ten, ve kterém mohou hrany nabývat </w:t>
      </w:r>
      <w:r w:rsidR="0044231F">
        <w:t>různých vah</w:t>
      </w:r>
      <w:r>
        <w:t xml:space="preserve"> dle definovaného pravidla. Váha hrany bývá obvykle kvantifikována jako další charakteristická proměnná. Vrátíme-li se k uvedenému příkladu o vzájemných citacích právních dokumentů tak v případě, kdy budeme rozlišovat, odkud a kam vede citace (což zpravidla budeme, jelikož se jedná o esenciální prvek, chceme-li získat představu o struktuře analyzovaných dokumentů), bude se jednat o orientovaný graf. V případě, když budeme </w:t>
      </w:r>
      <w:r w:rsidR="0044231F">
        <w:t>navíc</w:t>
      </w:r>
      <w:r>
        <w:t xml:space="preserve"> rozlišovat i počet citací (kolikrát daný dokument cituje druhý dokument), bude se jednat o váhu hran a tedy orientovaný ohodnocený graf.</w:t>
      </w:r>
      <w:r w:rsidR="004D735F">
        <w:rPr>
          <w:rStyle w:val="Znakapoznpodarou"/>
        </w:rPr>
        <w:footnoteReference w:id="35"/>
      </w:r>
      <w:r w:rsidR="004B0C2C">
        <w:t xml:space="preserve"> Orientovan</w:t>
      </w:r>
      <w:r w:rsidR="004D735F">
        <w:t>ý</w:t>
      </w:r>
      <w:r w:rsidR="004B0C2C">
        <w:t xml:space="preserve"> a </w:t>
      </w:r>
      <w:r w:rsidR="004D735F">
        <w:t>ohodnocený graf</w:t>
      </w:r>
      <w:r w:rsidR="004B0C2C">
        <w:t xml:space="preserve"> bude typicky  </w:t>
      </w:r>
      <w:r w:rsidR="004D735F">
        <w:t>dále graf tvořený dokumenty a jejich vzájemnými sémantickými podobnostmi v druhém experimentu této práce.</w:t>
      </w:r>
      <w:r w:rsidR="004D735F">
        <w:rPr>
          <w:rStyle w:val="Znakapoznpodarou"/>
        </w:rPr>
        <w:footnoteReference w:id="36"/>
      </w:r>
    </w:p>
    <w:p w14:paraId="6E970D2D" w14:textId="11DB0BAA" w:rsidR="006E46CB" w:rsidRDefault="006E46CB" w:rsidP="006E46CB">
      <w:pPr>
        <w:pStyle w:val="Dalodstavce"/>
      </w:pPr>
      <w:r>
        <w:t xml:space="preserve">Další důležitou proměnnou, kterou lze daný graf </w:t>
      </w:r>
      <w:r w:rsidR="0044231F">
        <w:t xml:space="preserve">popsat </w:t>
      </w:r>
      <w:r>
        <w:t xml:space="preserve">je </w:t>
      </w:r>
      <w:r w:rsidRPr="004D735F">
        <w:rPr>
          <w:i/>
          <w:iCs/>
        </w:rPr>
        <w:t>stupeň vrcholu</w:t>
      </w:r>
      <w:r w:rsidR="00C71AC6">
        <w:rPr>
          <w:rStyle w:val="Znakapoznpodarou"/>
          <w:i/>
          <w:iCs/>
        </w:rPr>
        <w:footnoteReference w:id="37"/>
      </w:r>
      <w:r>
        <w:t xml:space="preserve">. Jedná se o počet hran, </w:t>
      </w:r>
      <w:r w:rsidR="0044231F">
        <w:t>jež</w:t>
      </w:r>
      <w:r>
        <w:t xml:space="preserve"> jsou spojeny s daným vrcholem. Stupeň vrcholu můžeme dále u orientovaného grafu dělit na </w:t>
      </w:r>
      <w:r w:rsidRPr="004D735F">
        <w:rPr>
          <w:i/>
          <w:iCs/>
        </w:rPr>
        <w:t>vstupní</w:t>
      </w:r>
      <w:r w:rsidR="00C71AC6">
        <w:rPr>
          <w:rStyle w:val="Znakapoznpodarou"/>
          <w:i/>
          <w:iCs/>
        </w:rPr>
        <w:footnoteReference w:id="38"/>
      </w:r>
      <w:r>
        <w:t xml:space="preserve"> a </w:t>
      </w:r>
      <w:r w:rsidRPr="004D735F">
        <w:rPr>
          <w:i/>
          <w:iCs/>
        </w:rPr>
        <w:t>výstupní</w:t>
      </w:r>
      <w:r w:rsidR="00C71AC6">
        <w:rPr>
          <w:rStyle w:val="Znakapoznpodarou"/>
          <w:i/>
          <w:iCs/>
        </w:rPr>
        <w:footnoteReference w:id="39"/>
      </w:r>
      <w:r>
        <w:t xml:space="preserve">. Vstupní stupeň vrcholu je počet hran, které jsou orientovány směrem k tomuto vrcholu, a výstupní stupeň je počet hran, </w:t>
      </w:r>
      <w:r w:rsidR="0044231F">
        <w:t>jež</w:t>
      </w:r>
      <w:r>
        <w:t xml:space="preserve"> jsou orientovány směrem od tohoto vrcholu.</w:t>
      </w:r>
    </w:p>
    <w:p w14:paraId="33E16A70" w14:textId="59CFF6C8" w:rsidR="006E46CB" w:rsidRDefault="006E46CB" w:rsidP="006E46CB">
      <w:pPr>
        <w:pStyle w:val="Dalodstavce"/>
      </w:pPr>
      <w:r>
        <w:t xml:space="preserve">Na grafu lze dále změřit a definovat důležité uzly (tedy tzv. </w:t>
      </w:r>
      <w:r w:rsidRPr="004D735F">
        <w:rPr>
          <w:i/>
          <w:iCs/>
        </w:rPr>
        <w:t>centralitu grafu</w:t>
      </w:r>
      <w:r>
        <w:t xml:space="preserve">). Centralita grafu je proměnná, která odpovídá na otázku, </w:t>
      </w:r>
      <w:r w:rsidR="0044231F">
        <w:t>jaký</w:t>
      </w:r>
      <w:r>
        <w:t xml:space="preserve"> uzel je v grafu důležitý. Už ze znění této otázky je </w:t>
      </w:r>
      <w:r w:rsidR="0044231F">
        <w:t>zřejmé</w:t>
      </w:r>
      <w:r>
        <w:t xml:space="preserve">, že </w:t>
      </w:r>
      <w:r w:rsidR="0044231F">
        <w:t>danou</w:t>
      </w:r>
      <w:r>
        <w:t xml:space="preserve"> proměnnou lze určit různými způsoby dle toho, jak si autor výzkumu definuje „</w:t>
      </w:r>
      <w:r w:rsidRPr="005A513F">
        <w:rPr>
          <w:i/>
          <w:iCs/>
        </w:rPr>
        <w:t>důležitost</w:t>
      </w:r>
      <w:r>
        <w:t xml:space="preserve">“. </w:t>
      </w:r>
      <w:r w:rsidR="0044231F">
        <w:t>Ni</w:t>
      </w:r>
      <w:r w:rsidR="004D735F">
        <w:t>c</w:t>
      </w:r>
      <w:r w:rsidR="0044231F">
        <w:t>méně</w:t>
      </w:r>
      <w:r>
        <w:t xml:space="preserve"> existuje obecně užívaná stupňová centralita, která definuje důležité uzly na základě velikosti jejich stupňů (a to obecných či vstupních nebo výstupních).</w:t>
      </w:r>
    </w:p>
    <w:p w14:paraId="69BD2486" w14:textId="663CE010" w:rsidR="006E46CB" w:rsidRDefault="006E46CB" w:rsidP="006E46CB">
      <w:pPr>
        <w:pStyle w:val="Dalodstavce"/>
      </w:pPr>
      <w:r>
        <w:lastRenderedPageBreak/>
        <w:t xml:space="preserve">Poslední proměnnou, která zde bude zmíněna, je </w:t>
      </w:r>
      <w:r w:rsidRPr="004D735F">
        <w:rPr>
          <w:i/>
          <w:iCs/>
        </w:rPr>
        <w:t>shlukový koeficient</w:t>
      </w:r>
      <w:r>
        <w:t>. Ten popisuje, jakým způsobem je graf rozdělen do tzv. shluků, tedy podmnožin uzlů, které jsou si navzájem blíže, než jsou si blízké s</w:t>
      </w:r>
      <w:r w:rsidR="0044231F">
        <w:t> ostatními uzly</w:t>
      </w:r>
      <w:r>
        <w:t xml:space="preserve"> v grafu. Tento koeficient se obvykle určuje na základě váhy stupňů v ohodnoceném grafu.</w:t>
      </w:r>
    </w:p>
    <w:p w14:paraId="182F20B8" w14:textId="620AEE91" w:rsidR="006E46CB" w:rsidRDefault="006E46CB" w:rsidP="006E46CB">
      <w:pPr>
        <w:pStyle w:val="Dalodstavce"/>
      </w:pPr>
      <w:r>
        <w:t xml:space="preserve">Je patrné, že tento teoretický vhled do fungování sítí nemá za cíl představit všechny možné proměnné a úplný přehled jejich užití a případně i výpočtů, </w:t>
      </w:r>
      <w:r w:rsidR="0044231F">
        <w:t>jeho smyslem je nabídnout</w:t>
      </w:r>
      <w:r>
        <w:t xml:space="preserve"> čtenáři nabídnout fundamentální teoretické porozumění síťové analýze tak, aby pro něj byl</w:t>
      </w:r>
      <w:r w:rsidR="0044231F">
        <w:t>a</w:t>
      </w:r>
      <w:r>
        <w:t xml:space="preserve"> </w:t>
      </w:r>
      <w:r w:rsidR="0044231F">
        <w:t>srozumitelná</w:t>
      </w:r>
      <w:r>
        <w:t xml:space="preserve"> k pochopení </w:t>
      </w:r>
      <w:r w:rsidR="000266D5">
        <w:t>metodologie</w:t>
      </w:r>
      <w:r w:rsidR="0044231F">
        <w:t xml:space="preserve"> práce</w:t>
      </w:r>
      <w:r>
        <w:t>.</w:t>
      </w:r>
      <w:r w:rsidR="000266D5">
        <w:t xml:space="preserve"> Jsou tedy představeny základní proměnné, které jsou dále využity při experimentech.</w:t>
      </w:r>
      <w:r>
        <w:t xml:space="preserve"> V případě hlubšího zájmu o tuto disciplínu pak uvádím v poznámce pod čarou několik dalších publikací, na které se může čtenář s jistotou matematicky přesných a formalizovaných odpovědí obrátit.</w:t>
      </w:r>
      <w:r>
        <w:rPr>
          <w:rStyle w:val="Znakapoznpodarou"/>
        </w:rPr>
        <w:footnoteReference w:id="40"/>
      </w:r>
      <w:r>
        <w:t xml:space="preserve"> </w:t>
      </w:r>
    </w:p>
    <w:p w14:paraId="2DFA5E4D" w14:textId="7D3A53C8" w:rsidR="0009487E" w:rsidRDefault="0009487E">
      <w:pPr>
        <w:pStyle w:val="Nadpis2"/>
        <w:numPr>
          <w:ilvl w:val="1"/>
          <w:numId w:val="14"/>
        </w:numPr>
      </w:pPr>
      <w:bookmarkStart w:id="17" w:name="_Toc126909340"/>
      <w:r>
        <w:t>Síťové metody v právu</w:t>
      </w:r>
      <w:bookmarkEnd w:id="17"/>
    </w:p>
    <w:p w14:paraId="7F23AD19" w14:textId="7E8922C4" w:rsidR="0009487E" w:rsidRDefault="0009487E" w:rsidP="0009487E">
      <w:pPr>
        <w:pStyle w:val="Odstavec1"/>
      </w:pPr>
      <w:r>
        <w:t xml:space="preserve">Základním stavebním kamenem síťové analýzy je vztah mezi entitami spolu s charakteristickými vlastnostmi tohoto vztahu popisovanými příslušnými síťovými proměnnými. Tento vztah je základním prvkem, </w:t>
      </w:r>
      <w:r w:rsidR="002578C6">
        <w:t>jenž</w:t>
      </w:r>
      <w:r>
        <w:t xml:space="preserve"> tato metoda zkoumá. Vzhledem k tomu, že u právních pramenů zkoumáme obvykle primárně jejich obsah, </w:t>
      </w:r>
      <w:r w:rsidR="002578C6">
        <w:t>jelikož</w:t>
      </w:r>
      <w:r>
        <w:t xml:space="preserve"> právě ten tvoří platné právo, a teprve sekundárně vztah mezi právními prameny (a to navíc většinou pouze z hlediska hierarchie těchto pramenů, tedy vertikálně), soustředíme-li se primárně na vztah před obsahem, jedná se o významný obrat pozornosti. Proto je tento přístup výrazně odlišný od standardního zkoumání právních pramenů. Jedním z cílů této práce je mimo jiné ukázat, že se jedná o obrat možný (existují vztahy, které můžeme empiricky zkoumat) a současně i chtěný (empirické zkoumání vztahů přináší nové </w:t>
      </w:r>
      <w:r>
        <w:lastRenderedPageBreak/>
        <w:t>informace) a to zejména z hlediska zpracovávání a vyhledávání právních informací.</w:t>
      </w:r>
      <w:r>
        <w:rPr>
          <w:rStyle w:val="Znakapoznpodarou"/>
        </w:rPr>
        <w:footnoteReference w:id="41"/>
      </w:r>
      <w:r>
        <w:t xml:space="preserve"> </w:t>
      </w:r>
    </w:p>
    <w:p w14:paraId="4C338D98" w14:textId="621FDFE1" w:rsidR="0009487E" w:rsidRDefault="0009487E" w:rsidP="0009487E">
      <w:pPr>
        <w:pStyle w:val="Dalodstavce"/>
      </w:pPr>
      <w:r>
        <w:t>V</w:t>
      </w:r>
      <w:r w:rsidR="006047EB">
        <w:t xml:space="preserve"> </w:t>
      </w:r>
      <w:r w:rsidR="00EF636D">
        <w:t>následujících podkapitolách</w:t>
      </w:r>
      <w:r w:rsidR="006047EB">
        <w:rPr>
          <w:rStyle w:val="Znakapoznpodarou"/>
        </w:rPr>
        <w:footnoteReference w:id="42"/>
      </w:r>
      <w:r>
        <w:t xml:space="preserve"> bude uveden přehled využití metod síťové analýzy v právu. V základním rozdělení dle Whalena</w:t>
      </w:r>
      <w:r>
        <w:rPr>
          <w:rStyle w:val="Znakapoznpodarou"/>
        </w:rPr>
        <w:footnoteReference w:id="43"/>
      </w:r>
      <w:r>
        <w:t xml:space="preserve"> lze charakterizovat dvě hlavní kategorie využití síťové analýzy v právu: na </w:t>
      </w:r>
      <w:r w:rsidRPr="00417CA3">
        <w:rPr>
          <w:i/>
          <w:iCs/>
        </w:rPr>
        <w:t>sociální síťovou analýzu v právu</w:t>
      </w:r>
      <w:r>
        <w:t xml:space="preserve"> a </w:t>
      </w:r>
      <w:r w:rsidRPr="00417CA3">
        <w:rPr>
          <w:i/>
          <w:iCs/>
        </w:rPr>
        <w:t>informační síťovou analýzu</w:t>
      </w:r>
      <w:r>
        <w:t xml:space="preserve"> </w:t>
      </w:r>
      <w:r w:rsidRPr="00417CA3">
        <w:rPr>
          <w:i/>
          <w:iCs/>
        </w:rPr>
        <w:t>v právu</w:t>
      </w:r>
      <w:r>
        <w:t>. Sociální síťová analýza v právu se metodologicky podobá spíše obecné sociální síťové analýze tak, jak je velmi obecně představena v předchozí kapitole, to znamená</w:t>
      </w:r>
      <w:r w:rsidR="00417CA3">
        <w:t>, že se</w:t>
      </w:r>
      <w:r>
        <w:t xml:space="preserve"> zaměřuje na zkoumání sociálních vztahů mezi aktéry, </w:t>
      </w:r>
      <w:r w:rsidR="00417CA3">
        <w:t>jimiž</w:t>
      </w:r>
      <w:r>
        <w:t xml:space="preserve"> mohou být nejčastěji osoby či skupiny osob. Pomocí síťové analýzy jsou pak zkoumány tyto vztahy a </w:t>
      </w:r>
      <w:r w:rsidR="00417CA3">
        <w:t xml:space="preserve">jejich </w:t>
      </w:r>
      <w:r>
        <w:t xml:space="preserve">různé charakteristiky </w:t>
      </w:r>
      <w:r w:rsidR="00417CA3">
        <w:t>jako</w:t>
      </w:r>
      <w:r>
        <w:t xml:space="preserve"> časový vývoj, skupinová dynamika, hierarchie apod. Tento směr, ačkoliv do síťové analýzy zcela jistě patří, však nepřináší informace z hlediska vyhledávání právních informací a jejich zpracovávání a z hlediska poznání obsahu právních pramenů. Pro kompletnost přehledu však také krátce uveden bude, těžiště se </w:t>
      </w:r>
      <w:r w:rsidR="00417CA3">
        <w:t>ale</w:t>
      </w:r>
      <w:r>
        <w:t xml:space="preserve"> bude nacházet v přehledu metod aplikace síťové analýzy v právu na právní prameny</w:t>
      </w:r>
      <w:r w:rsidR="00417CA3">
        <w:t>,</w:t>
      </w:r>
      <w:r>
        <w:t xml:space="preserve"> tedy </w:t>
      </w:r>
      <w:r w:rsidR="00417CA3">
        <w:t xml:space="preserve">v </w:t>
      </w:r>
      <w:r>
        <w:t>informační síťové analýze. Cílem této práce je poté</w:t>
      </w:r>
      <w:r w:rsidR="00417CA3">
        <w:t xml:space="preserve"> vy</w:t>
      </w:r>
      <w:r>
        <w:t xml:space="preserve">jasnit, </w:t>
      </w:r>
      <w:r w:rsidR="00417CA3">
        <w:t xml:space="preserve">zda </w:t>
      </w:r>
      <w:r>
        <w:t>právě tato oblast síťové analýzy v právu je využitelná pro vyhledávání a zpracovávání právních informací.</w:t>
      </w:r>
    </w:p>
    <w:p w14:paraId="7BDC9493" w14:textId="51D9E661" w:rsidR="00383565" w:rsidRDefault="00383565" w:rsidP="0009487E">
      <w:pPr>
        <w:pStyle w:val="Dalodstavce"/>
      </w:pPr>
      <w:r>
        <w:t>Pro úplnost je nutné uvést, že referovaná publikace Whalena poskytuje extenzivní přehled užití síťové analýzy v právu a to ve všech zmíněných kategoriích, do roku 2016.</w:t>
      </w:r>
      <w:r>
        <w:rPr>
          <w:rStyle w:val="Znakapoznpodarou"/>
        </w:rPr>
        <w:footnoteReference w:id="44"/>
      </w:r>
      <w:r>
        <w:t xml:space="preserve"> Referovanou publikací jsem navázala na tento přehled užití síťové analýzy v právu do roku 2018.</w:t>
      </w:r>
      <w:r w:rsidR="007E63DE">
        <w:rPr>
          <w:rStyle w:val="Znakapoznpodarou"/>
        </w:rPr>
        <w:footnoteReference w:id="45"/>
      </w:r>
      <w:r>
        <w:t xml:space="preserve"> Následující podkapitoly </w:t>
      </w:r>
      <w:r w:rsidR="007E63DE">
        <w:t>rozvádí a aktualizují oba tyto přehledy.</w:t>
      </w:r>
    </w:p>
    <w:p w14:paraId="712CA683" w14:textId="2F80B098" w:rsidR="008F456D" w:rsidRDefault="008F456D">
      <w:pPr>
        <w:pStyle w:val="Nadpis2"/>
        <w:numPr>
          <w:ilvl w:val="1"/>
          <w:numId w:val="14"/>
        </w:numPr>
      </w:pPr>
      <w:bookmarkStart w:id="18" w:name="_Toc126909341"/>
      <w:r>
        <w:lastRenderedPageBreak/>
        <w:t>Sociální síťová analýza v právu</w:t>
      </w:r>
      <w:bookmarkEnd w:id="18"/>
    </w:p>
    <w:p w14:paraId="189CF137" w14:textId="4694E70C" w:rsidR="008F456D" w:rsidRDefault="008F456D" w:rsidP="008F456D">
      <w:pPr>
        <w:pStyle w:val="Odstavec1"/>
      </w:pPr>
      <w:r>
        <w:t xml:space="preserve">Aplikace sociální síťové analýzy v právu </w:t>
      </w:r>
      <w:r w:rsidR="00DD6888">
        <w:t>bývá</w:t>
      </w:r>
      <w:r>
        <w:t xml:space="preserve"> metodologicky </w:t>
      </w:r>
      <w:r w:rsidR="00DD6888">
        <w:t>zařazována mezi</w:t>
      </w:r>
      <w:r>
        <w:t xml:space="preserve"> sociologický výzkum, jelikož předmětem zkoumání jsou právní sociální sítě. V sociální síťové analýze je základním prvkem, který je analyzován, společenský vztah mezi aktéry v síti.</w:t>
      </w:r>
    </w:p>
    <w:p w14:paraId="3D4FAB6D" w14:textId="13DB7648" w:rsidR="008F456D" w:rsidRDefault="008F456D" w:rsidP="008F456D">
      <w:pPr>
        <w:pStyle w:val="Dalodstavce"/>
      </w:pPr>
      <w:r>
        <w:t xml:space="preserve">Sociální síťová analýza byla v právu aplikována zejména na aktéry podílející se různými způsoby ať už na legislativní tvorbě práva, na jeho aplikaci či na jeho zkoumání. Vzhledem k tomu, že předmětem zkoumání v těchto studiích nejsou právní informace ani prameny ale samotní aktéři, tedy nejčastěji fyzické či právnické osoby, síťová analýza se nejčastěji zabývá otázkami vzájemné interakce a provázanosti aktérů, vytváření zájmových shluků nebo elitních skupin apod. Jednou z prvních studií </w:t>
      </w:r>
      <w:r w:rsidR="006047EB">
        <w:t xml:space="preserve">na dané téma </w:t>
      </w:r>
      <w:r>
        <w:t>byla analýza sociálních struktur právníků v Chicagu od autorské dvojice Heinze a Laumanna</w:t>
      </w:r>
      <w:r w:rsidR="00E7584F">
        <w:rPr>
          <w:rStyle w:val="Znakapoznpodarou"/>
        </w:rPr>
        <w:footnoteReference w:id="46"/>
      </w:r>
      <w:r>
        <w:t>, na kterou navázali síťovou studií způsobů, jakými právníci ve Washingtonu soukromými zájmy ovlivňují legislativní tvorbu.</w:t>
      </w:r>
      <w:r w:rsidR="00E7584F">
        <w:rPr>
          <w:rStyle w:val="Znakapoznpodarou"/>
        </w:rPr>
        <w:footnoteReference w:id="47"/>
      </w:r>
      <w:r>
        <w:t xml:space="preserve"> Mezi další příklad</w:t>
      </w:r>
      <w:r w:rsidR="006047EB">
        <w:t>ové</w:t>
      </w:r>
      <w:r>
        <w:t xml:space="preserve"> aplikace patří dále zkoumání vztahů ať už uvnitř právních firem</w:t>
      </w:r>
      <w:r w:rsidR="006047EB">
        <w:t>,</w:t>
      </w:r>
      <w:r>
        <w:t xml:space="preserve"> či mezi nimi vzájemně, zaměřením těchto typů výzkumů pak </w:t>
      </w:r>
      <w:r w:rsidR="006047EB">
        <w:t xml:space="preserve">často </w:t>
      </w:r>
      <w:r>
        <w:t>bývají společenské vztahy vznikající při vzájemné konkurenci a kompetitivnosti</w:t>
      </w:r>
      <w:r w:rsidR="006047EB">
        <w:t>,</w:t>
      </w:r>
      <w:r>
        <w:t xml:space="preserve"> a nebo opačně </w:t>
      </w:r>
      <w:r w:rsidR="006047EB">
        <w:t xml:space="preserve">při </w:t>
      </w:r>
      <w:r>
        <w:t>vzájemn</w:t>
      </w:r>
      <w:r w:rsidR="006047EB">
        <w:t>é</w:t>
      </w:r>
      <w:r>
        <w:t xml:space="preserve"> spoluprac</w:t>
      </w:r>
      <w:r w:rsidR="006047EB">
        <w:t>i</w:t>
      </w:r>
      <w:r w:rsidR="00E7584F">
        <w:rPr>
          <w:rStyle w:val="Znakapoznpodarou"/>
        </w:rPr>
        <w:footnoteReference w:id="48"/>
      </w:r>
      <w:r w:rsidR="006047EB">
        <w:t>.</w:t>
      </w:r>
      <w:r>
        <w:t xml:space="preserve"> </w:t>
      </w:r>
      <w:r w:rsidR="006047EB">
        <w:t>Z</w:t>
      </w:r>
      <w:r>
        <w:t>ajímavý je dále mezioborový právně-ekonomický výzkum týkající se sledování sociálních sítí právních firem a jejich vlivu na vývoj cen poskytovaných služeb.</w:t>
      </w:r>
      <w:r w:rsidR="00E7584F">
        <w:rPr>
          <w:rStyle w:val="Znakapoznpodarou"/>
        </w:rPr>
        <w:footnoteReference w:id="49"/>
      </w:r>
      <w:r>
        <w:t xml:space="preserve"> Katz a Stafford se dále zabývali i sociální sítí soudců a jejich vztahů, kde pracovali s hypotézou, že profesní a společenské vztahy ovlivňují soudce při jejich rozhodování.</w:t>
      </w:r>
      <w:r w:rsidR="00E7584F">
        <w:rPr>
          <w:rStyle w:val="Znakapoznpodarou"/>
        </w:rPr>
        <w:footnoteReference w:id="50"/>
      </w:r>
      <w:r w:rsidR="00E7584F">
        <w:t xml:space="preserve"> </w:t>
      </w:r>
      <w:r w:rsidR="00AF071E">
        <w:t xml:space="preserve">Zajímavým počinem </w:t>
      </w:r>
      <w:r w:rsidR="00AF071E">
        <w:lastRenderedPageBreak/>
        <w:t>v českém právním prostředí je výzkum Vartazaryana, který aplikoval síťovou analýzu na vztahy</w:t>
      </w:r>
      <w:r w:rsidR="00AF071E" w:rsidRPr="00AF071E">
        <w:t xml:space="preserve"> mezi soudci Ústavního soudu uplatňujícími disentní stanoviska</w:t>
      </w:r>
      <w:r w:rsidR="00AF071E">
        <w:t>. Z jeho zjištění vychází mimo jiné to, že třetí a poslední dekáda existence Ústavního soudu je nejvíce názorově polarizující.</w:t>
      </w:r>
      <w:r w:rsidR="00AF071E">
        <w:rPr>
          <w:rStyle w:val="Znakapoznpodarou"/>
        </w:rPr>
        <w:footnoteReference w:id="51"/>
      </w:r>
    </w:p>
    <w:p w14:paraId="34703F14" w14:textId="2DB94A1B" w:rsidR="008F456D" w:rsidRDefault="008F456D" w:rsidP="008F456D">
      <w:pPr>
        <w:pStyle w:val="Dalodstavce"/>
      </w:pPr>
      <w:r>
        <w:t>Důležitou odnoží sociální síťové analýzy je dále aplikace síťových metod v kriminologii za účelem zkoumání sociálních vztahů pachatelů trestné činnosti, jejich skupin či celých kriminálních gangů a teroristických skupin. V tomto směru se síťová analýza v právu často prolíná se zmiňovanou kriminologií, zkoumá však též ekonomické a sociologické vlivy vzniku trestné činnosti a obecně ekonomicko-sociologické pozadí pachatelů trestné činnosti skrz síťové proměnné.</w:t>
      </w:r>
      <w:r w:rsidR="00E7584F">
        <w:rPr>
          <w:rStyle w:val="Znakapoznpodarou"/>
        </w:rPr>
        <w:footnoteReference w:id="52"/>
      </w:r>
    </w:p>
    <w:p w14:paraId="15C185C6" w14:textId="3C773997" w:rsidR="0009487E" w:rsidRDefault="008F456D" w:rsidP="00AD4532">
      <w:pPr>
        <w:pStyle w:val="Dalodstavce"/>
      </w:pPr>
      <w:r>
        <w:t>Přehled studií v této podkapitole tímto rozhodně není vyčerpán, jedná se spíše o n</w:t>
      </w:r>
      <w:r w:rsidR="001A7664">
        <w:t>ástin</w:t>
      </w:r>
      <w:r>
        <w:t xml:space="preserve"> možných směrů a způsobů využití. I tak je patrné, že síťové metody nachází v právu uplatnění i mimo zkoumání obsahu právních pramenů</w:t>
      </w:r>
      <w:r w:rsidR="00A941BE">
        <w:t xml:space="preserve"> a jejich vztahů</w:t>
      </w:r>
      <w:r>
        <w:t xml:space="preserve">. </w:t>
      </w:r>
      <w:r w:rsidR="001A7664">
        <w:t>Z</w:t>
      </w:r>
      <w:r>
        <w:t xml:space="preserve">aměření této práce </w:t>
      </w:r>
      <w:r w:rsidR="001A7664">
        <w:t>nicméně spočívá</w:t>
      </w:r>
      <w:r>
        <w:t xml:space="preserve"> ve využití síťové analýzy pro poznání obsahu práva a </w:t>
      </w:r>
      <w:r w:rsidR="00CD0D19">
        <w:t>zejména</w:t>
      </w:r>
      <w:r>
        <w:t xml:space="preserve"> pro vyhledávání právních informací, </w:t>
      </w:r>
      <w:r w:rsidR="00CD0D19">
        <w:t>zaměřím se proto spíše</w:t>
      </w:r>
      <w:r>
        <w:t xml:space="preserve"> na druhou kategorii aplikace síťové analýzy v právu – informační síťovou analýzu – v následující podkapitole.</w:t>
      </w:r>
    </w:p>
    <w:p w14:paraId="2B437846" w14:textId="5DF16244" w:rsidR="00AD4532" w:rsidRDefault="00AD4532">
      <w:pPr>
        <w:pStyle w:val="Nadpis2"/>
        <w:numPr>
          <w:ilvl w:val="1"/>
          <w:numId w:val="14"/>
        </w:numPr>
      </w:pPr>
      <w:bookmarkStart w:id="19" w:name="_Toc126909342"/>
      <w:r>
        <w:lastRenderedPageBreak/>
        <w:t>Informační síťová analýza v právu</w:t>
      </w:r>
      <w:bookmarkEnd w:id="19"/>
    </w:p>
    <w:p w14:paraId="1381D571" w14:textId="3487F58D" w:rsidR="00AD4532" w:rsidRDefault="00AD4532" w:rsidP="00AD4532">
      <w:pPr>
        <w:pStyle w:val="Odstavec1"/>
        <w:rPr>
          <w:rStyle w:val="Hypertextovodkaz"/>
        </w:rPr>
      </w:pPr>
      <w:r>
        <w:t>Pod pojmem informační síťová analýz</w:t>
      </w:r>
      <w:r w:rsidR="0099129B">
        <w:t>a</w:t>
      </w:r>
      <w:r>
        <w:t xml:space="preserve"> v právu chápeme metody síťové analýzy aplikované na právní pramen</w:t>
      </w:r>
      <w:r w:rsidR="0099129B">
        <w:t>y</w:t>
      </w:r>
      <w:r>
        <w:t xml:space="preserve"> nebo šířeji právní informace a data obecně. Nejčastěji používanými dokumenty jsou pak legislativní či judikatorní právní dokumenty. </w:t>
      </w:r>
      <w:r w:rsidR="0099129B">
        <w:t>Bude</w:t>
      </w:r>
      <w:r>
        <w:t xml:space="preserve"> ukázáno, že vyhledávání a zpracovávání právních informací je pouze jeden z cílů aplikace metod síťové analýzy, tyto metody jsou na právní prameny aplikovány také za účelem empirického zkoumání některých teoretických právních </w:t>
      </w:r>
      <w:r w:rsidR="00C12128">
        <w:t>institutů</w:t>
      </w:r>
      <w:r>
        <w:t xml:space="preserve">, dále empirického zkoumání fungování některých právních institutů či celých systémů obecně nebo zjišťování vývojových trendů daných institutů apod. Vyhledávání právních informací je </w:t>
      </w:r>
      <w:r w:rsidR="0099129B">
        <w:t>proto</w:t>
      </w:r>
      <w:r>
        <w:t xml:space="preserve"> pouze jedním z mnoha účelů aplikace síťových metod; jedná se současně o účel svázaný s praktickou aplikací metod a s koncovým „</w:t>
      </w:r>
      <w:r w:rsidRPr="00E6198F">
        <w:rPr>
          <w:i/>
          <w:iCs/>
        </w:rPr>
        <w:t>uživatelem</w:t>
      </w:r>
      <w:r>
        <w:t xml:space="preserve">“, který informace vyhledává a </w:t>
      </w:r>
      <w:r w:rsidR="0099129B">
        <w:t>jenž</w:t>
      </w:r>
      <w:r>
        <w:t xml:space="preserve"> obvykle i vyhodnocuje jejich relevanci.</w:t>
      </w:r>
      <w:r>
        <w:rPr>
          <w:rStyle w:val="Znakapoznpodarou"/>
        </w:rPr>
        <w:footnoteReference w:id="53"/>
      </w:r>
    </w:p>
    <w:p w14:paraId="0E54C360" w14:textId="66F73A26" w:rsidR="00AD4532" w:rsidRDefault="00AD4532" w:rsidP="00AD4532">
      <w:pPr>
        <w:pStyle w:val="Dalodstavce"/>
      </w:pPr>
      <w:r>
        <w:t>Informační síťovou analýzu, podobně jako sociální síťovou analýzu, rozlišujeme přirozeně dle typu a povahy zkoumaných dat (ve smyslu uzlů v síti neboli datových bodů) a dle typu a povahy jejích vzájemných vztahů (ve smyslu hran v síti). V právu se nejčastěji setkáváme se síťovou analýzou aplikovanou na normativní právní akty na všech úrovních a na judikaturu</w:t>
      </w:r>
      <w:r w:rsidR="00C12128">
        <w:t>.</w:t>
      </w:r>
      <w:r>
        <w:t xml:space="preserve"> </w:t>
      </w:r>
      <w:r w:rsidR="00C12128">
        <w:t>D</w:t>
      </w:r>
      <w:r>
        <w:t>ůležité a obsažné odvětví je dále zpracovávání a analýza patentových přihlášek síťovou analýzou. Z hlediska metody tvorby a vzniku hran v síti, tedy z hlediska vzájemných vztahů mezi datovými body, které jsou pro síťovou analýzu typické, se v právu nejčastěji setkáváme s analýzou citační, tedy analýzou vzájemných referencí v datech, na která síťovou analýzu aplikujeme. V současnosti lze říc</w:t>
      </w:r>
      <w:r w:rsidR="00A97C0C">
        <w:t>t,</w:t>
      </w:r>
      <w:r>
        <w:t xml:space="preserve"> i dle přehledu v této kapitole, že </w:t>
      </w:r>
      <w:r w:rsidR="00A97C0C">
        <w:t>daný</w:t>
      </w:r>
      <w:r>
        <w:t xml:space="preserve"> směr v aplikaci síťových metod na právní prameny výrazně dominuje. Až </w:t>
      </w:r>
      <w:r w:rsidR="00A97C0C">
        <w:t>v poslední době</w:t>
      </w:r>
      <w:r>
        <w:t xml:space="preserve"> a to zejména v souvislosti s rozvojem efektivnějších a přesnějších metod zpracování přirozeného jazyka</w:t>
      </w:r>
      <w:r w:rsidR="00A97C0C">
        <w:t>,</w:t>
      </w:r>
      <w:r>
        <w:t xml:space="preserve"> je na vzájemné vztahy mezi právními prameny nahlíženo i z jiných hledisek</w:t>
      </w:r>
      <w:r w:rsidR="00A97C0C">
        <w:t>,</w:t>
      </w:r>
      <w:r>
        <w:t xml:space="preserve"> než je pouze citační hledisko. Vztahy mezi právními prameny neboli hrany v síti jsou pak tvořeny např. vzájemnou sémantickou podobností jednotlivých pramenů (dokumentů), příslušností k podobnému tematickému shluku či podobným tematickým zařazením, vzájemnou syntaktickou podobností jednotlivých dokumentů apod. Jedním </w:t>
      </w:r>
      <w:r>
        <w:lastRenderedPageBreak/>
        <w:t>z dílčích cílů této práce je zmapovat nejen dominantní postavení citační síťové analýzy, která navíc bývá často terminologicky zaměňována s obecným termínem síťová analýza v právu, ale také představit jiné aplikace síťových metod v právu a vyzdvihnout jejich obecné výhody pro práci s právními prameny, pro jejich poznání a vyhledávání či získávání.</w:t>
      </w:r>
    </w:p>
    <w:p w14:paraId="0DC0166F" w14:textId="426050D3" w:rsidR="00AD4532" w:rsidRDefault="00AD4532" w:rsidP="00AD4532">
      <w:pPr>
        <w:pStyle w:val="Dalodstavce"/>
      </w:pPr>
      <w:r>
        <w:t>Za tímto účelem je tato kapitola rozdělena na dvě části: na přehledovou část zabývající se citační analýzou a citační síťovou analýzou a na přehledovou část zabývající se ostatními aplikacemi účelně nazvanou textovou síťovou analýzou v právu. Textová síťová analýza v</w:t>
      </w:r>
      <w:r w:rsidR="00A97C0C">
        <w:t> této práci</w:t>
      </w:r>
      <w:r>
        <w:t xml:space="preserve"> </w:t>
      </w:r>
      <w:r w:rsidR="00A97C0C">
        <w:t>představuje</w:t>
      </w:r>
      <w:r>
        <w:t xml:space="preserve"> metodu, která síťovými metodami zkoumá textový obsah právních pramenů jako závazný obsah práva za použití metod přirozeného zpracování jazyka založených na strojovém učení a umělé inteligenci.</w:t>
      </w:r>
    </w:p>
    <w:p w14:paraId="2FE75F97" w14:textId="7593E669" w:rsidR="00AD4532" w:rsidRDefault="00AD4532">
      <w:pPr>
        <w:pStyle w:val="Nadpis3"/>
        <w:numPr>
          <w:ilvl w:val="2"/>
          <w:numId w:val="14"/>
        </w:numPr>
      </w:pPr>
      <w:r>
        <w:t>Citační analýza a citační síťová analýza</w:t>
      </w:r>
    </w:p>
    <w:p w14:paraId="764BB575" w14:textId="62CB6188" w:rsidR="00AD4532" w:rsidRDefault="00700D57" w:rsidP="00AD4532">
      <w:pPr>
        <w:pStyle w:val="Odstavec1"/>
      </w:pPr>
      <w:r>
        <w:t xml:space="preserve">Citační síťová analýza je metoda aplikovaná nejen v právu, její základy můžeme hledat v bibliografickém výzkumu. Citace mezi (právními či jinými) dokumenty totiž přirozeně tvoří síť, která přímo vybízí k analýze síťovými metodami, případně metodami teorie grafů, z jejich strukturálního a komplexního hlediska vzájemných vztahů. V takové síti jednotlivé dokumenty </w:t>
      </w:r>
      <w:r w:rsidR="00376178">
        <w:t>vytvářejí</w:t>
      </w:r>
      <w:r>
        <w:t xml:space="preserve"> uzly a vzájemné citace hrany mezi nimi, </w:t>
      </w:r>
      <w:r w:rsidR="00376178">
        <w:t>dané</w:t>
      </w:r>
      <w:r>
        <w:t xml:space="preserve"> hrany pak mohou v závislosti na typu analýz</w:t>
      </w:r>
      <w:r w:rsidR="00376178">
        <w:t>y</w:t>
      </w:r>
      <w:r>
        <w:t xml:space="preserve"> a účelu zkoumání nabývat směru či váhy apod. Dle zvolené metodologie pak lze pozorovat i vývoj sítě a vznik uzlů i hran v závislosti na dalších externích proměnných, např. typicky na času. Získané metriky a jejich hodnoty potom pomáhají odpovídat na některé ryze právně teoretické otázky, jako např. jakým způsobem vzniká v precedentním systému doktrína </w:t>
      </w:r>
      <w:r>
        <w:rPr>
          <w:i/>
          <w:iCs/>
        </w:rPr>
        <w:t>stare decisis,</w:t>
      </w:r>
      <w:r>
        <w:t xml:space="preserve"> jak bude ukázáno dále.</w:t>
      </w:r>
      <w:r w:rsidR="00CF7DBF">
        <w:rPr>
          <w:rStyle w:val="Znakapoznpodarou"/>
        </w:rPr>
        <w:footnoteReference w:id="54"/>
      </w:r>
      <w:r>
        <w:t xml:space="preserve"> V následujícím přehledu citační analýzy se budou prolínat jak právní</w:t>
      </w:r>
      <w:r w:rsidR="001A7863">
        <w:t>,</w:t>
      </w:r>
      <w:r>
        <w:t xml:space="preserve"> tak neprávní studie zabývající se citacemi; můžeme pozorovat vývoj od vzniku myšlenky citačního indexu a zdůraznění jeho možné role při analýze velkého množství vzájemně souvisejících dokumentů až po komplexní sítě mapující celé datasety dokumentů s poměrně sofistikovanými proměnnými kvantitativně popisujícími jejich vlastnosti ve vzájemných souvislostech.</w:t>
      </w:r>
    </w:p>
    <w:p w14:paraId="6F081C43" w14:textId="7767EBD0" w:rsidR="00700D57" w:rsidRDefault="00700D57" w:rsidP="00700D57">
      <w:pPr>
        <w:pStyle w:val="Dalodstavce"/>
      </w:pPr>
      <w:r>
        <w:lastRenderedPageBreak/>
        <w:t>Jedním z prvních citačních experimentů v</w:t>
      </w:r>
      <w:r w:rsidR="003B337D">
        <w:t> právním odvětví</w:t>
      </w:r>
      <w:r>
        <w:t xml:space="preserve"> byl Shep</w:t>
      </w:r>
      <w:r w:rsidR="005D752E">
        <w:t>a</w:t>
      </w:r>
      <w:r>
        <w:t>rd analyzující citační praxi Nejvyššího soudu USA v jeho judikatuře za účelem vývoje citačního indexu už v roce 1873</w:t>
      </w:r>
      <w:r w:rsidR="00C12128">
        <w:t xml:space="preserve"> a tento index se užívá dosud.</w:t>
      </w:r>
      <w:r w:rsidR="00CF7DBF">
        <w:rPr>
          <w:rStyle w:val="Znakapoznpodarou"/>
        </w:rPr>
        <w:footnoteReference w:id="55"/>
      </w:r>
      <w:r>
        <w:t xml:space="preserve"> Na tuto myšlenku bylo navázáno až v polovině 20. století</w:t>
      </w:r>
      <w:r w:rsidR="001A7863">
        <w:t>,</w:t>
      </w:r>
      <w:r>
        <w:t xml:space="preserve"> a to zejména prací Garfielda zabývající se bibliografickými citacemi a jejich analýzou, jeho práce bývá považována za základ citační analýzy a Garfield za zakladatele bibliografie.</w:t>
      </w:r>
      <w:r w:rsidR="00CF7DBF">
        <w:rPr>
          <w:rStyle w:val="Znakapoznpodarou"/>
        </w:rPr>
        <w:footnoteReference w:id="56"/>
      </w:r>
      <w:r>
        <w:t xml:space="preserve"> Paralelně s vývojem citační indexace v bibliografii vznikaly ve 40. letech 20. století první citační studie patentových přihlášek, reagující na povinnost uvedení seznamu existujících zapsaných patentů relevantních pro předmět patentové přihlášky přímo do této přihlášky. Takové množství vzájemných citací zapsaných patentů pak umožnilo provádět citační analýzu ve velkém měřítku a tím nejen usnadnit práci patentovým zástupcům</w:t>
      </w:r>
      <w:r w:rsidR="00CF7DBF">
        <w:rPr>
          <w:rStyle w:val="Znakapoznpodarou"/>
        </w:rPr>
        <w:footnoteReference w:id="57"/>
      </w:r>
      <w:r>
        <w:t>, ale i sledovat vývojové trendy patentů a technologického vývoje obecně.</w:t>
      </w:r>
      <w:r w:rsidR="00CF7DBF">
        <w:rPr>
          <w:rStyle w:val="Znakapoznpodarou"/>
        </w:rPr>
        <w:footnoteReference w:id="58"/>
      </w:r>
    </w:p>
    <w:p w14:paraId="253119B2" w14:textId="6DD1FFCB" w:rsidR="00700D57" w:rsidRDefault="00700D57" w:rsidP="00700D57">
      <w:pPr>
        <w:pStyle w:val="Dalodstavce"/>
      </w:pPr>
      <w:r>
        <w:t>V reakci na rozvoj citační indexace pak v roce 1971 Zunde definoval tři hlavní směry aplikace výpočtu citačních indexů dokumentů a jejich účel: pro hodnocení vědy a výzkumu (podobně jak dnes známe výpočty citačních indexů odborných časopisů apod.), dále pro nastínění historického vývoje vědy, technologií nebo právě konkrétních (např. právních) institutů a dále právě pro vyhledávání a získávání informací</w:t>
      </w:r>
      <w:r w:rsidR="004F6DB9">
        <w:t>,</w:t>
      </w:r>
      <w:r>
        <w:t xml:space="preserve"> a to zejména v právu.</w:t>
      </w:r>
      <w:r w:rsidR="00CF7DBF">
        <w:rPr>
          <w:rStyle w:val="Znakapoznpodarou"/>
        </w:rPr>
        <w:footnoteReference w:id="59"/>
      </w:r>
      <w:r>
        <w:t xml:space="preserve"> Chronologicky následovala citační studie judikatury Nejvyššího soudu USA Stephena M. Marxe, která vybízela k publikování </w:t>
      </w:r>
      <w:r>
        <w:lastRenderedPageBreak/>
        <w:t>seznamů citovaných soudních rozhodnutí za účelem vyhledávání a získávání relevantních soudních rozhodnutí při rešerši judikatury.</w:t>
      </w:r>
      <w:r w:rsidR="00CF7DBF">
        <w:rPr>
          <w:rStyle w:val="Znakapoznpodarou"/>
        </w:rPr>
        <w:footnoteReference w:id="60"/>
      </w:r>
      <w:r>
        <w:t xml:space="preserve"> Na tuto myšlenku navázal Tapper studií, </w:t>
      </w:r>
      <w:r w:rsidR="004F6DB9">
        <w:t>jež</w:t>
      </w:r>
      <w:r>
        <w:t xml:space="preserve"> velmi progresivně kombinovala citační analýzu a určení podobnosti soudních rozhodnutí porovnáním vektorů zachycujících citovaná rozhodnutí, pro tento účel místo standardní cosinové podobnosti dvou vektorů vyvinul vlastní výpočet podobnosti.</w:t>
      </w:r>
      <w:r w:rsidR="00CF7DBF">
        <w:rPr>
          <w:rStyle w:val="Znakapoznpodarou"/>
        </w:rPr>
        <w:footnoteReference w:id="61"/>
      </w:r>
      <w:r>
        <w:t xml:space="preserve"> Spolu s rozvojem citačních studií v právu pak byly více diskutovány i její limity, na což reagoval Tutle studií, ve které navrhnul model vyhledávání informací za pomoc</w:t>
      </w:r>
      <w:r w:rsidR="004F6DB9">
        <w:t>i</w:t>
      </w:r>
      <w:r>
        <w:t xml:space="preserve"> právě citačních indexů beroucích v úvahu i kontext citace v rámci právního dokumentu.</w:t>
      </w:r>
      <w:r w:rsidR="00CF7DBF">
        <w:rPr>
          <w:rStyle w:val="Znakapoznpodarou"/>
        </w:rPr>
        <w:footnoteReference w:id="62"/>
      </w:r>
      <w:r w:rsidR="00CF7DBF">
        <w:t xml:space="preserve"> </w:t>
      </w:r>
    </w:p>
    <w:p w14:paraId="67B3961B" w14:textId="44605963" w:rsidR="00700D57" w:rsidRDefault="00700D57" w:rsidP="00700D57">
      <w:pPr>
        <w:pStyle w:val="Dalodstavce"/>
      </w:pPr>
      <w:r>
        <w:t>Opravdový rozvoj citační analýzy ale umožnilo až 21. století paralelně s rozvojem informačních technologií a automatického zpracování velkého množství text</w:t>
      </w:r>
      <w:r w:rsidR="004F6DB9">
        <w:t>ů</w:t>
      </w:r>
      <w:r>
        <w:t>, který umožnil vznik algoritmů a softwarů pro jednoduší získání a zpracování citačních datasetů. Tyto okolnosti také zapříčinily propojení citační analýzy s metodou síťové analýzy a tím podpořily argument jejího obecného využití pro empirickou analýzu právních pramenů a dokonce zodpovězení některých fundamentálně teoretických právních otázek.</w:t>
      </w:r>
    </w:p>
    <w:p w14:paraId="6F927ED8" w14:textId="7168C3B9" w:rsidR="00700D57" w:rsidRDefault="00700D57" w:rsidP="00700D57">
      <w:pPr>
        <w:pStyle w:val="Dalodstavce"/>
      </w:pPr>
      <w:r>
        <w:t xml:space="preserve">Nejčastěji bývají v tomto směru zpracovávány datasety soudních rozhodnutí Nejvyššího soudu USA a podobně i rozhodnutí Soudního dvora EU. Zajímavý je v tomto směru </w:t>
      </w:r>
      <w:r w:rsidR="00126261">
        <w:t>též</w:t>
      </w:r>
      <w:r>
        <w:t xml:space="preserve"> odklon od předchozího účelu citačních studií v právu, kterým bylo zejména vyhledávání právních informací, jejich strukturalizace a lepší získávání (např. výše zmíněn</w:t>
      </w:r>
      <w:r w:rsidR="00126261">
        <w:t>á</w:t>
      </w:r>
      <w:r>
        <w:t xml:space="preserve"> citační analýza rozhodnutí Nejvyššího soudu USA či citační analýza patentových přihlášek). Ve 21. století, jak bude ukázáno, se cíl citačních a síťových studií postupně přesunul spíše k empirickému podložení velmi teoretických právních hypotéz a výzkumných otázek týkajících se samotného fungování soudních systémů</w:t>
      </w:r>
      <w:r w:rsidR="00126261">
        <w:t>,</w:t>
      </w:r>
      <w:r>
        <w:t xml:space="preserve"> a to zejména funkc</w:t>
      </w:r>
      <w:r w:rsidR="00126261">
        <w:t>e</w:t>
      </w:r>
      <w:r>
        <w:t xml:space="preserve"> a důležitost</w:t>
      </w:r>
      <w:r w:rsidR="00126261">
        <w:t>i</w:t>
      </w:r>
      <w:r>
        <w:t xml:space="preserve"> precedentů či definice vágního termínu </w:t>
      </w:r>
      <w:r w:rsidRPr="00126261">
        <w:rPr>
          <w:i/>
          <w:iCs/>
        </w:rPr>
        <w:t>relevance</w:t>
      </w:r>
      <w:r>
        <w:t xml:space="preserve"> soudních rozhodnutí apod.</w:t>
      </w:r>
    </w:p>
    <w:p w14:paraId="62191A08" w14:textId="767FC30E" w:rsidR="00700D57" w:rsidRDefault="00700D57" w:rsidP="00700D57">
      <w:pPr>
        <w:pStyle w:val="Dalodstavce"/>
      </w:pPr>
      <w:r>
        <w:t xml:space="preserve">Zkoumání vzájemných citací judikatury Nejvyššího soudu USA provedl Thomas A. Smith, který ve své práci potvrdil tzv. </w:t>
      </w:r>
      <w:r>
        <w:rPr>
          <w:i/>
          <w:iCs/>
        </w:rPr>
        <w:t xml:space="preserve">power law </w:t>
      </w:r>
      <w:r>
        <w:t xml:space="preserve">trend u </w:t>
      </w:r>
      <w:r>
        <w:lastRenderedPageBreak/>
        <w:t>citovaných rozhodnutí.</w:t>
      </w:r>
      <w:r w:rsidR="00CF7DBF">
        <w:rPr>
          <w:rStyle w:val="Znakapoznpodarou"/>
        </w:rPr>
        <w:footnoteReference w:id="63"/>
      </w:r>
      <w:r>
        <w:t xml:space="preserve"> Nejproslulejší citační síťové studie jsou dále dvě návazné studie z let 2007 a 2008 od autorského kolektivu vedeného Fowlerem.</w:t>
      </w:r>
      <w:r w:rsidR="00CF7DBF">
        <w:rPr>
          <w:rStyle w:val="Znakapoznpodarou"/>
        </w:rPr>
        <w:footnoteReference w:id="64"/>
      </w:r>
      <w:r>
        <w:t xml:space="preserve"> Tento autorský kolektiv provedl extenzivní výzkum citačního chování Nejvyššího soudu USA, na jehož rozhodnutí z let 1752 až 2002 aplikoval síťové metriky.</w:t>
      </w:r>
      <w:r w:rsidR="00CF7DBF">
        <w:rPr>
          <w:rStyle w:val="Znakapoznpodarou"/>
        </w:rPr>
        <w:footnoteReference w:id="65"/>
      </w:r>
      <w:r>
        <w:t xml:space="preserve"> Cílem bylo empiricky zkoumat otázku „</w:t>
      </w:r>
      <w:r w:rsidRPr="00126261">
        <w:rPr>
          <w:i/>
          <w:iCs/>
        </w:rPr>
        <w:t>důležitosti</w:t>
      </w:r>
      <w:r>
        <w:t>“ konkrétního rozhodnutí v síti a vztahu této charakteristiky k</w:t>
      </w:r>
      <w:r w:rsidR="00126261">
        <w:t> </w:t>
      </w:r>
      <w:r w:rsidR="00126261" w:rsidRPr="00126261">
        <w:t>vstupní</w:t>
      </w:r>
      <w:r w:rsidR="00126261">
        <w:t>mu</w:t>
      </w:r>
      <w:r w:rsidR="00126261" w:rsidRPr="00126261">
        <w:t xml:space="preserve"> stupni</w:t>
      </w:r>
      <w:r w:rsidRPr="00126261">
        <w:t xml:space="preserve"> </w:t>
      </w:r>
      <w:r>
        <w:t xml:space="preserve">a </w:t>
      </w:r>
      <w:r w:rsidR="00126261">
        <w:t>výstupnímu stupni</w:t>
      </w:r>
      <w:r>
        <w:t>. Hypotézy Fowlera a kol. založené na síťové centralitě uzlu se potvrdily a dokonce dokázali s určitou chybovostí předvídat, které rozhodnutí bude v síti nabývat důležitosti v čase.</w:t>
      </w:r>
      <w:r w:rsidR="00CF7DBF">
        <w:rPr>
          <w:rStyle w:val="Znakapoznpodarou"/>
        </w:rPr>
        <w:footnoteReference w:id="66"/>
      </w:r>
      <w:r>
        <w:t xml:space="preserve"> Rozhodnutí Nejvyššího soudu USA dále zkoumal také autorský kolektiv vedený Crossem</w:t>
      </w:r>
      <w:r w:rsidR="009D2A72">
        <w:t>, byť</w:t>
      </w:r>
      <w:r>
        <w:t xml:space="preserve"> s odlišným záměrem</w:t>
      </w:r>
      <w:r w:rsidR="009D2A72">
        <w:t>, a sice</w:t>
      </w:r>
      <w:r>
        <w:t xml:space="preserve"> zjistit</w:t>
      </w:r>
      <w:r w:rsidR="009D2A72">
        <w:t>,</w:t>
      </w:r>
      <w:r>
        <w:t xml:space="preserve"> za jakým účelem soudci citují konkrétní rozhodnutí a zda tak činí rozdílně či zda vykazuje jejich citační praxe podobné vlastnosti.</w:t>
      </w:r>
      <w:r w:rsidR="00CF7DBF">
        <w:rPr>
          <w:rStyle w:val="Znakapoznpodarou"/>
        </w:rPr>
        <w:footnoteReference w:id="67"/>
      </w:r>
      <w:r>
        <w:t xml:space="preserve"> Whalen poté navázal ve svém výzkumu na výsledky Fowlera a kol. a výzkum rozšířil o časové hledisko. Tento přístup mu umožnil sledovat síť a její vývoj v</w:t>
      </w:r>
      <w:r w:rsidR="009D2A72">
        <w:t> </w:t>
      </w:r>
      <w:r>
        <w:t>čase</w:t>
      </w:r>
      <w:r w:rsidR="009D2A72">
        <w:t>,</w:t>
      </w:r>
      <w:r>
        <w:t xml:space="preserve"> </w:t>
      </w:r>
      <w:r w:rsidR="009D2A72">
        <w:t>především</w:t>
      </w:r>
      <w:r>
        <w:t xml:space="preserve"> s ohledem na důležitá rozhodnutí v síti.</w:t>
      </w:r>
      <w:r w:rsidR="00CF7DBF">
        <w:rPr>
          <w:rStyle w:val="Znakapoznpodarou"/>
        </w:rPr>
        <w:footnoteReference w:id="68"/>
      </w:r>
    </w:p>
    <w:p w14:paraId="78087E98" w14:textId="24CB40D0" w:rsidR="00700D57" w:rsidRDefault="00700D57" w:rsidP="00700D57">
      <w:pPr>
        <w:pStyle w:val="Dalodstavce"/>
      </w:pPr>
      <w:r>
        <w:t>Winkels a kol. replikoval tento výzkum jako první mezi kontinentálními právními systémy</w:t>
      </w:r>
      <w:r w:rsidR="009D2A72">
        <w:t>,</w:t>
      </w:r>
      <w:r>
        <w:t xml:space="preserve"> a to na dataset rozhodnutí Nejvyššího soudu v Nizozemí.</w:t>
      </w:r>
      <w:r w:rsidR="00CF7DBF">
        <w:rPr>
          <w:rStyle w:val="Znakapoznpodarou"/>
        </w:rPr>
        <w:footnoteReference w:id="69"/>
      </w:r>
      <w:r>
        <w:t xml:space="preserve"> Ačkoliv tento autorský kolektiv došel k podobným výsledkům jako autorský kolektiv vedený Fowlerem, při aplikaci síťových metod na neprecedentní soudní systémy nejsou závěry tak jednoznačné. Winkels a kol. i přesto došel ke stejnému závěru ohledně definování </w:t>
      </w:r>
      <w:r>
        <w:lastRenderedPageBreak/>
        <w:t>důležitých rozhodnutí v síti pomocí síťových metrik jako Fowler a kol.</w:t>
      </w:r>
      <w:r w:rsidR="00CF7DBF">
        <w:rPr>
          <w:rStyle w:val="Znakapoznpodarou"/>
        </w:rPr>
        <w:footnoteReference w:id="70"/>
      </w:r>
      <w:r w:rsidR="00CF7DBF">
        <w:t xml:space="preserve"> </w:t>
      </w:r>
      <w:r>
        <w:t>Komparační studii několika síťových algoritmů pak provedl Malmgren na datasetu rozhodnutí Soudního dvora EU.</w:t>
      </w:r>
      <w:r w:rsidR="00CF7DBF">
        <w:rPr>
          <w:rStyle w:val="Znakapoznpodarou"/>
        </w:rPr>
        <w:footnoteReference w:id="71"/>
      </w:r>
      <w:r>
        <w:t xml:space="preserve"> Odlišnou aplikaci metod použili Clark a Lauderdale, kteří pomocí síťové analýzy ověřovali vývoj argumentačních linek napříč citujícími se rozhodnutími.</w:t>
      </w:r>
      <w:r w:rsidR="00CF7DBF">
        <w:rPr>
          <w:rStyle w:val="Znakapoznpodarou"/>
        </w:rPr>
        <w:footnoteReference w:id="72"/>
      </w:r>
      <w:r>
        <w:t xml:space="preserve"> Neale poté využil metod citační síťové analýzy na dataset rozhodnutí k zodpovězení dvou otázek týkajících se předpovězení důležitosti konkrétního rozhodnutí spolu s  časem, od kdy začne rozhodnutí nabývat důležitosti.</w:t>
      </w:r>
      <w:r w:rsidR="00CF7DBF">
        <w:rPr>
          <w:rStyle w:val="Znakapoznpodarou"/>
        </w:rPr>
        <w:footnoteReference w:id="73"/>
      </w:r>
      <w:r>
        <w:t xml:space="preserve"> Snaha o definici „</w:t>
      </w:r>
      <w:r w:rsidRPr="00031DF1">
        <w:rPr>
          <w:i/>
          <w:iCs/>
        </w:rPr>
        <w:t>důležitých</w:t>
      </w:r>
      <w:r>
        <w:t>“ soudních rozhodnutí v síti je předmětem jedné z nejnovějších studií od autorského kolektivu Wagha a kol.</w:t>
      </w:r>
      <w:r w:rsidR="00CF7DBF">
        <w:rPr>
          <w:rStyle w:val="Znakapoznpodarou"/>
        </w:rPr>
        <w:footnoteReference w:id="74"/>
      </w:r>
      <w:r>
        <w:t xml:space="preserve"> Tato práce je ale komparačního charakteru a porovnává citační síťovou analýzu s analýzou s</w:t>
      </w:r>
      <w:r w:rsidR="00031DF1">
        <w:t>é</w:t>
      </w:r>
      <w:r>
        <w:t xml:space="preserve">mantickou, která se skládá z výpočtů </w:t>
      </w:r>
      <w:r w:rsidR="00031DF1">
        <w:t>k</w:t>
      </w:r>
      <w:r>
        <w:t>osinové podobnosti textů příslušných rozhodnutí a citační analýza zde vychází jako metoda se signifikantně přesnějšími výsledky. Jednou z mála prací, které byly dokonce završeny vznikem nástroje pro lepší orientaci v soudní rozhodovací praxi je ta od Kuppevelta a Dijcka.</w:t>
      </w:r>
      <w:r w:rsidR="00CF7DBF">
        <w:rPr>
          <w:rStyle w:val="Znakapoznpodarou"/>
        </w:rPr>
        <w:footnoteReference w:id="75"/>
      </w:r>
      <w:r>
        <w:t xml:space="preserve"> Autoři v </w:t>
      </w:r>
      <w:r w:rsidR="00031DF1">
        <w:t>ní</w:t>
      </w:r>
      <w:r>
        <w:t xml:space="preserve"> analyzovali citace soudních rozhodnutí Nejvyššího soudu v Nizozemsku a ze vzniklé sítě vytvořili veřejně dostupnou webovou aplikaci umožňující vyhledávat soudní rozhodnutí dle různých měřítek.</w:t>
      </w:r>
      <w:r w:rsidR="00CF7DBF">
        <w:rPr>
          <w:rStyle w:val="Znakapoznpodarou"/>
        </w:rPr>
        <w:footnoteReference w:id="76"/>
      </w:r>
      <w:r>
        <w:t xml:space="preserve"> V přiloženém článku pak obhajují výsledky vyhledávání v aplikaci komparací s vyhledávací činností právníka. Panagis a kol. navázali ve svojí studii na předchozí zmíněné výsledky a obohatili citační analýzu soudních rozhodnutí Soudního dvora Evropské unie o implicitní citace, tedy ty, které nejsou označené identifikátorem </w:t>
      </w:r>
      <w:r>
        <w:lastRenderedPageBreak/>
        <w:t xml:space="preserve">rozhodnutí, ale </w:t>
      </w:r>
      <w:r w:rsidR="00031DF1">
        <w:t>integrálně</w:t>
      </w:r>
      <w:r>
        <w:t xml:space="preserve"> zahrnuté v textu.</w:t>
      </w:r>
      <w:r w:rsidR="00CF7DBF">
        <w:rPr>
          <w:rStyle w:val="Znakapoznpodarou"/>
        </w:rPr>
        <w:footnoteReference w:id="77"/>
      </w:r>
      <w:r>
        <w:t xml:space="preserve"> Kvůli extrakci těchto citací tedy provedli sémantickou analýzu a zahrnuli </w:t>
      </w:r>
      <w:r w:rsidR="00031DF1">
        <w:t xml:space="preserve">do ní </w:t>
      </w:r>
      <w:r>
        <w:t xml:space="preserve">nejen explicitní identifikátory, ale i implicitní reference. Práce má poté dvě části – v první </w:t>
      </w:r>
      <w:r w:rsidR="00031DF1">
        <w:t xml:space="preserve">je síť tvořena </w:t>
      </w:r>
      <w:r>
        <w:t xml:space="preserve">z citací konkrétních částí soudních rozhodnutí a v druhé jsou poté zahrnuty i citace celých rozhodnutí. </w:t>
      </w:r>
      <w:r w:rsidR="00031DF1">
        <w:t>Proto</w:t>
      </w:r>
      <w:r>
        <w:t xml:space="preserve"> tato práce obsahuje i část, ve které autoři poměrně úspěšně predikují konkrétní části soudního rozhodnutí, které jsou citovány, i z referencí odkazujících „pouze“ na celé soudní rozhodnutí. Důležitými a vyčerpávajícími studiemi síťové analýzy citací jsou pak na závěr ty z pera Derléna a Lindholma.</w:t>
      </w:r>
      <w:r w:rsidR="00CF7DBF">
        <w:rPr>
          <w:rStyle w:val="Znakapoznpodarou"/>
        </w:rPr>
        <w:footnoteReference w:id="78"/>
      </w:r>
      <w:r>
        <w:t xml:space="preserve"> Jejich hlavní otázkou je role Soudního dvora Evropské unie a jeho rozhodovací praxe na celý právní systém Evropské unie a zjišťují značné podobnosti s citační sítí Nejvyššího soudu USA dle Fowlera.</w:t>
      </w:r>
      <w:r w:rsidR="00CF7DBF">
        <w:rPr>
          <w:rStyle w:val="Znakapoznpodarou"/>
        </w:rPr>
        <w:footnoteReference w:id="79"/>
      </w:r>
      <w:r w:rsidR="00CF7DBF">
        <w:t xml:space="preserve"> </w:t>
      </w:r>
    </w:p>
    <w:p w14:paraId="78ED7750" w14:textId="60A0E96C" w:rsidR="00700D57" w:rsidRDefault="00700D57" w:rsidP="00700D57">
      <w:pPr>
        <w:pStyle w:val="Dalodstavce"/>
      </w:pPr>
      <w:r>
        <w:t xml:space="preserve">Bylo jen otázkou času, kdy se podobná metodologie jako ta, kterou uvedl Fowler a Winkels, aplikuje vedle soudních rozhodnutí i na regulatorní právní texty. Ačkoliv se tento směr odlišuje od citační analýzy tím, že ta se týká pouze citací v soudních textech, princip je stejný – sledovat vzájemné citace mezi právními dokumenty a pozorovat chování této sítě a kvantifikaci jejích vlastností za účelem zjištění toho, jak funguje. První studií je v tomto směru ta od Bommarita a Katze provedená na </w:t>
      </w:r>
      <w:r w:rsidR="00CF7DBF">
        <w:t>legislativě</w:t>
      </w:r>
      <w:r>
        <w:t xml:space="preserve"> USA. Ti navíc tuto práci rozšířili o časový vývoj a sledovali, jakým způsobem roste síť v čase.</w:t>
      </w:r>
      <w:r w:rsidR="00CF7DBF">
        <w:rPr>
          <w:rStyle w:val="Znakapoznpodarou"/>
        </w:rPr>
        <w:footnoteReference w:id="80"/>
      </w:r>
      <w:r>
        <w:t xml:space="preserve"> Tato práce byla zreplikována autorským kolektivem Bouleta a kol. aplikující</w:t>
      </w:r>
      <w:r w:rsidR="00D1465B">
        <w:t>m</w:t>
      </w:r>
      <w:r>
        <w:t xml:space="preserve"> síťovou analýzu na většinu francouzských </w:t>
      </w:r>
      <w:r>
        <w:lastRenderedPageBreak/>
        <w:t>zákoníků a citace mezi nimi.</w:t>
      </w:r>
      <w:r w:rsidR="007E4264">
        <w:rPr>
          <w:rStyle w:val="Znakapoznpodarou"/>
        </w:rPr>
        <w:footnoteReference w:id="81"/>
      </w:r>
      <w:r>
        <w:t xml:space="preserve"> Stejný autorský kolektiv provedl později nástavbovou studii, která pracuje už i s váhou jednotlivých hran podle množství citací mezi jednotlivými uzly.</w:t>
      </w:r>
      <w:r w:rsidR="007E4264">
        <w:rPr>
          <w:rStyle w:val="Znakapoznpodarou"/>
        </w:rPr>
        <w:footnoteReference w:id="82"/>
      </w:r>
      <w:r>
        <w:t xml:space="preserve"> Pomocí této metody podobně definovali důležité zákoníky a potvrdili tzv. </w:t>
      </w:r>
      <w:r>
        <w:rPr>
          <w:i/>
          <w:iCs/>
        </w:rPr>
        <w:t>power law</w:t>
      </w:r>
      <w:r>
        <w:t xml:space="preserve"> – tedy že existuje malé množství zákoníků, které však obsahují většinu in- i outdegree citací. Jedna z pozdějších studií v aplikaci metod síťové analýzy na texty regulatorního charakteru je poté ta od Koniarise a kol., ve které se </w:t>
      </w:r>
      <w:r w:rsidR="00D1465B">
        <w:t xml:space="preserve">autorský tým </w:t>
      </w:r>
      <w:r>
        <w:t>snaží vytvořit kompletní model právních zdrojů Evropské unie na základě jejich vzájemných citací.</w:t>
      </w:r>
      <w:r w:rsidR="00B91D88">
        <w:rPr>
          <w:rStyle w:val="Znakapoznpodarou"/>
        </w:rPr>
        <w:footnoteReference w:id="83"/>
      </w:r>
      <w:r>
        <w:t xml:space="preserve"> </w:t>
      </w:r>
      <w:r w:rsidR="00D1465B">
        <w:t>Studii navíc</w:t>
      </w:r>
      <w:r>
        <w:t xml:space="preserve"> obohacuje také o časový vývoj. Potvrzuje fungování </w:t>
      </w:r>
      <w:r>
        <w:rPr>
          <w:i/>
          <w:iCs/>
        </w:rPr>
        <w:t>power law</w:t>
      </w:r>
      <w:r>
        <w:t xml:space="preserve"> i na těchto právních dokumentech a navíc zjišťuje, že roste hustota sítě, jelikož počet vzájemných citací </w:t>
      </w:r>
      <w:r w:rsidR="00D1465B">
        <w:t xml:space="preserve">vzrůstá rychleji </w:t>
      </w:r>
      <w:r>
        <w:t>než počet nových dokumentů.</w:t>
      </w:r>
      <w:r w:rsidR="00B91D88">
        <w:rPr>
          <w:rStyle w:val="Znakapoznpodarou"/>
        </w:rPr>
        <w:footnoteReference w:id="84"/>
      </w:r>
      <w:r w:rsidR="00B91D88">
        <w:t xml:space="preserve"> </w:t>
      </w:r>
      <w:r w:rsidR="00F21C2F">
        <w:t xml:space="preserve">Byrne a kol. použili síťovou analýzu za účelem </w:t>
      </w:r>
      <w:r w:rsidR="00AE5A58">
        <w:t>analýzy</w:t>
      </w:r>
      <w:r w:rsidR="00F21C2F">
        <w:t xml:space="preserve"> mezinárodního migračního práva</w:t>
      </w:r>
      <w:r w:rsidR="00AE5A58">
        <w:t xml:space="preserve"> v judikatuře Evropského soudu pro lidská práva.</w:t>
      </w:r>
      <w:r w:rsidR="00AE5A58">
        <w:rPr>
          <w:rStyle w:val="Znakapoznpodarou"/>
        </w:rPr>
        <w:footnoteReference w:id="85"/>
      </w:r>
    </w:p>
    <w:p w14:paraId="4907400F" w14:textId="37F9FEB5" w:rsidR="00700D57" w:rsidRDefault="00700D57" w:rsidP="00700D57">
      <w:pPr>
        <w:pStyle w:val="Dalodstavce"/>
      </w:pPr>
      <w:r>
        <w:t xml:space="preserve">Ačkoliv </w:t>
      </w:r>
      <w:r w:rsidR="00D1465B">
        <w:t xml:space="preserve">v poslední době </w:t>
      </w:r>
      <w:r>
        <w:t>nastal určitý odklon od praktické aplikace citační analýzy pro vyhledávání či řazení informací a zdrojů, některé pokusy však byly v tomto směru zaznamenány. Geist použil citační síťové metriky a navrhnul zjednodušení vyhledávání rakouských právních dokumentů v právních informačních systémech.</w:t>
      </w:r>
      <w:r w:rsidR="00B91D88">
        <w:rPr>
          <w:rStyle w:val="Znakapoznpodarou"/>
        </w:rPr>
        <w:footnoteReference w:id="86"/>
      </w:r>
      <w:r>
        <w:t xml:space="preserve"> Opijnen použil podobnou metodu a použil citační data k automatickému hodnocení soudních rozhodnutí a k oddělení </w:t>
      </w:r>
      <w:r w:rsidR="00D1465B">
        <w:t xml:space="preserve">těch </w:t>
      </w:r>
      <w:r>
        <w:t xml:space="preserve">důležitých od nedůležitých za účelem </w:t>
      </w:r>
      <w:r>
        <w:lastRenderedPageBreak/>
        <w:t>snadnějšího vyhledávání soudních rozhodnutí uživateli.</w:t>
      </w:r>
      <w:r w:rsidR="00B91D88">
        <w:rPr>
          <w:rStyle w:val="Znakapoznpodarou"/>
        </w:rPr>
        <w:footnoteReference w:id="87"/>
      </w:r>
      <w:r w:rsidR="00B91D88">
        <w:t xml:space="preserve"> </w:t>
      </w:r>
      <w:r w:rsidR="00F21C2F">
        <w:t>Jedna z nejnovějších studií</w:t>
      </w:r>
      <w:r w:rsidR="00AC76F7">
        <w:t xml:space="preserve"> v tomto odvětví </w:t>
      </w:r>
      <w:r w:rsidR="00F21C2F">
        <w:t>od Sartora a kol. představuje systém automatické extrakce</w:t>
      </w:r>
      <w:r w:rsidR="00AC76F7">
        <w:t xml:space="preserve"> citací z rozhodnutí SDEU</w:t>
      </w:r>
      <w:r w:rsidR="00F21C2F">
        <w:t xml:space="preserve"> a hierarchickou vizualizaci citací včetně kontextu, ve kterém jsou citace uvedeny, což podle autorů výrazně usnadňuje práci s judikaturou tohoto soudu.</w:t>
      </w:r>
      <w:r w:rsidR="00F21C2F">
        <w:rPr>
          <w:rStyle w:val="Znakapoznpodarou"/>
        </w:rPr>
        <w:footnoteReference w:id="88"/>
      </w:r>
    </w:p>
    <w:p w14:paraId="2724C735" w14:textId="528B4B83" w:rsidR="00700D57" w:rsidRDefault="00700D57" w:rsidP="00700D57">
      <w:pPr>
        <w:pStyle w:val="Dalodstavce"/>
      </w:pPr>
      <w:r>
        <w:t>Jak bylo ukázáno výše, aplikace síťové analýzy v různých právních odvětvích a</w:t>
      </w:r>
      <w:r w:rsidR="00D1465B">
        <w:t xml:space="preserve"> na</w:t>
      </w:r>
      <w:r>
        <w:t xml:space="preserve"> různé právní entity či dokumenty má široký potenciál a lze předpokládat rostoucí nárůst jejího využívání. Ačkoliv lze pomocí kvantitativních proměnných odpovědět i na abstraktně teoretické právní otázky, nelze považovat síťovou analýzu za všespásnou a je nutné uvažovat i o jejích limitech. Whalen ve svém review týkajícím se využití metod síťové analýzy uvádí, že je nutné v dalším vývoji technik síťové analýzy její limity brát v úvahu a případně je překonávat.</w:t>
      </w:r>
      <w:r w:rsidR="00B91D88">
        <w:rPr>
          <w:rStyle w:val="Znakapoznpodarou"/>
        </w:rPr>
        <w:footnoteReference w:id="89"/>
      </w:r>
      <w:r>
        <w:t xml:space="preserve"> Sám v tomto ohledu navrhuje zejména využití přesnějších a detailnějších dat a sofistikovanějších technik. Budoucnost vývoje síťové analýzy v právu leží podle něj zejména v multidimenzionálním uvažování o uzlech a zejména o hranách mezi nimi, tedy spíše v orientovaných sítích s rozlišením váhy jednotlivých hran.</w:t>
      </w:r>
      <w:r w:rsidR="00B91D88">
        <w:rPr>
          <w:rStyle w:val="Znakapoznpodarou"/>
        </w:rPr>
        <w:footnoteReference w:id="90"/>
      </w:r>
      <w:r>
        <w:t xml:space="preserve"> Dále </w:t>
      </w:r>
      <w:r w:rsidR="00D1465B">
        <w:t>vznáší argumenty</w:t>
      </w:r>
      <w:r>
        <w:t xml:space="preserve"> </w:t>
      </w:r>
      <w:r w:rsidR="00D1465B">
        <w:t>pro</w:t>
      </w:r>
      <w:r>
        <w:t xml:space="preserve"> širší využívání časového vývoje sítě a jejího chování v dlouhodobějších horizontech.</w:t>
      </w:r>
      <w:r w:rsidR="00B91D88">
        <w:rPr>
          <w:rStyle w:val="Znakapoznpodarou"/>
        </w:rPr>
        <w:footnoteReference w:id="91"/>
      </w:r>
      <w:r>
        <w:t xml:space="preserve"> </w:t>
      </w:r>
      <w:r w:rsidR="005918B0">
        <w:t>K tomu bych ráda dodala, že</w:t>
      </w:r>
      <w:r>
        <w:t xml:space="preserve"> je také potřebné nezatracovat spolu se sítěmi ve velkých měřítcích kvalitativní analýzu, spíše naopak – kombinaci těchto dvou metod považuje za další důležitý krok k empirickému popisu a pochopení právních systémů.</w:t>
      </w:r>
    </w:p>
    <w:p w14:paraId="7F5535D0" w14:textId="04BAE09A" w:rsidR="00DC706F" w:rsidRDefault="00DC706F">
      <w:pPr>
        <w:pStyle w:val="Nadpis3"/>
        <w:numPr>
          <w:ilvl w:val="2"/>
          <w:numId w:val="14"/>
        </w:numPr>
      </w:pPr>
      <w:r>
        <w:lastRenderedPageBreak/>
        <w:t>Textová síťová analýza v</w:t>
      </w:r>
      <w:r w:rsidR="00E220F2">
        <w:t> </w:t>
      </w:r>
      <w:r>
        <w:t>právu</w:t>
      </w:r>
    </w:p>
    <w:p w14:paraId="4BD28933" w14:textId="3AE2A8F0" w:rsidR="00E220F2" w:rsidRDefault="00E220F2" w:rsidP="00E220F2">
      <w:pPr>
        <w:pStyle w:val="Odstavec1"/>
      </w:pPr>
      <w:r>
        <w:t xml:space="preserve">Pod pojmem </w:t>
      </w:r>
      <w:r>
        <w:rPr>
          <w:i/>
          <w:iCs/>
        </w:rPr>
        <w:t>textová síťová analýza v právu</w:t>
      </w:r>
      <w:r>
        <w:t xml:space="preserve"> se v rámci této práce rozumí veškeré metody zpracování přirozeného jazyka a tzv. dolování textu (z anglického „</w:t>
      </w:r>
      <w:r>
        <w:rPr>
          <w:i/>
          <w:iCs/>
        </w:rPr>
        <w:t>text mining</w:t>
      </w:r>
      <w:r>
        <w:t>“), které jsou na právní prameny či obecněji dokumenty aplikovány v kombinaci se síťovou analýzou. Právní prameny či dokumenty tedy tvoří hlavní datové body a soubory (uzly v síti), které jsou zpracovávány metodami zpracování přirozeného jazyka; síťová analýza je pak aplikována za účelem zkoumat a popsat jejich vzájemné vztahy. Právě tyto vztahy a jejich vznik a charakteristika j</w:t>
      </w:r>
      <w:r w:rsidR="008262EF">
        <w:t>sou</w:t>
      </w:r>
      <w:r>
        <w:t xml:space="preserve"> to, co odlišuje textovou síťovou analýzu od analýzy citační (ačkoliv se tyto metody samozřejmě v mnoha ohledech prolínají) a současně určuje charakteristiku sítě. V textové síťové analýze jsou tyto vztahy konstruovány pomocí metod přirozeného zpracování jazyka, jedná se tedy o kvantitativní vlastnosti jednotlivých textových dokumentů či pramenů vyjadřující jejich vzájemnou </w:t>
      </w:r>
      <w:r>
        <w:rPr>
          <w:i/>
          <w:iCs/>
        </w:rPr>
        <w:t>podobnost</w:t>
      </w:r>
      <w:r>
        <w:t xml:space="preserve"> či </w:t>
      </w:r>
      <w:r>
        <w:rPr>
          <w:i/>
          <w:iCs/>
        </w:rPr>
        <w:t>blízkost</w:t>
      </w:r>
      <w:r>
        <w:t xml:space="preserve">. Nejčastěji se bude jednat o vzájemnou podobnost dokumentů, která může být založena na sémantickém či syntaktickém rozboru textu, dále příslušnost k tematickým celkům </w:t>
      </w:r>
      <w:r w:rsidR="00215F84">
        <w:t>či</w:t>
      </w:r>
      <w:r>
        <w:t xml:space="preserve"> shlukům a nebo např. vztah jednotlivých dokumentů k obecným právním konceptům apod. Pokud jsou tedy jednotlivé právní prameny (např. soudní rozhodnutí) uzly v síti, hranami mezi nimi pak nejsou vzájemné citace, ale např. vzájemná sémantická podobnost textů těchto rozhodnutí vážená metrikou podobnosti (tedy velmi konkrétně – sémanticky podobná rozhodnutí budou v síti propojena „</w:t>
      </w:r>
      <w:r w:rsidRPr="00293590">
        <w:rPr>
          <w:i/>
          <w:iCs/>
        </w:rPr>
        <w:t>silnější</w:t>
      </w:r>
      <w:r>
        <w:t xml:space="preserve">“ hranou než rozhodnutí sémanticky velmi málo podobná). V aplikaci textové síťové analýzy pak tvorba sítě nemusí být vždy úplně přímočará, jelikož síť sama o sobě není primárním výsledkem aplikace metod přirozeného zpracování jazyka a dolování textu, tím je spíše obohacení původních datových souborů novými daty, metadaty či informacemi, nicméně právě proto je </w:t>
      </w:r>
      <w:r w:rsidR="00215F84">
        <w:t>podle mě</w:t>
      </w:r>
      <w:r>
        <w:t xml:space="preserve"> síťový přístup výhodný – protože umožnuje tato nová data dále obohatit v dalších kontextuálních úrovních v rámci sítě.</w:t>
      </w:r>
    </w:p>
    <w:p w14:paraId="5CA580D4" w14:textId="1635A093" w:rsidR="00E220F2" w:rsidRDefault="00E220F2" w:rsidP="00E220F2">
      <w:pPr>
        <w:pStyle w:val="Dalodstavce"/>
      </w:pPr>
      <w:r>
        <w:t>Vzhledem k</w:t>
      </w:r>
      <w:r w:rsidR="00C3604B">
        <w:t> </w:t>
      </w:r>
      <w:r>
        <w:t>uvedenému</w:t>
      </w:r>
      <w:r w:rsidR="00C3604B">
        <w:t>,</w:t>
      </w:r>
      <w:r>
        <w:t xml:space="preserve"> spíše volnějšímu konceptu vztahu mezi dokumenty se pak aplikace síťové analýzy častěji </w:t>
      </w:r>
      <w:r w:rsidR="00C3604B">
        <w:t>(</w:t>
      </w:r>
      <w:r>
        <w:t>než při analýze citací</w:t>
      </w:r>
      <w:r w:rsidR="00C3604B">
        <w:t>)</w:t>
      </w:r>
      <w:r>
        <w:t xml:space="preserve"> metodologicky prolíná s obecnější teorií grafů, shlukovou analýzou a dále i vizuální textovou analýzou. Všechny tyto metody jsou však založené na společném konceptu vztahu mezi datovými body a jeho zkoumáním. Hlavním rozdílem </w:t>
      </w:r>
      <w:r w:rsidR="00C3604B">
        <w:t xml:space="preserve">je </w:t>
      </w:r>
      <w:r>
        <w:t xml:space="preserve">ovšem to, že uzly nebo datové body nejsou často přímo vzájemně propojeny hranami, ale rozhoduje spíše jejich vzájemná blízkost či pozice na dokumentové mapě. Vzhledem k tomu, že relativní pozice uzlu a vztah k ostatním uzlům je klíčový pro tento typ </w:t>
      </w:r>
      <w:r>
        <w:lastRenderedPageBreak/>
        <w:t>analýzy, v principu jsou tyto metody síťové analýze příbuzné a často pak také používají podobných metrik, které je popisují, proto jsou v této práci také zahrnuty.</w:t>
      </w:r>
    </w:p>
    <w:p w14:paraId="544C20CD" w14:textId="4F01FA84" w:rsidR="00E220F2" w:rsidRDefault="00E220F2" w:rsidP="00E220F2">
      <w:pPr>
        <w:pStyle w:val="Dalodstavce"/>
      </w:pPr>
      <w:r>
        <w:t xml:space="preserve">Metody uvedené v následující části jsou zaměřené dvěma hlavními směry, nelze </w:t>
      </w:r>
      <w:r w:rsidR="00C3604B">
        <w:t>je</w:t>
      </w:r>
      <w:r>
        <w:t xml:space="preserve"> však </w:t>
      </w:r>
      <w:r w:rsidR="00C3604B">
        <w:t>pojímat</w:t>
      </w:r>
      <w:r>
        <w:t xml:space="preserve"> odděleně, oba se vzájemně prolínají. Prvním bude </w:t>
      </w:r>
      <w:r>
        <w:rPr>
          <w:i/>
          <w:iCs/>
        </w:rPr>
        <w:t xml:space="preserve">síťová analýza v kombinaci se sémantickou analýzou podobnosti </w:t>
      </w:r>
      <w:r>
        <w:t xml:space="preserve">právních pramenů, základním vztahem zde bude vzájemná sémantická podobnost dvou právních pramenů či dokumentů. Druhým směrem </w:t>
      </w:r>
      <w:r w:rsidR="00C3604B">
        <w:t>pak bude</w:t>
      </w:r>
      <w:r>
        <w:t xml:space="preserve"> </w:t>
      </w:r>
      <w:r>
        <w:rPr>
          <w:i/>
          <w:iCs/>
        </w:rPr>
        <w:t>shluková analýza</w:t>
      </w:r>
      <w:r>
        <w:t xml:space="preserve"> právních pramenů, základním zkoumaným vztahem zde bude vzájemná </w:t>
      </w:r>
      <w:r>
        <w:rPr>
          <w:i/>
          <w:iCs/>
        </w:rPr>
        <w:t xml:space="preserve">tematická blízkost </w:t>
      </w:r>
      <w:r>
        <w:t>právních dokumentů.</w:t>
      </w:r>
    </w:p>
    <w:p w14:paraId="079345DF" w14:textId="635C18E0" w:rsidR="00E220F2" w:rsidRDefault="00E220F2" w:rsidP="00E220F2">
      <w:pPr>
        <w:pStyle w:val="Dalodstavce"/>
      </w:pPr>
      <w:r>
        <w:t xml:space="preserve">Sémantická síťová analýza je zavedenou kvantitativní lingvistickou metodou, nejčastěji sloužící k analýze konceptů a jejich sémantické blízkosti. V rámci vyhledávání a získávání právních informací s ohledem na práci s právními prameny je však nutné obvykle zpracovávat celé právní dokumenty (soudní rozhodnutí, právní předpisy). V sémantické síťové analýze pak tyto dokumenty tvoří uzly v síti a jejich vzájemná podobnost hrany. V takové situaci </w:t>
      </w:r>
      <w:r w:rsidR="00C3604B">
        <w:t>je nutné zvažovat</w:t>
      </w:r>
      <w:r>
        <w:t xml:space="preserve"> nejprve hodnocení existence vztahu – tzn. zda vztah (hrana) vůbec existuje a poté případně jeho váhu, tedy jak „</w:t>
      </w:r>
      <w:r w:rsidRPr="006D2022">
        <w:rPr>
          <w:i/>
          <w:iCs/>
        </w:rPr>
        <w:t>silný</w:t>
      </w:r>
      <w:r>
        <w:t xml:space="preserve">“ vztah je. Síť však bude vždy neorientovaná, protože </w:t>
      </w:r>
      <w:r>
        <w:rPr>
          <w:i/>
          <w:iCs/>
        </w:rPr>
        <w:t>podobnost</w:t>
      </w:r>
      <w:r>
        <w:t xml:space="preserve"> dvou dokumentů je vždy vzájemná. Kombinace sémantické podobnosti a síťové analýzy bohužel není v právu příliš častá. Jedním z pokusů aplikovat sémantickou analýzu v kombinaci s analýzou síťovou na soudní rozhodnutí je studie Wagha a kol., ve které však vyplynula relevance sémanticky podobných soudních rozhodnutí menší než relevance rozhodnutí, které se navzájem citují. </w:t>
      </w:r>
      <w:r w:rsidR="00C3604B">
        <w:t>C</w:t>
      </w:r>
      <w:r>
        <w:t xml:space="preserve">itační analýza </w:t>
      </w:r>
      <w:r w:rsidR="00C3604B">
        <w:t xml:space="preserve">tedy </w:t>
      </w:r>
      <w:r>
        <w:t>byla v komparaci přesnější.</w:t>
      </w:r>
      <w:r w:rsidR="00F7326B">
        <w:rPr>
          <w:rStyle w:val="Znakapoznpodarou"/>
        </w:rPr>
        <w:footnoteReference w:id="92"/>
      </w:r>
      <w:r w:rsidR="00F7326B">
        <w:t xml:space="preserve"> </w:t>
      </w:r>
    </w:p>
    <w:p w14:paraId="37EC36FB" w14:textId="20100AEC" w:rsidR="00E220F2" w:rsidRDefault="00E220F2" w:rsidP="00E220F2">
      <w:pPr>
        <w:pStyle w:val="Dalodstavce"/>
      </w:pPr>
      <w:r>
        <w:t>Druhým významným směrem je shluková analýza (často v kombinaci s dalšími metodami</w:t>
      </w:r>
      <w:r w:rsidR="00C3604B">
        <w:t>,</w:t>
      </w:r>
      <w:r>
        <w:t xml:space="preserve"> jako </w:t>
      </w:r>
      <w:r w:rsidR="00C3604B">
        <w:t xml:space="preserve">je </w:t>
      </w:r>
      <w:r>
        <w:t>např. modelování témat z právních dokumentů). Vzhledem k </w:t>
      </w:r>
      <w:r w:rsidR="00C3604B">
        <w:t>faktu</w:t>
      </w:r>
      <w:r>
        <w:t xml:space="preserve">, že shluková analýza zejména v kombinaci s modelováním témat má poměrně dlouho historii užití napříč vědními obory, i aplikací v právním odvětví můžeme nalézt více než u sémantické síťové analýzy. Některé přístupy dále zahrnují i vizualizaci vztahů mezi právními dokumenty. Shluková analýza typicky zkoumá </w:t>
      </w:r>
      <w:r>
        <w:rPr>
          <w:i/>
          <w:iCs/>
        </w:rPr>
        <w:t xml:space="preserve">blízkost </w:t>
      </w:r>
      <w:r>
        <w:t>jednotlivých dokumentů vůči sobě a tvorbu tzv. shluků dokumentů, které jsou si vzájemně bližší mezi sebou než s ostatními dokumenty v síti.</w:t>
      </w:r>
    </w:p>
    <w:p w14:paraId="7C061325" w14:textId="54930340" w:rsidR="00E220F2" w:rsidRDefault="00E220F2" w:rsidP="00E220F2">
      <w:pPr>
        <w:pStyle w:val="Dalodstavce"/>
      </w:pPr>
      <w:r>
        <w:lastRenderedPageBreak/>
        <w:t>Mezi aplikace shlukové analýzy v právu patří práce Me</w:t>
      </w:r>
      <w:r w:rsidR="00F7326B">
        <w:t>r</w:t>
      </w:r>
      <w:r>
        <w:t>kla a Schweighofera zabývající se shlukovou analýzou mezinárodních smluv.</w:t>
      </w:r>
      <w:r w:rsidR="00F7326B">
        <w:rPr>
          <w:rStyle w:val="Znakapoznpodarou"/>
        </w:rPr>
        <w:footnoteReference w:id="93"/>
      </w:r>
      <w:r>
        <w:t xml:space="preserve"> Lu a kol. aplikovali shlukovou analýzu dokonce na dílčí témata segmentů soudních rozhodnutí.</w:t>
      </w:r>
      <w:r w:rsidR="00F7326B">
        <w:rPr>
          <w:rStyle w:val="Znakapoznpodarou"/>
        </w:rPr>
        <w:footnoteReference w:id="94"/>
      </w:r>
      <w:r>
        <w:t xml:space="preserve"> Gorski úspěšně aplikoval shlukovou analýzu na novelizace polského občanského zákoníku, které dokázal takto rozřadit do tematických shluků dle právních institutů.</w:t>
      </w:r>
      <w:r w:rsidR="00F7326B">
        <w:rPr>
          <w:rStyle w:val="Znakapoznpodarou"/>
        </w:rPr>
        <w:footnoteReference w:id="95"/>
      </w:r>
      <w:r>
        <w:t xml:space="preserve"> Do kategorie shlukové analýzy dokumentů v kombinaci s vizualizací a dokumentovými mapami v právu lze zahrnout práci Jungiewicze a Lopucinzskeho, kteří komparují dvě zobrazovací metody (t-SNE a PCA) v aplikaci na soudní rozhodnuti polských soudů.</w:t>
      </w:r>
      <w:r w:rsidR="00344837">
        <w:rPr>
          <w:rStyle w:val="Znakapoznpodarou"/>
        </w:rPr>
        <w:footnoteReference w:id="96"/>
      </w:r>
      <w:r>
        <w:t xml:space="preserve"> Další aplikací shlukové analýzy je ta od autorské dvojice </w:t>
      </w:r>
      <w:r w:rsidR="00344837">
        <w:t>Venkatesh</w:t>
      </w:r>
      <w:r>
        <w:t xml:space="preserve"> a Raghuveer, kteří k výpočtu podobnosti mezi soudními rozhodnutími využili algoritmu modelování témat a dále pak zjišťovali podobnost mezi rozhodnutími na základě přiřazených témat.</w:t>
      </w:r>
      <w:r w:rsidR="00F7326B">
        <w:rPr>
          <w:rStyle w:val="Znakapoznpodarou"/>
        </w:rPr>
        <w:footnoteReference w:id="97"/>
      </w:r>
      <w:r>
        <w:t xml:space="preserve"> Toto autorské duo navázalo na tuto svoji práci obohacením shlukové analýzy o sumarizaci textů soudních rozhodnutí.</w:t>
      </w:r>
      <w:r w:rsidR="00F7326B">
        <w:rPr>
          <w:rStyle w:val="Znakapoznpodarou"/>
        </w:rPr>
        <w:footnoteReference w:id="98"/>
      </w:r>
      <w:r>
        <w:t xml:space="preserve"> Tian a kol. využili shlukovou analýzu v kombinaci se sémantickou analýzou k detekci </w:t>
      </w:r>
      <w:r>
        <w:lastRenderedPageBreak/>
        <w:t>kontroverzních bodů v soudních rozhodnutích.</w:t>
      </w:r>
      <w:r w:rsidR="00F7326B">
        <w:rPr>
          <w:rStyle w:val="Znakapoznpodarou"/>
        </w:rPr>
        <w:footnoteReference w:id="99"/>
      </w:r>
      <w:r>
        <w:t xml:space="preserve"> Autorský tým vedený Nandou využil metod shlukové sémantické analýzy textu ustanovení právního předpisu v rámci vyřešení problému nalezení aplikovatelného ustanovení občanského zákoníku vůči konkrétní právní otázce.</w:t>
      </w:r>
      <w:r w:rsidR="00F7326B">
        <w:rPr>
          <w:rStyle w:val="Znakapoznpodarou"/>
        </w:rPr>
        <w:footnoteReference w:id="100"/>
      </w:r>
      <w:r>
        <w:t xml:space="preserve"> Conrad et al. provedli komparační studii několika shlukových algoritmů</w:t>
      </w:r>
      <w:r w:rsidR="00344837">
        <w:t>,</w:t>
      </w:r>
      <w:r>
        <w:t xml:space="preserve"> a to jak na primární právní prameny tak i na sekundární.</w:t>
      </w:r>
      <w:r w:rsidR="00F7326B">
        <w:rPr>
          <w:rStyle w:val="Znakapoznpodarou"/>
        </w:rPr>
        <w:footnoteReference w:id="101"/>
      </w:r>
      <w:r>
        <w:t xml:space="preserve"> K identifikaci argumentů v soudních rozhodnutích Evropského soudu pro lidská práva využil autorský kolektiv vedený Poudyalem shlukovou analýzu sémantické reprezentace rozhodnutí.</w:t>
      </w:r>
      <w:r w:rsidR="00F7326B">
        <w:rPr>
          <w:rStyle w:val="Znakapoznpodarou"/>
        </w:rPr>
        <w:footnoteReference w:id="102"/>
      </w:r>
      <w:r w:rsidR="00F7326B">
        <w:t xml:space="preserve"> </w:t>
      </w:r>
    </w:p>
    <w:p w14:paraId="5B06FBF6" w14:textId="35F5B3DC" w:rsidR="00E220F2" w:rsidRDefault="00E220F2" w:rsidP="00E220F2">
      <w:pPr>
        <w:pStyle w:val="Dalodstavce"/>
      </w:pPr>
      <w:r>
        <w:t>Dle přehledu v této podkapitole je patrné, že ačkoliv využití sémantické síťové a shlukové textové analýzy není tak rozšířené jako využití analýzy citační, přesto můžeme v tomto ohledu sledovat postupný vývoj metod a jejich aplikace a zvyšující se zájem o tyto metody i v analýze právních pramenů. V</w:t>
      </w:r>
      <w:r w:rsidR="00344837">
        <w:t xml:space="preserve"> rámci </w:t>
      </w:r>
      <w:r>
        <w:t>textové síťové a shlukové analýz</w:t>
      </w:r>
      <w:r w:rsidR="00344837">
        <w:t>y</w:t>
      </w:r>
      <w:r>
        <w:t xml:space="preserve"> lze pozorovat, podobně jako u citační analýzy, v některých studiích důraz na vyhledávání a získávání právních informací a tedy praktickou stránku možného využití metod. Výhody a limity využití všech uvedených metod budou dále nastíněny v následující kapitole.</w:t>
      </w:r>
    </w:p>
    <w:p w14:paraId="449004BB" w14:textId="4844CC88" w:rsidR="0041158B" w:rsidRDefault="0041158B">
      <w:pPr>
        <w:pStyle w:val="Nadpis2"/>
        <w:numPr>
          <w:ilvl w:val="1"/>
          <w:numId w:val="14"/>
        </w:numPr>
      </w:pPr>
      <w:bookmarkStart w:id="26" w:name="_Toc126909343"/>
      <w:r>
        <w:lastRenderedPageBreak/>
        <w:t>Jak mohou síťové metody pomoci při zpracování a vyhledávání právních informací?</w:t>
      </w:r>
      <w:bookmarkEnd w:id="26"/>
    </w:p>
    <w:p w14:paraId="4A0D61E2" w14:textId="1C230598" w:rsidR="0041158B" w:rsidRDefault="0041158B" w:rsidP="0041158B">
      <w:pPr>
        <w:pStyle w:val="Odstavec1"/>
      </w:pPr>
      <w:r>
        <w:t xml:space="preserve">V předchozích </w:t>
      </w:r>
      <w:r w:rsidR="00EA0B91">
        <w:t>dvou podkapitolách</w:t>
      </w:r>
      <w:r>
        <w:t xml:space="preserve"> byl</w:t>
      </w:r>
      <w:r w:rsidR="00617A4D">
        <w:t>y</w:t>
      </w:r>
      <w:r>
        <w:t xml:space="preserve"> nastíněn</w:t>
      </w:r>
      <w:r w:rsidR="00617A4D">
        <w:t>y</w:t>
      </w:r>
      <w:r>
        <w:t xml:space="preserve"> vývoj a spektrum použití metod síťové analýzy a metod jí příbuzných v právu. </w:t>
      </w:r>
      <w:r w:rsidR="005D1F90">
        <w:t>Smyslem</w:t>
      </w:r>
      <w:r>
        <w:t xml:space="preserve"> přehledu bylo zejména ukázat jejich univerzálnost a také cíl a účel poznávání zkoumaných informací či objektů pomocí těchto metod. V této </w:t>
      </w:r>
      <w:r w:rsidR="00992E93">
        <w:t>pod</w:t>
      </w:r>
      <w:r>
        <w:t>kapitole bych chtěla navrhnout některé způsoby použití síťové analýzy v právu pro vyhledávání a zpracovávání právních informací.</w:t>
      </w:r>
    </w:p>
    <w:p w14:paraId="6E7612A3" w14:textId="37ECE19B" w:rsidR="0041158B" w:rsidRDefault="0041158B" w:rsidP="0041158B">
      <w:pPr>
        <w:pStyle w:val="Dalodstavce"/>
      </w:pPr>
      <w:r>
        <w:t>Jak již bylo výše uvedeno, základem síťové analýzy j</w:t>
      </w:r>
      <w:r w:rsidR="005D1F90">
        <w:t>sou</w:t>
      </w:r>
      <w:r>
        <w:t xml:space="preserve"> vztah</w:t>
      </w:r>
      <w:r w:rsidR="005D1F90">
        <w:t>y</w:t>
      </w:r>
      <w:r>
        <w:t xml:space="preserve"> mezi entitami. Existence či váha t</w:t>
      </w:r>
      <w:r w:rsidR="005D1F90">
        <w:t>akových</w:t>
      </w:r>
      <w:r>
        <w:t xml:space="preserve"> vztah</w:t>
      </w:r>
      <w:r w:rsidR="005D1F90">
        <w:t>ů</w:t>
      </w:r>
      <w:r>
        <w:t xml:space="preserve"> by tedy měla být klíčová i v případě využití síťové analýzy pro vyhledávání právních informací. S důrazem na tento vztah by tedy pak měly být navrhovány i způsoby využití síťové analýzy pro vyhledávání právních informací.</w:t>
      </w:r>
    </w:p>
    <w:p w14:paraId="42B5E01D" w14:textId="377DB4B0" w:rsidR="0041158B" w:rsidRDefault="0041158B" w:rsidP="0041158B">
      <w:pPr>
        <w:pStyle w:val="Dalodstavce"/>
      </w:pPr>
      <w:r>
        <w:t>Citační analýza</w:t>
      </w:r>
      <w:r w:rsidR="005D1F90">
        <w:t>,</w:t>
      </w:r>
      <w:r>
        <w:t xml:space="preserve"> a to zejména judikatury</w:t>
      </w:r>
      <w:r w:rsidR="005D1F90">
        <w:t>,</w:t>
      </w:r>
      <w:r>
        <w:t xml:space="preserve"> se přímo nabízí k návrhovému systému rozhodnutí, které se vzájemně citují a to oběma směry.</w:t>
      </w:r>
      <w:r>
        <w:rPr>
          <w:rStyle w:val="Znakapoznpodarou"/>
        </w:rPr>
        <w:footnoteReference w:id="103"/>
      </w:r>
      <w:r>
        <w:t xml:space="preserve"> Jak však již někteří citovaní autoři zaznamenali, rozhodnutí může být citováno z různých důvodů (často je v jednom rozhodnutí řešeno více právních otázek) a ne vždy uživatele zajímají všechny důvody a právní otázky v jednom rozhodnutí obsažené. V takovém případě se pak nabízí řešení kombinace citační analýzy s některou další metodou přirozeného zpracování jazyka, a to zejména s automatickou segmentací soudních rozhodnutí nebo s metodou rozpoznání </w:t>
      </w:r>
      <w:r w:rsidR="00992E93">
        <w:t>témat či sémantické analýzy</w:t>
      </w:r>
      <w:r>
        <w:t xml:space="preserve"> a klasifikace citací dle témat. Automatická segmentace rozhodnutí by v tomto případě napomohla zejména odlišení např. citací v souhrnu předchozího řízení a citací v argumentační části. Dále na základě předpokladu, že se soudci v soudních rozhodnutí vypořádávají s právními otázkami obvykle postupně</w:t>
      </w:r>
      <w:r w:rsidR="005D1F90">
        <w:t>,</w:t>
      </w:r>
      <w:r>
        <w:t xml:space="preserve"> by pak přesná tematická segmentace rozhodnutí dokázala i rozpoznat s určitou pravděpodobností, proč je dané rozhodnutí citováno dle tematického segmentu, ve kterém se citace nachází, a takto by bylo možné klasifikovat citace do tematických okruhů, minimálním standardním rozdělením by v takovém případě mohlo být oddělení citací procesně a hmotněprávních. Tematická klasifikace byla </w:t>
      </w:r>
      <w:r w:rsidR="0013192E">
        <w:t>představena</w:t>
      </w:r>
      <w:r>
        <w:t xml:space="preserve"> v</w:t>
      </w:r>
      <w:r w:rsidR="0013192E">
        <w:t xml:space="preserve"> podkapitole 3.6.2 </w:t>
      </w:r>
      <w:r>
        <w:t xml:space="preserve">v souvislosti s analýzou shlukovou, tematická klasifikace bývá nejčastěji spojována s metodami modelování témat a tyto poté bývají často kombinovány právě se shlukovou analýzou. Při </w:t>
      </w:r>
      <w:r>
        <w:lastRenderedPageBreak/>
        <w:t>dostatečně přesném odlišení tematických celků v rámci rozhodnutí si pak lze představit návrhový systém související judikatury založený na vzájemné citaci a vzájemné příslušnosti ke stejnému tematickému celku.</w:t>
      </w:r>
    </w:p>
    <w:p w14:paraId="56639DC3" w14:textId="2D65DC99" w:rsidR="0041158B" w:rsidRDefault="0041158B" w:rsidP="0041158B">
      <w:pPr>
        <w:pStyle w:val="Dalodstavce"/>
      </w:pPr>
      <w:r>
        <w:t xml:space="preserve">Problematické </w:t>
      </w:r>
      <w:r w:rsidR="0013192E">
        <w:t xml:space="preserve">je </w:t>
      </w:r>
      <w:r>
        <w:t>v tomto ohledu to, že metody modelování témat obecně nevykazují příliš přesné výsledky – ne dostatečně přesné pro klasifikaci právních témat či otázek v rámci jednoho rozhodnutí. Zatím byly tyto metody úspěšně využity pouze k obecnému zhodnocení právního tématu či ještě obecněji právní oblasti, které se týkají. To je určitě dobrý výchozí bod a automatická klasifikace soudních rozhodnutí dle oblastí má při vyhledávání právních informací svoji roli a svůj smysl. Nicméně pro větší detailnost a přesnost výsledků je spíše nutné jít až na úroveň jednotlivých částí rozhodnutí či odstavců a využít tak přesnějších metod. V takové situaci se nabízí některá z metod sémantické podobnosti dokumentů v kombinaci s automatickou segmentací dokumentu na dílčí části. Metody sémantické podobnosti obecně vykazují velmi přesné výsledky</w:t>
      </w:r>
      <w:r w:rsidR="0013192E">
        <w:t>,</w:t>
      </w:r>
      <w:r>
        <w:t xml:space="preserve"> a to zejména v případě velkých datových korpusů, jimiž datasety soudních rozhodnutí bývají. Tyto metody mají potenciál výrazně zpřesnit tvorbu vzájemných vztahů mezi rozhodnutími na základě jak citace tak modelování témat, ať už při užití na dílčí části</w:t>
      </w:r>
      <w:r w:rsidR="0013192E">
        <w:t>,</w:t>
      </w:r>
      <w:r>
        <w:t xml:space="preserve"> či celá rozhodnutí.</w:t>
      </w:r>
    </w:p>
    <w:p w14:paraId="46A82AE4" w14:textId="50EABAB5" w:rsidR="0041158B" w:rsidRDefault="0041158B" w:rsidP="0041158B">
      <w:pPr>
        <w:pStyle w:val="Dalodstavce"/>
      </w:pPr>
      <w:r>
        <w:t xml:space="preserve">Metody síťové a shlukové analýzy mají ještě jednou významnou výhodu oproti ostatním metodám, kterou je jejich grafický základ. Vizuální a grafický doprovod aplikace metod je logicky předpokládán už jen díky tomu, že tyto metody jsou založené na teorii grafů. Vizualizace (právních) dat je určitě metodou zpracování a vyhledávání informací </w:t>
      </w:r>
      <w:r w:rsidR="0013192E">
        <w:t xml:space="preserve">reprezentativní pro </w:t>
      </w:r>
      <w:r>
        <w:t xml:space="preserve">21. století. Je prokázáno, že zobrazovací metody jsou z hlediska kognitivní uchopitelnosti velkého množství informací pro člověka efektivnější. V tomto směru </w:t>
      </w:r>
      <w:r w:rsidR="0013192E">
        <w:t>spatřuji</w:t>
      </w:r>
      <w:r>
        <w:t xml:space="preserve"> nejsilnější stránku. Nejen</w:t>
      </w:r>
      <w:r w:rsidR="0013192E">
        <w:t>om</w:t>
      </w:r>
      <w:r>
        <w:t xml:space="preserve">, že je možné mezi právními prameny nalézt vztahy, které nemusí být patrné na první pohled, ale navíc </w:t>
      </w:r>
      <w:r w:rsidR="0013192E">
        <w:t xml:space="preserve">je </w:t>
      </w:r>
      <w:r>
        <w:t xml:space="preserve">na základě těchto vztahů možné právní prameny zobrazovat v síti a tím snížit kognitivní náročnost dílčích úkolů ve vyhledávání právních pramenů. </w:t>
      </w:r>
      <w:r w:rsidR="0013192E">
        <w:t>Takový</w:t>
      </w:r>
      <w:r>
        <w:t xml:space="preserve"> rekomendační systém založený na síťové analýze </w:t>
      </w:r>
      <w:r w:rsidRPr="00A6152E">
        <w:t>pouhých</w:t>
      </w:r>
      <w:r>
        <w:t xml:space="preserve"> citací navrhnuli již autoři jedné zmiňované studie.</w:t>
      </w:r>
      <w:r>
        <w:rPr>
          <w:rStyle w:val="Znakapoznpodarou"/>
        </w:rPr>
        <w:footnoteReference w:id="104"/>
      </w:r>
      <w:r>
        <w:t xml:space="preserve"> Představení výsledků vyhledávání právních informací formou sítě či grafu výrazně zjednodušuje jejich uchopení</w:t>
      </w:r>
      <w:r w:rsidR="008127DE">
        <w:t>,</w:t>
      </w:r>
      <w:r>
        <w:t xml:space="preserve"> a to zejména ve vzájemném kontextu. Jak bylo uvedeno v úvodu této práce, přehled aplikace metod síťové analýzy zde byl </w:t>
      </w:r>
      <w:r w:rsidR="008127DE">
        <w:t>představen</w:t>
      </w:r>
      <w:r>
        <w:t xml:space="preserve"> zejména proto, aby byla </w:t>
      </w:r>
      <w:r>
        <w:lastRenderedPageBreak/>
        <w:t>diskutována vhodnost těchto metod pro vyhledávání a získávání právních informací. Za tímto účelem byly definovány dvě podmínky, které by metody měly splňovat proto, aby byly využitelné k tomuto cíli - 1) správnost a 2) přístupnost a kognitivní poznatelnost.</w:t>
      </w:r>
    </w:p>
    <w:p w14:paraId="243E8BD9" w14:textId="6A56D331" w:rsidR="0041158B" w:rsidRDefault="0041158B" w:rsidP="0041158B">
      <w:pPr>
        <w:pStyle w:val="Dalodstavce"/>
      </w:pPr>
      <w:r>
        <w:t>Správnost obsažených právních informací pak souvisí zejména s kanálem, kterým jsou informace získávány</w:t>
      </w:r>
      <w:r w:rsidR="008127DE">
        <w:t>,</w:t>
      </w:r>
      <w:r>
        <w:t xml:space="preserve"> a jakým způsobem</w:t>
      </w:r>
      <w:r w:rsidR="008127DE">
        <w:t xml:space="preserve"> k tomu dochází</w:t>
      </w:r>
      <w:r>
        <w:t>. V tomto ohledu se tyto metody neliší od ostatních a jsou plně závislé na poskytnutí právních informací státem, a to i na způsobu poskytnutí těchto informací a jejich formátu. Zajímavá je ovšem druhá podmínka a její splnění pomocí těchto metod. Autorka se domnívá, že jejich splnění spočívá výhradně v přesnosti těchto metod vůči uživatelskému dotazu a poté ve způsobu podání výsledků uživateli. Přesnost metod vyhledávání informací se měří pomocí objektivně určených proměnných a v rámci evaluačních experimentů uživatelů. Variace zmíněných metod se poté samozřejmě projevuje i v různě úspěšných výsledcích v rámci evaluačních experimentů, autorka však má za to, že kombinace či vrstvení metod za sebe, jak je navrhnuto výše, zaručí dosažení dostatečně přesných výsledků tak, aby byly pro uživatele hodnotné, jakkoliv je nyní tento závěr vágní. Způsob podání výsledků a jejich kognitivní poznatelnost uživatelem je dle autorky podpořen možnou vizualizací informací a jejich grafickým zpracováním, které je méně náročné a efektivnější pro chápání informací v kontextu.</w:t>
      </w:r>
    </w:p>
    <w:p w14:paraId="77CC3313" w14:textId="513F9A60" w:rsidR="0041158B" w:rsidRDefault="0041158B">
      <w:pPr>
        <w:pStyle w:val="Nadpis2"/>
        <w:numPr>
          <w:ilvl w:val="1"/>
          <w:numId w:val="14"/>
        </w:numPr>
      </w:pPr>
      <w:bookmarkStart w:id="27" w:name="_Toc126909344"/>
      <w:r>
        <w:t>Dílčí závěr</w:t>
      </w:r>
      <w:bookmarkEnd w:id="27"/>
    </w:p>
    <w:p w14:paraId="10122E6B" w14:textId="69352167" w:rsidR="0041158B" w:rsidRDefault="0041158B" w:rsidP="0041158B">
      <w:pPr>
        <w:pStyle w:val="Odstavec1"/>
      </w:pPr>
      <w:r>
        <w:t>Z uvedeného přehledu vyplývá, že dosud jsou síťová analýza a jí blízké metody, užívány především za účelem zjišťování nových informací o fungování práva či jeho jednotlivých institutů</w:t>
      </w:r>
      <w:r w:rsidR="00663EBC">
        <w:t>,</w:t>
      </w:r>
      <w:r>
        <w:t xml:space="preserve"> a to ve vzájemném kontextu. Za tímto účelem byla provedena velká většina souvisejících výzkumů. </w:t>
      </w:r>
      <w:r w:rsidR="00632345">
        <w:t>Já se nicméně domnívám</w:t>
      </w:r>
      <w:r>
        <w:t>, že tyto metody mají svůj smysl i na poli vyhledávání právních informací</w:t>
      </w:r>
      <w:r w:rsidR="00A81554">
        <w:t>, ačkoliv se nejedná o hlavní směr výzkumu v tomto odvětví. V následujících kapitolách budu popisovat, jakým způsobem jsem metody síťové analýzy (v širším smyslu) aplikovala v dílčích experimentech za účelem zefektivnění vyhledávání soudních rozhodnutí tří vrcholných českých soudů.</w:t>
      </w:r>
    </w:p>
    <w:p w14:paraId="3C10AF5B" w14:textId="57D209A1" w:rsidR="007C74CB" w:rsidRPr="007C74CB" w:rsidRDefault="007C74CB">
      <w:pPr>
        <w:pStyle w:val="Nadpis1"/>
        <w:numPr>
          <w:ilvl w:val="0"/>
          <w:numId w:val="14"/>
        </w:numPr>
      </w:pPr>
      <w:bookmarkStart w:id="28" w:name="_Toc126909345"/>
      <w:r>
        <w:lastRenderedPageBreak/>
        <w:t>Data, metody a evaluace</w:t>
      </w:r>
      <w:bookmarkEnd w:id="28"/>
    </w:p>
    <w:p w14:paraId="1267693B" w14:textId="3DDFF19B" w:rsidR="0041158B" w:rsidRDefault="00CF77D9" w:rsidP="0041158B">
      <w:pPr>
        <w:pStyle w:val="Odstavec1"/>
      </w:pPr>
      <w:r>
        <w:t xml:space="preserve">Základní motivací pro to, proč vůbec zkoumám užití metod zpracování přirozeného jazyka a síťové analýzy ve vztahu k právním informacím, je </w:t>
      </w:r>
      <w:r w:rsidR="000966A1">
        <w:t>skutečnost</w:t>
      </w:r>
      <w:r>
        <w:t>, že pro poznání práva v 21. století považuji tyto metody za nezbytné. Přístup k právu, a to jak z hlediska jeho adresáta, tak jeho tvůrce (zákonodárce</w:t>
      </w:r>
      <w:r w:rsidR="009679B2">
        <w:t>)</w:t>
      </w:r>
      <w:r>
        <w:t xml:space="preserve"> či </w:t>
      </w:r>
      <w:r w:rsidR="009679B2">
        <w:t xml:space="preserve">aplikujícího </w:t>
      </w:r>
      <w:r w:rsidR="00667A5B">
        <w:t xml:space="preserve">a interpretujícího </w:t>
      </w:r>
      <w:r w:rsidR="009679B2">
        <w:t>orgánu (</w:t>
      </w:r>
      <w:r>
        <w:t>soudce</w:t>
      </w:r>
      <w:r w:rsidR="009679B2">
        <w:t>)</w:t>
      </w:r>
      <w:r>
        <w:t>, je dnes z většiny závislý na informačních technologiích a zejména internetových databázích právních informací. Ačkoliv je situace v České republice ve srovnání s okolními zeměmi specifická v neschopnosti státu a veřejné moci plnit povinnost uveřejnění právních informací pro širokou veřejnost vhodným způsobem a tuto roli za něj plní komerční společnosti provozující právní informační systémy, v kontextu této práce není tento rozdíl důležitý (čímž nijak nesnižuji společenskou a právní závažnost této situace). Pro tuto práci je podstatné, že se v široké míře stejně jako v ostatních zemích užívají informační technologie při práci s právními prameny</w:t>
      </w:r>
      <w:r w:rsidR="000966A1">
        <w:t>,</w:t>
      </w:r>
      <w:r>
        <w:t xml:space="preserve"> a to na všech úrovních. Motivací je tedy obecně zkoumat, jak jsou tyto metody úspěšné jako pomocné nástroje při práci s právními prameny a případně jaké jsou jejich limity. Vybrané metody představené v této práci totiž bývají častěji užívány na zpracování textů obecných a tedy neprávních (jako jsou novinové články, tweety nebo články na Wikipedii apod.), které se od právního textu v mnohém liší. Nelze proto bez dalšího zobecnit výsledky těchto metod a předpokládat je i u textů právních.</w:t>
      </w:r>
      <w:r w:rsidR="007A4AB4">
        <w:t xml:space="preserve"> Proto za jeden z hlavních </w:t>
      </w:r>
      <w:r w:rsidR="00391848">
        <w:t>přínosů této práce považuji jejich aplikaci na právní text a zjištění jejich přesnosti evaluací doménovými experty.</w:t>
      </w:r>
    </w:p>
    <w:p w14:paraId="58EAF25E" w14:textId="55493388" w:rsidR="00CF77D9" w:rsidRDefault="00CF77D9" w:rsidP="00CF77D9">
      <w:pPr>
        <w:pStyle w:val="Dalodstavce"/>
      </w:pPr>
      <w:r>
        <w:t xml:space="preserve">Soudní rozhodnutí byla zvolena jako předmět zkoumání aplikace těchto metod. Důvodem je zejména </w:t>
      </w:r>
      <w:r w:rsidR="000966A1">
        <w:t>fakt</w:t>
      </w:r>
      <w:r>
        <w:t>, že velké soubory soudních rozhodnutí bývají nejčastějšími předměty zkoumání síťové analýzy.</w:t>
      </w:r>
      <w:r>
        <w:rPr>
          <w:rStyle w:val="Znakapoznpodarou"/>
        </w:rPr>
        <w:footnoteReference w:id="105"/>
      </w:r>
      <w:r>
        <w:t xml:space="preserve"> Současně je vyhledávání právních rozhodnutí či rešeršování judikatury běžným úkonem, který provádí právníci téměř všech profesí soukromé i veřejné sféry. </w:t>
      </w:r>
      <w:r w:rsidR="00FD4BEC">
        <w:t xml:space="preserve">A přesto se domnívám, že </w:t>
      </w:r>
      <w:r w:rsidR="000966A1">
        <w:t xml:space="preserve">současné </w:t>
      </w:r>
      <w:r w:rsidR="00FD4BEC">
        <w:t xml:space="preserve">nástroje a možnosti dostupné v České republice jsou </w:t>
      </w:r>
      <w:r w:rsidR="000966A1" w:rsidRPr="000966A1">
        <w:t xml:space="preserve">pro tento úkon </w:t>
      </w:r>
      <w:r w:rsidR="00FD4BEC">
        <w:t xml:space="preserve">nedostačující. Všechny vybrané metody by tedy měly určitým způsobem (každá trochu jinak) sloužit k účelu rešeršování judikatury a v této práci zjišťuji, jestli by právníci jejich výsledky považovali za relevantní a přesné. </w:t>
      </w:r>
    </w:p>
    <w:p w14:paraId="4860DCFC" w14:textId="41C0614E" w:rsidR="00CF77D9" w:rsidRDefault="00CF77D9" w:rsidP="00CF77D9">
      <w:pPr>
        <w:pStyle w:val="Dalodstavce"/>
      </w:pPr>
      <w:r>
        <w:lastRenderedPageBreak/>
        <w:t>Vezmu-li v úvahu tři nejvyšší soudy v České republice – Nejvyšší, Nejvyšší správní a Ústavní soud – dá se judikatura získat z webových stránek soudů</w:t>
      </w:r>
      <w:r>
        <w:rPr>
          <w:rStyle w:val="Znakapoznpodarou"/>
        </w:rPr>
        <w:footnoteReference w:id="106"/>
      </w:r>
      <w:r>
        <w:t>, vybraná judikatura vychází ve sbírkách soudů</w:t>
      </w:r>
      <w:r>
        <w:rPr>
          <w:rStyle w:val="Znakapoznpodarou"/>
        </w:rPr>
        <w:footnoteReference w:id="107"/>
      </w:r>
      <w:r>
        <w:t>, a v komerčních právních informačních systémech</w:t>
      </w:r>
      <w:r>
        <w:rPr>
          <w:rStyle w:val="Znakapoznpodarou"/>
        </w:rPr>
        <w:footnoteReference w:id="108"/>
      </w:r>
      <w:r>
        <w:t>. Webové stránky soudů obsahují sice přístup k téměř všem rozhodnutím těchto soudů od roku 1993</w:t>
      </w:r>
      <w:r w:rsidR="00837025">
        <w:t xml:space="preserve"> (u Nejvyššího správního soudu od roku 2003)</w:t>
      </w:r>
      <w:r>
        <w:t xml:space="preserve">, nicméně vyhledávací možnosti </w:t>
      </w:r>
      <w:r w:rsidR="00672F97">
        <w:t xml:space="preserve">zde </w:t>
      </w:r>
      <w:r>
        <w:t xml:space="preserve">jsou značně omezené. Za předpokladu, že uživatel nezná konkrétní spisovou značku či číslo jednací rozhodnutí, </w:t>
      </w:r>
      <w:r w:rsidR="00672F97">
        <w:t>vyhledávat může</w:t>
      </w:r>
      <w:r>
        <w:t xml:space="preserve"> v podstatě jen fulltextem</w:t>
      </w:r>
      <w:r w:rsidR="00672F97">
        <w:t xml:space="preserve"> </w:t>
      </w:r>
      <w:r>
        <w:t xml:space="preserve">a způsob řazení výsledků je často netransparentní. </w:t>
      </w:r>
      <w:r w:rsidR="00672F97">
        <w:t>Vyhledávač rozhodnutí Nejvyššího správního soudu nabízí ještě i vyhledávání v souvislosti s konkrétním ustanovením, Ústavní soud nabízí možnost určit napadené ustanovení</w:t>
      </w:r>
      <w:r w:rsidR="00837025">
        <w:t xml:space="preserve"> a Nejvyšší soud zase seznam souvisejících hesel (pravděpodobně něco jako témata, kterých se rozhodnutí dotýkají)</w:t>
      </w:r>
      <w:r w:rsidR="00672F97">
        <w:t xml:space="preserve">. </w:t>
      </w:r>
      <w:r>
        <w:t>Pro širší práci se soudními rozhodnutími či v případě pouze laické zkušenosti s rozhodnutími se jedná o způsob velmi neefektivní a časově náročný. Je nutné uvést, že k podobným závěrům došel i Veřejný ochránce práv ve své Zpráv</w:t>
      </w:r>
      <w:r w:rsidR="000966A1">
        <w:t>ě</w:t>
      </w:r>
      <w:r>
        <w:t xml:space="preserve"> o šetření z vlastní iniciativy ve věci naplňování evidence soudních rozhodnutí z roku 2018.</w:t>
      </w:r>
      <w:r>
        <w:rPr>
          <w:rStyle w:val="Znakapoznpodarou"/>
        </w:rPr>
        <w:footnoteReference w:id="109"/>
      </w:r>
      <w:r w:rsidR="00E519B5">
        <w:t xml:space="preserve"> </w:t>
      </w:r>
      <w:hyperlink w:anchor="X103389b9c33fa79a31f2931510ace2b56f64b4f"/>
      <w:r>
        <w:t xml:space="preserve">Současně </w:t>
      </w:r>
      <w:r w:rsidR="00837025">
        <w:t xml:space="preserve">dosud </w:t>
      </w:r>
      <w:r>
        <w:t>neexist</w:t>
      </w:r>
      <w:r w:rsidR="00E703C8">
        <w:t>ovala</w:t>
      </w:r>
      <w:r>
        <w:t xml:space="preserve"> možnost přistupovat k rozhodnutím z výzkumného hlediska a moc</w:t>
      </w:r>
      <w:r w:rsidR="000966A1">
        <w:t>i</w:t>
      </w:r>
      <w:r>
        <w:t xml:space="preserve"> je analyzovat hromadně </w:t>
      </w:r>
      <w:r w:rsidR="00E703C8">
        <w:t xml:space="preserve">– tedy </w:t>
      </w:r>
      <w:r>
        <w:t>možnost rozhodnutí hromadně získat jako dataset ve vhodném formátu pro další strojové zpracování.</w:t>
      </w:r>
      <w:r w:rsidR="00E703C8">
        <w:t xml:space="preserve"> I toto je důležitým přínosem této práce. Jak bude detailně popsáno níže v této kapitole, právě takový dataset byl získán, zpracován a uveřejněn k dalšímu výzkumnému užití.</w:t>
      </w:r>
      <w:r w:rsidR="00E703C8">
        <w:rPr>
          <w:rStyle w:val="Znakapoznpodarou"/>
        </w:rPr>
        <w:footnoteReference w:id="110"/>
      </w:r>
    </w:p>
    <w:p w14:paraId="470A8B69" w14:textId="4D387C72" w:rsidR="00CF77D9" w:rsidRDefault="00CF77D9" w:rsidP="00CF77D9">
      <w:pPr>
        <w:pStyle w:val="Dalodstavce"/>
      </w:pPr>
      <w:r>
        <w:t xml:space="preserve">Není proto překvapivé, že většina právníků volí pro práci s právními prameny placené právní informační systémy. Problém dostupnosti </w:t>
      </w:r>
      <w:r>
        <w:lastRenderedPageBreak/>
        <w:t xml:space="preserve">komerčních právních informačních systémů spočívá zejména v tom, že řada vyhledávacích funkcí (pokud ne všechny) jsou obvykle dostupné pouze v případě placeného přístupu, což je </w:t>
      </w:r>
      <w:r w:rsidR="00B36CAA">
        <w:t>akceptovatelné</w:t>
      </w:r>
      <w:r>
        <w:t xml:space="preserve"> pro velké právní kanceláře, nicméně pro běžného uživatele je taková možnost v podstatě finančně nedostupná. Druhým problémem je netransparentní zpracovávání rozhodnutí v rámci systému a jejich předkládání uživateli, a to zejména v souvislosti se subjektivními metadaty a manuálně vytvářenými interními kategoriemi (tematické okruhy) apod.</w:t>
      </w:r>
      <w:r w:rsidR="00714BC2">
        <w:t xml:space="preserve"> Subjektivní metadata k informacím obsaženým v informačních systémech znamenají taková metadata, která jsou určena jinými lidmi – typicky například tematické okruhy, do kterých jsou rozhodnutí kategorizována. Takovou kategorizaci pak provádí zaměstnanci společnosti provozující příslušný systém na základě interního vyhodnocení a uživatelé o tomto rozřazení či metodologii nemají žádné bližší informace. Odtud poté může pramenit zmíněna netransparentnost ve vyhledávání využívajícím právě tyto kategorie. Vedle toho, pro doplnění, objektivní metadata jsou taková, která jsou objektivním popisem informace – u soudního rozhodnutí typicky jeho spisová značka nebo číslo jednací, datum publikace, publikující soud.</w:t>
      </w:r>
    </w:p>
    <w:p w14:paraId="54221055" w14:textId="77777777" w:rsidR="00F325EA" w:rsidRDefault="00AC7AD5" w:rsidP="00697032">
      <w:pPr>
        <w:pStyle w:val="Dalodstavce"/>
      </w:pPr>
      <w:r>
        <w:t>Nově existuje od roku 2022</w:t>
      </w:r>
      <w:r w:rsidR="00CF77D9">
        <w:t xml:space="preserve"> povinnost uveřejňovat anonymizovaná </w:t>
      </w:r>
      <w:r w:rsidR="00457454">
        <w:t xml:space="preserve">rozhodnutí </w:t>
      </w:r>
      <w:r>
        <w:t xml:space="preserve">nižších </w:t>
      </w:r>
      <w:r w:rsidR="00457454">
        <w:t>soudů</w:t>
      </w:r>
      <w:r w:rsidR="00CF77D9">
        <w:t xml:space="preserve"> online</w:t>
      </w:r>
      <w:r w:rsidR="00CF77D9">
        <w:rPr>
          <w:rStyle w:val="Znakapoznpodarou"/>
        </w:rPr>
        <w:footnoteReference w:id="111"/>
      </w:r>
      <w:r>
        <w:t>,</w:t>
      </w:r>
      <w:r w:rsidR="00CF77D9">
        <w:t xml:space="preserve"> </w:t>
      </w:r>
      <w:r>
        <w:t xml:space="preserve">což </w:t>
      </w:r>
      <w:r w:rsidR="00457454">
        <w:t>je prováděno skrz online databázi</w:t>
      </w:r>
      <w:r w:rsidR="00457454" w:rsidRPr="00457454">
        <w:rPr>
          <w:i/>
          <w:iCs/>
        </w:rPr>
        <w:t xml:space="preserve"> justice.cz</w:t>
      </w:r>
      <w:r w:rsidR="00457454" w:rsidRPr="00457454">
        <w:rPr>
          <w:rStyle w:val="Znakapoznpodarou"/>
        </w:rPr>
        <w:footnoteReference w:id="112"/>
      </w:r>
      <w:r w:rsidR="00CF77D9" w:rsidRPr="00457454">
        <w:t>.</w:t>
      </w:r>
      <w:r w:rsidR="00457454">
        <w:t xml:space="preserve"> Tato databáze k dnešnímu dni</w:t>
      </w:r>
      <w:r w:rsidR="00457454">
        <w:rPr>
          <w:rStyle w:val="Znakapoznpodarou"/>
        </w:rPr>
        <w:footnoteReference w:id="113"/>
      </w:r>
      <w:r w:rsidR="00457454">
        <w:t xml:space="preserve"> obsahuje</w:t>
      </w:r>
      <w:r w:rsidR="00CF77D9">
        <w:t xml:space="preserve"> </w:t>
      </w:r>
      <w:r w:rsidR="00457454">
        <w:t>346 609 soudních rozhodnutí těchto soudů v civilní agendě</w:t>
      </w:r>
      <w:r w:rsidR="00457454">
        <w:rPr>
          <w:rStyle w:val="Znakapoznpodarou"/>
        </w:rPr>
        <w:footnoteReference w:id="114"/>
      </w:r>
      <w:r w:rsidR="00457454">
        <w:t xml:space="preserve">, což je určitě pozitivní posun, nicméně úplnost databáze není nikde deklarována. Současně v ní lze vyhledávat i podle klíčových slov a dotčených ustanovení, což vyhledávání značně usnadňuje. Nicméně rozhodnutí nelze získat jako dataset, jež by se dal dále zpracovávat ve smyslu následující kapitoly.  Dále jsou soudní rozhodnutí krajských a vrchních soudů uveřejňována na webové stránce </w:t>
      </w:r>
      <w:r w:rsidR="00457454" w:rsidRPr="00457454">
        <w:rPr>
          <w:i/>
          <w:iCs/>
        </w:rPr>
        <w:t>nsoud.cz</w:t>
      </w:r>
      <w:r w:rsidR="00457454">
        <w:t xml:space="preserve"> jako tzv. </w:t>
      </w:r>
      <w:r w:rsidR="00457454" w:rsidRPr="00457454">
        <w:t>Evidence soudních rozhodnutí vrchních a krajských soudů</w:t>
      </w:r>
      <w:r w:rsidR="00457454">
        <w:t>.</w:t>
      </w:r>
      <w:r w:rsidR="00457454">
        <w:rPr>
          <w:rStyle w:val="Znakapoznpodarou"/>
        </w:rPr>
        <w:footnoteReference w:id="115"/>
      </w:r>
      <w:r w:rsidR="00457454">
        <w:t xml:space="preserve"> Tato databáze taktéž umožňuje vyhledávat i pomocí </w:t>
      </w:r>
      <w:r w:rsidR="00457454">
        <w:lastRenderedPageBreak/>
        <w:t>souvisejících ustanovení a tzv. hesel. Objem této databáze však nelze z webové stránky zjistit, ani její úplnost</w:t>
      </w:r>
      <w:r w:rsidR="001B0C7A">
        <w:t>, a rozhodnutí taktéž není možné získávat hromadně.</w:t>
      </w:r>
      <w:r w:rsidR="00697032">
        <w:t xml:space="preserve"> </w:t>
      </w:r>
      <w:r w:rsidR="000C35E6">
        <w:t>Dále jsou rozhodnutí krajských (a městských) soudů ve správní agendě uveřejňována skrz zmiňovanou webovou databázi Nejvyššího správního soudu</w:t>
      </w:r>
      <w:r w:rsidR="002A1663">
        <w:t xml:space="preserve"> </w:t>
      </w:r>
      <w:r w:rsidR="002A1663" w:rsidRPr="002A1663">
        <w:rPr>
          <w:i/>
          <w:iCs/>
        </w:rPr>
        <w:t>nssoud.cz</w:t>
      </w:r>
      <w:r w:rsidR="00CF77D9">
        <w:t>.</w:t>
      </w:r>
      <w:r w:rsidR="000C35E6">
        <w:rPr>
          <w:rStyle w:val="Znakapoznpodarou"/>
        </w:rPr>
        <w:footnoteReference w:id="116"/>
      </w:r>
      <w:r w:rsidR="00CF77D9">
        <w:t xml:space="preserve"> </w:t>
      </w:r>
    </w:p>
    <w:p w14:paraId="5353E8CF" w14:textId="62F9E067" w:rsidR="00CF77D9" w:rsidRDefault="00CF77D9" w:rsidP="00697032">
      <w:pPr>
        <w:pStyle w:val="Dalodstavce"/>
      </w:pPr>
      <w:r>
        <w:t xml:space="preserve">Obecná nepřístupnost anonymizovaných rozhodnutí </w:t>
      </w:r>
      <w:r w:rsidR="00F325EA">
        <w:t xml:space="preserve">českých </w:t>
      </w:r>
      <w:r>
        <w:t>soudů</w:t>
      </w:r>
      <w:r w:rsidR="00837025">
        <w:t xml:space="preserve"> jako dataset, který by bylo možné zpracovávat hromadně,</w:t>
      </w:r>
      <w:r>
        <w:t xml:space="preserve"> pak způsobuje velmi ztížené počáteční podmínky pro jejich další analýzu.</w:t>
      </w:r>
      <w:r w:rsidR="00F325EA">
        <w:t xml:space="preserve"> Prvním krokem v tomto směru tedy bylo získání takových datasetů od tří vrcholných soudů, jejichž rozhodnutí dle analyzuji. </w:t>
      </w:r>
      <w:r w:rsidR="00B55B6C">
        <w:t>Tvorba</w:t>
      </w:r>
      <w:r w:rsidR="00F325EA">
        <w:t xml:space="preserve"> a popis těchto datasetů je uveden v následující podkapitole.</w:t>
      </w:r>
      <w:r w:rsidR="00DB65DC">
        <w:t xml:space="preserve"> Jak je i dále uvedeno, pro podporu dalšího výzkumu v tomto odvětví jsou tyto datasety uveřejněny jako </w:t>
      </w:r>
      <w:r w:rsidR="00DB65DC" w:rsidRPr="00DB65DC">
        <w:rPr>
          <w:i/>
          <w:iCs/>
        </w:rPr>
        <w:t>open access</w:t>
      </w:r>
      <w:r w:rsidR="00DB65DC">
        <w:t>.</w:t>
      </w:r>
    </w:p>
    <w:p w14:paraId="39915649" w14:textId="589E521C" w:rsidR="00CF77D9" w:rsidRDefault="00CF77D9">
      <w:pPr>
        <w:pStyle w:val="Nadpis2"/>
        <w:numPr>
          <w:ilvl w:val="1"/>
          <w:numId w:val="14"/>
        </w:numPr>
      </w:pPr>
      <w:bookmarkStart w:id="29" w:name="_Toc126909346"/>
      <w:r>
        <w:t>Data</w:t>
      </w:r>
      <w:bookmarkEnd w:id="29"/>
    </w:p>
    <w:p w14:paraId="4CC0D7CF" w14:textId="389E9934" w:rsidR="00CF77D9" w:rsidRDefault="00CF77D9" w:rsidP="00CF77D9">
      <w:pPr>
        <w:pStyle w:val="Odstavec1"/>
      </w:pPr>
      <w:r>
        <w:t>Jak již bylo řečeno výše, velké textové korpusy jsou v oboru zpracování přirozeného jazyka důležitější než kdy dříve. Zejména s vývojem algoritmů strojového učení, jejichž přesnost závisí na množství a kvalitě dat, které k trénování modelů použijeme, se z velkých dostupných datasetů stává důležitá komodita a současně nezbytná podmínka pro další výzkum. Neplní již tedy pouze archivační a záložní roli, ale aktivně určují směr dalšího výzkumu v počítačové lingvistice obecně. Mezi nejznámější a nejužívanější veřejně dostupné textové korpusy užívané pro trénování modelů strojového učení patří např. dataset článků z Wikipedie, dostupný ve všech jazycích</w:t>
      </w:r>
      <w:r w:rsidR="00B320B6">
        <w:t>,</w:t>
      </w:r>
      <w:r>
        <w:t xml:space="preserve"> uveřejněný na webu Wikipedie</w:t>
      </w:r>
      <w:r>
        <w:rPr>
          <w:rStyle w:val="Znakapoznpodarou"/>
        </w:rPr>
        <w:footnoteReference w:id="117"/>
      </w:r>
      <w:r w:rsidR="00B320B6">
        <w:t>,</w:t>
      </w:r>
      <w:r>
        <w:t xml:space="preserve"> nebo projekt Gutenberg</w:t>
      </w:r>
      <w:r>
        <w:rPr>
          <w:rStyle w:val="Znakapoznpodarou"/>
        </w:rPr>
        <w:footnoteReference w:id="118"/>
      </w:r>
      <w:r>
        <w:t>, který obsahuje volně přístupné e-knihy a nebo e-knihy, jejichž autorská práva vypršela</w:t>
      </w:r>
      <w:r w:rsidR="00B320B6">
        <w:t>,</w:t>
      </w:r>
      <w:r>
        <w:t xml:space="preserve"> a to jak pro čtení, tak pro hromadné zpracování ve formě datasetu. Za účelem klasifikace textů se dále často užívají dostupné datasety novinových článků</w:t>
      </w:r>
      <w:r w:rsidR="00B320B6">
        <w:t>,</w:t>
      </w:r>
      <w:r>
        <w:t xml:space="preserve"> jako je např. 20 Newsgroups.</w:t>
      </w:r>
      <w:r>
        <w:rPr>
          <w:rStyle w:val="Znakapoznpodarou"/>
        </w:rPr>
        <w:footnoteReference w:id="119"/>
      </w:r>
      <w:r>
        <w:t xml:space="preserve"> Není překvapivé, že většina experimentů v odvětví zpracování přirozeného jazyka je prováděna na textech v anglickém jazyce</w:t>
      </w:r>
      <w:r w:rsidR="00B320B6">
        <w:t>,</w:t>
      </w:r>
      <w:r>
        <w:t xml:space="preserve"> a právě v angličtině je většina široce používaných textových datasetů.</w:t>
      </w:r>
      <w:r w:rsidR="00676F7D">
        <w:t xml:space="preserve"> Tyto datasety </w:t>
      </w:r>
      <w:r w:rsidR="00676F7D">
        <w:lastRenderedPageBreak/>
        <w:t>obsahují obecný jazyk a jsou tedy využívány k úkonům prováděným na obecném jazyce a jsou zde uvedeny pro přehled. V této práci nás ale zajímá právní text a proto je nutné se zaměřit na doménově specifické datasety,</w:t>
      </w:r>
      <w:r w:rsidR="00676F7D" w:rsidRPr="00676F7D">
        <w:t xml:space="preserve"> </w:t>
      </w:r>
      <w:r w:rsidR="00676F7D">
        <w:t>tedy datasety obsahující texty specifické domény, která užívá i odlišný jazyk, než je běžná mluva (např. medicína nebo právo)</w:t>
      </w:r>
    </w:p>
    <w:p w14:paraId="460DDEB5" w14:textId="66CBD3A1" w:rsidR="00CF77D9" w:rsidRDefault="00676F7D" w:rsidP="00CF77D9">
      <w:pPr>
        <w:pStyle w:val="Dalodstavce"/>
      </w:pPr>
      <w:r>
        <w:t>Získat doménově specifický dataset a navíc v jiném jazyce, než je angličtina, je ovšem komplikované</w:t>
      </w:r>
      <w:r w:rsidR="00CF77D9">
        <w:t>. Nelze zatím sice zcela zobecnit vliv doménově specifických datasetů na většinu standardních úkolů ve zpracování přirozeného jazyka, v některých konkrétních případech však bylo prokázáno, že doménově specifické datasety vykazují přesnější výsledky.</w:t>
      </w:r>
      <w:r w:rsidR="00CF77D9">
        <w:rPr>
          <w:rStyle w:val="Znakapoznpodarou"/>
        </w:rPr>
        <w:footnoteReference w:id="120"/>
      </w:r>
      <w:r w:rsidR="00CF77D9">
        <w:t xml:space="preserve"> V případě informačního vyhledávání je však jasné, že dataset musí vždy obsahovat </w:t>
      </w:r>
      <w:r w:rsidR="002C75B0" w:rsidRPr="002C75B0">
        <w:t xml:space="preserve">minimálně </w:t>
      </w:r>
      <w:r w:rsidR="00CF77D9">
        <w:t>informace, které chceme vyhledat. Tedy konkrétně – model strojového učení k vyhledávání podobných soudních rozhodnutí sice může být natrénován na obecné mluvě</w:t>
      </w:r>
      <w:r w:rsidR="002C75B0">
        <w:t xml:space="preserve"> nebo</w:t>
      </w:r>
      <w:r w:rsidR="00CF77D9">
        <w:t xml:space="preserve"> v jiném jazyce, než je čeština,</w:t>
      </w:r>
      <w:r w:rsidR="009E31B9">
        <w:rPr>
          <w:rStyle w:val="Znakapoznpodarou"/>
        </w:rPr>
        <w:footnoteReference w:id="121"/>
      </w:r>
      <w:r w:rsidR="00CF77D9">
        <w:t xml:space="preserve"> nicméně nebudeme-li mu po natrénování moci předložit soudní rozhodnutí, ve kterých chceme vyhledávat, nemá </w:t>
      </w:r>
      <w:r w:rsidR="002C75B0" w:rsidRPr="002C75B0">
        <w:t xml:space="preserve">pro nás </w:t>
      </w:r>
      <w:r w:rsidR="00CF77D9">
        <w:t>takový model smysl.</w:t>
      </w:r>
      <w:r w:rsidR="009E31B9">
        <w:t xml:space="preserve"> Tedy k samotnému úkonu vyhledávání potřebujeme soudní rozhodnutí, i když užíváme model v obecném jazyce.</w:t>
      </w:r>
      <w:r w:rsidR="00CF77D9">
        <w:t xml:space="preserve"> Tímto chci poukázat na </w:t>
      </w:r>
      <w:r w:rsidR="002C75B0">
        <w:t>nutnost</w:t>
      </w:r>
      <w:r w:rsidR="00CF77D9">
        <w:t xml:space="preserve"> dostupnosti právních informací v hromadném datasetu nebo korpusu jako </w:t>
      </w:r>
      <w:r w:rsidR="00CF77D9" w:rsidRPr="00676F7D">
        <w:rPr>
          <w:i/>
          <w:iCs/>
        </w:rPr>
        <w:t>conditio sine qua non</w:t>
      </w:r>
      <w:r w:rsidR="00CF77D9">
        <w:t>, bez které se nedá při experimentování s metodami vyhledávání právních informací dále postupovat. Existuje tedy i řada datasetů obsahujících právní dokumenty (v různých jazycích).</w:t>
      </w:r>
    </w:p>
    <w:p w14:paraId="620FBB06" w14:textId="4B74C772" w:rsidR="00954FAF" w:rsidRDefault="00CF77D9" w:rsidP="00CF77D9">
      <w:pPr>
        <w:pStyle w:val="Dalodstavce"/>
      </w:pPr>
      <w:r>
        <w:t xml:space="preserve">Nejprve je nutné zmínit </w:t>
      </w:r>
      <w:r w:rsidR="002C75B0">
        <w:t xml:space="preserve">se o </w:t>
      </w:r>
      <w:r>
        <w:t>právní</w:t>
      </w:r>
      <w:r w:rsidR="002C75B0">
        <w:t>ch</w:t>
      </w:r>
      <w:r>
        <w:t xml:space="preserve"> pramen</w:t>
      </w:r>
      <w:r w:rsidR="002C75B0">
        <w:t>ech</w:t>
      </w:r>
      <w:r>
        <w:t xml:space="preserve"> publikovan</w:t>
      </w:r>
      <w:r w:rsidR="002C75B0">
        <w:t>ých</w:t>
      </w:r>
      <w:r>
        <w:t xml:space="preserve"> institucemi Evropské unie. Protože tyto musí být vždy dostupné ve všech úředních jazycích členských států, jedná se o velké množství textových dat dostupné i v méně zastoupených jazycích (jako je např. právě čeština). Také se jedná o jeden z důvodů, proč jsou výzkumnými týmy </w:t>
      </w:r>
      <w:r>
        <w:lastRenderedPageBreak/>
        <w:t xml:space="preserve">(zejména těmi evropskými) metody zpracování přirozeného jazyka často aplikovány na </w:t>
      </w:r>
      <w:r w:rsidR="00954FAF">
        <w:t>právní dokumenty EU</w:t>
      </w:r>
      <w:r>
        <w:t xml:space="preserve"> (legislativa, judikatura). Jeden z často užívaných multijazykových paralelních korpusů je European Parliament Proceedings Parallel Corpus 1996 – 2011.</w:t>
      </w:r>
      <w:r>
        <w:rPr>
          <w:rStyle w:val="Znakapoznpodarou"/>
        </w:rPr>
        <w:footnoteReference w:id="122"/>
      </w:r>
      <w:r>
        <w:t xml:space="preserve"> </w:t>
      </w:r>
      <w:r w:rsidR="002C75B0">
        <w:t>Dále je</w:t>
      </w:r>
      <w:r>
        <w:t xml:space="preserve"> možné hromadně stahovat legislativní i judikatorní dokumenty z webových stránek </w:t>
      </w:r>
      <w:r w:rsidR="00954FAF">
        <w:t>Evropské unie</w:t>
      </w:r>
      <w:r>
        <w:t xml:space="preserve"> a to ve všech dostupných jazykových verzích</w:t>
      </w:r>
      <w:r>
        <w:rPr>
          <w:rStyle w:val="Znakapoznpodarou"/>
        </w:rPr>
        <w:footnoteReference w:id="123"/>
      </w:r>
      <w:r w:rsidR="00954FAF">
        <w:t>.</w:t>
      </w:r>
      <w:r>
        <w:t xml:space="preserve"> </w:t>
      </w:r>
    </w:p>
    <w:p w14:paraId="1D25A9EF" w14:textId="435AC237" w:rsidR="00CF77D9" w:rsidRDefault="00D013F0" w:rsidP="00CF77D9">
      <w:pPr>
        <w:pStyle w:val="Dalodstavce"/>
      </w:pPr>
      <w:r>
        <w:t>Příkladem dobré praxe ze zahraničí je dále</w:t>
      </w:r>
      <w:r w:rsidR="00CF77D9">
        <w:t xml:space="preserve"> i databáze právních informací Kanady (ovšem samozřejmě jen pro angličtinu a francouzštinu)</w:t>
      </w:r>
      <w:r w:rsidR="00CF77D9">
        <w:rPr>
          <w:rStyle w:val="Znakapoznpodarou"/>
        </w:rPr>
        <w:footnoteReference w:id="124"/>
      </w:r>
      <w:r w:rsidR="00CF77D9">
        <w:t>. Další dostupné textové datasety soudních rozhodnutí jsou např. dataset rozhodnutí Evropského soudu pro lidská práva</w:t>
      </w:r>
      <w:r w:rsidR="00CF77D9">
        <w:rPr>
          <w:rStyle w:val="Znakapoznpodarou"/>
        </w:rPr>
        <w:footnoteReference w:id="125"/>
      </w:r>
      <w:r w:rsidR="00CF77D9">
        <w:t>, dataset rozhodnutí Nejvyššího soudu USA</w:t>
      </w:r>
      <w:r w:rsidR="00CF77D9">
        <w:rPr>
          <w:rStyle w:val="Znakapoznpodarou"/>
        </w:rPr>
        <w:footnoteReference w:id="126"/>
      </w:r>
      <w:r w:rsidR="00CF77D9">
        <w:t xml:space="preserve"> nebo dataset rozhodnutí Federálního soudu v Austrálii</w:t>
      </w:r>
      <w:r w:rsidR="00CF77D9">
        <w:rPr>
          <w:rStyle w:val="Znakapoznpodarou"/>
        </w:rPr>
        <w:footnoteReference w:id="127"/>
      </w:r>
      <w:r w:rsidR="00CF77D9">
        <w:t>. Za zmínku pak určitě stojí také projekty, jejichž cílem je uveřejnění právních dat a zlepšení vyhledávacích metod, jako je např. Free Law Project (USA)</w:t>
      </w:r>
      <w:r w:rsidR="00CF77D9">
        <w:rPr>
          <w:rStyle w:val="Znakapoznpodarou"/>
        </w:rPr>
        <w:footnoteReference w:id="128"/>
      </w:r>
      <w:r w:rsidR="00CF77D9">
        <w:t xml:space="preserve"> a nebo databáze rozhodnutí Nejvyššího soudu od Washington University, obsahující jak texty rozhodnutí</w:t>
      </w:r>
      <w:r w:rsidR="005B2A2A">
        <w:t>,</w:t>
      </w:r>
      <w:r w:rsidR="00CF77D9">
        <w:t xml:space="preserve"> tak velkou škálu metadat</w:t>
      </w:r>
      <w:r w:rsidR="00CF77D9">
        <w:rPr>
          <w:rStyle w:val="Znakapoznpodarou"/>
        </w:rPr>
        <w:footnoteReference w:id="129"/>
      </w:r>
      <w:r w:rsidR="00CF77D9">
        <w:t xml:space="preserve"> nebo online databáze legislativy a judikatury USA od Institutu právních informací Cornell Law School.</w:t>
      </w:r>
      <w:r w:rsidR="00CF77D9">
        <w:rPr>
          <w:rStyle w:val="Znakapoznpodarou"/>
        </w:rPr>
        <w:footnoteReference w:id="130"/>
      </w:r>
    </w:p>
    <w:p w14:paraId="3D08FB58" w14:textId="7D26FB59" w:rsidR="00CF77D9" w:rsidRDefault="00CF77D9" w:rsidP="00CF77D9">
      <w:pPr>
        <w:pStyle w:val="Dalodstavce"/>
      </w:pPr>
      <w:r>
        <w:t>Pro úplnost je v neposlední řadě nutné zmínit také jazykové korpusy v českém jazyce, ačkoliv se dosud jednalo zejména o korpusy obecné. Důležité je zmínit projekt Filozofické fakulty Univerzity Karlovy s názvem Český národní korpus</w:t>
      </w:r>
      <w:r>
        <w:rPr>
          <w:rStyle w:val="Znakapoznpodarou"/>
        </w:rPr>
        <w:footnoteReference w:id="131"/>
      </w:r>
      <w:r>
        <w:t>, který obsahuje řadu korpusů čítajících přes 4,9 miliard slov</w:t>
      </w:r>
      <w:r w:rsidR="005B2A2A">
        <w:t>,</w:t>
      </w:r>
      <w:r>
        <w:t xml:space="preserve"> a to včetně paralelních cizojazyčných korpusů. Obsahově se jedná zejména o publicistické texty či beletrii. Dalším důležitým českým projektem je anotovaný Czech Academic Corpus</w:t>
      </w:r>
      <w:r>
        <w:rPr>
          <w:rStyle w:val="Znakapoznpodarou"/>
        </w:rPr>
        <w:footnoteReference w:id="132"/>
      </w:r>
      <w:r>
        <w:t xml:space="preserve">, který </w:t>
      </w:r>
      <w:r>
        <w:lastRenderedPageBreak/>
        <w:t>provozuje Ústav formální a aplikované lingvistiky Univerzity Karlovy</w:t>
      </w:r>
      <w:r w:rsidR="005B2A2A">
        <w:t>,</w:t>
      </w:r>
      <w:r>
        <w:t xml:space="preserve"> a anotovaný korpus Prague Dependency Treebank</w:t>
      </w:r>
      <w:r>
        <w:rPr>
          <w:rStyle w:val="Znakapoznpodarou"/>
        </w:rPr>
        <w:footnoteReference w:id="133"/>
      </w:r>
      <w:r>
        <w:t xml:space="preserve"> od stejné výzkumné instituce. Dalším anotovaným českým korpusem je např. csTenTen</w:t>
      </w:r>
      <w:r>
        <w:rPr>
          <w:rStyle w:val="Znakapoznpodarou"/>
        </w:rPr>
        <w:footnoteReference w:id="134"/>
      </w:r>
      <w:r>
        <w:t xml:space="preserve">. </w:t>
      </w:r>
      <w:r w:rsidR="00995B88">
        <w:t>Co se týče korpusů českých právních textů, Kríž s Hladkou Vidovou a Urešovou publikovali Czech Legal Text Treebank 1.0, což je manuálně morfologicky a syntakticky anotovaný korpus vět z českých soudních rozhodnutí.</w:t>
      </w:r>
      <w:r w:rsidR="00995B88">
        <w:rPr>
          <w:rStyle w:val="Znakapoznpodarou"/>
        </w:rPr>
        <w:footnoteReference w:id="135"/>
      </w:r>
      <w:r w:rsidR="00995B88">
        <w:t xml:space="preserve"> Ačkoliv je veřejně dostupný, pro účely této práce je jeho velikost o 1 128 větách nedostatečná. </w:t>
      </w:r>
      <w:r>
        <w:t xml:space="preserve">Korpus </w:t>
      </w:r>
      <w:r w:rsidR="000F3CBF">
        <w:t xml:space="preserve">dostatečného množství </w:t>
      </w:r>
      <w:r>
        <w:t xml:space="preserve">českých právních textů však (mimo ten, který dále představuji) dostupný </w:t>
      </w:r>
      <w:r w:rsidR="00D013F0">
        <w:t>dosud nebyl</w:t>
      </w:r>
      <w:r>
        <w:t>, stejně jako nelze hromadně získat texty českých právních pramenů (jak legislativy</w:t>
      </w:r>
      <w:r w:rsidR="005B2A2A">
        <w:t>,</w:t>
      </w:r>
      <w:r>
        <w:t xml:space="preserve"> tak judikatury), jak zmiňuji následně.</w:t>
      </w:r>
      <w:r w:rsidR="00FA5AB1">
        <w:t xml:space="preserve"> Tato situace byla motivací pro jeho získání a publikování popsané v následující podkapitole.</w:t>
      </w:r>
    </w:p>
    <w:p w14:paraId="56C013F3" w14:textId="7CB9D500" w:rsidR="00CF77D9" w:rsidRDefault="00CF77D9">
      <w:pPr>
        <w:pStyle w:val="Nadpis3"/>
        <w:numPr>
          <w:ilvl w:val="2"/>
          <w:numId w:val="14"/>
        </w:numPr>
      </w:pPr>
      <w:r>
        <w:t>Czech Court Decisions Corpus</w:t>
      </w:r>
    </w:p>
    <w:p w14:paraId="002D59CA" w14:textId="21B46E4A" w:rsidR="00CF77D9" w:rsidRDefault="00CF77D9" w:rsidP="00CF77D9">
      <w:pPr>
        <w:pStyle w:val="Odstavec1"/>
      </w:pPr>
      <w:r>
        <w:t>Předmětem zkoumání pomocí metod uvedených v následující podkapitole byla zvolena soudní rozhodnutí Nejvyššího, Nejvyššího správního a Ústavního soudu. Ani tato rozhodnutí ovšem nebyla k dispozici v ucelených datových souborech vhodných k dalšímu strojovému zpracování (tzv. jazykové korpusy), prvním krokem tedy bylo samotné získání dat vhodných ke zpracování metodami zpracování přirozeného jazyka. Zde také platí rozšířené pravidlo, že čím větší dataset a čím více dat, tím jsou výsledky metod (a to zejména těch založených na strojovém hlubokém učení a neuronových sítích) přesnější a statisticky signifikantnější</w:t>
      </w:r>
      <w:r>
        <w:rPr>
          <w:rStyle w:val="Znakapoznpodarou"/>
        </w:rPr>
        <w:footnoteReference w:id="136"/>
      </w:r>
      <w:r>
        <w:t xml:space="preserve">, stahování jednotlivých rozhodnutí z veřejně přístupných webových databází soudů zde tedy není možnost. Z tohoto důvodu jsem odeslala na příslušné soudy žádost v souladu s § 13 a souv. zákona č. 106/1999 Sb., o </w:t>
      </w:r>
      <w:r>
        <w:lastRenderedPageBreak/>
        <w:t>svobodném přístupu k informacím, v platném znění (dále jen „zákon o svobodném přístup</w:t>
      </w:r>
      <w:r w:rsidR="0081444D">
        <w:t xml:space="preserve">u </w:t>
      </w:r>
      <w:r>
        <w:t>k informací</w:t>
      </w:r>
      <w:r w:rsidR="0081444D">
        <w:t>m</w:t>
      </w:r>
      <w:r>
        <w:t xml:space="preserve">”), </w:t>
      </w:r>
      <w:r w:rsidR="0081444D">
        <w:t>v ní</w:t>
      </w:r>
      <w:r>
        <w:t xml:space="preserve"> bylo žádáno o uveřejnění všech dostupných rozhodnutí daného soudu v digitalizované a strojově čitelné podobě od počátku roku 1993. V případě Nejvyššího správního soudu a Ústavního soudu bylo žádosti vyhověno a byla poskytnuta veškerá rozhodnutí od počátku roku 1993, Nejvyšší soud však na žádost reagoval vyčíslením nákladů v hodnotě několika stovek tisíc korun českých, což byla údajně cena stanovená zřizovatelem interní databáze soudu za stažení a poskytnutí souboru rozhodnutí. S takovou situací počítá i ustanovení § 17 zákona o svobodném přístupu k informacím, konkrétně druhá věta odst. 1, která zní „</w:t>
      </w:r>
      <w:r>
        <w:rPr>
          <w:i/>
          <w:iCs/>
        </w:rPr>
        <w:t>Povinný subjekt může vyžádat i úhradu za mimořádně rozsáhlé vyhledání informací</w:t>
      </w:r>
      <w:r>
        <w:t xml:space="preserve">.“ </w:t>
      </w:r>
      <w:r w:rsidR="0081444D">
        <w:t>P</w:t>
      </w:r>
      <w:r>
        <w:t>řestože je částka vyčíslená externím poskytovatelem, je pozoruhodné, že je databáze Nejvyššího soudu spravována na základě smluvního vztahu, který dovoluje významné omezení přístupnosti z podstaty veřejných úředních děl.</w:t>
      </w:r>
      <w:r>
        <w:rPr>
          <w:rStyle w:val="Znakapoznpodarou"/>
        </w:rPr>
        <w:footnoteReference w:id="137"/>
      </w:r>
      <w:r>
        <w:t xml:space="preserve"> Rozhodnutí Nejvyššího soudu musela být získána stažením z jeho webových stránek. Všechna získaná rozhodnutí už byla anonymizována. Rozhodnutí zahrnutá do korpusu jsou tedy datována od 1. ledna 1993 do 30. září 2018, což je datum odeslání žádosti o informaci.</w:t>
      </w:r>
    </w:p>
    <w:p w14:paraId="6E1859D8" w14:textId="59B7718F" w:rsidR="00CF77D9" w:rsidRDefault="00CF77D9" w:rsidP="00CF77D9">
      <w:pPr>
        <w:pStyle w:val="Dalodstavce"/>
      </w:pPr>
      <w:r>
        <w:t xml:space="preserve">Druhým krokem pro vytvoření korpusu rozhodnutí bylo předzpracování dat, tedy jejich převedení do formátu, který by byl jednotný a opatřený alespoň základními metadatovými indikátory rozhodnutí. Všechna získaná rozhodnutí byla nejprve převedena do jednoduchého textového formátu </w:t>
      </w:r>
      <w:r w:rsidR="000D42A9">
        <w:t>TXT</w:t>
      </w:r>
      <w:r>
        <w:t xml:space="preserve"> tak, aby to usnadnilo budoucí zpracování dokumentů (získaná rozhodnutí byla ve formátech PDF a RTF). Pro tento účel byl užit volně dostupný software Apache Tika.</w:t>
      </w:r>
      <w:r>
        <w:rPr>
          <w:rStyle w:val="Znakapoznpodarou"/>
        </w:rPr>
        <w:footnoteReference w:id="138"/>
      </w:r>
      <w:r>
        <w:t xml:space="preserve"> Poté byla z textů rozhodnutí extrahována základní nezbytná metadata k identifikaci rozhodnutí:</w:t>
      </w:r>
    </w:p>
    <w:p w14:paraId="373BB2FF" w14:textId="03892C40" w:rsidR="00CF77D9" w:rsidRDefault="00CF77D9">
      <w:pPr>
        <w:pStyle w:val="Dalodstavce"/>
        <w:numPr>
          <w:ilvl w:val="0"/>
          <w:numId w:val="21"/>
        </w:numPr>
      </w:pPr>
      <w:r>
        <w:t>název textového souboru příslušného rozhodnutí,</w:t>
      </w:r>
    </w:p>
    <w:p w14:paraId="084EC079" w14:textId="77777777" w:rsidR="00CF77D9" w:rsidRDefault="00CF77D9">
      <w:pPr>
        <w:pStyle w:val="Dalodstavce"/>
        <w:numPr>
          <w:ilvl w:val="0"/>
          <w:numId w:val="21"/>
        </w:numPr>
      </w:pPr>
      <w:r>
        <w:t>spisová značka či číslo jednací rozhodnutí,</w:t>
      </w:r>
    </w:p>
    <w:p w14:paraId="503AA1A5" w14:textId="77777777" w:rsidR="00CF77D9" w:rsidRDefault="00CF77D9">
      <w:pPr>
        <w:pStyle w:val="Dalodstavce"/>
        <w:numPr>
          <w:ilvl w:val="0"/>
          <w:numId w:val="21"/>
        </w:numPr>
      </w:pPr>
      <w:r>
        <w:t>datum publikace rozhodnutí (v ISO 8601 formátu YYYY-MM-DD),</w:t>
      </w:r>
    </w:p>
    <w:p w14:paraId="74581FEA" w14:textId="77777777" w:rsidR="00CF77D9" w:rsidRDefault="00CF77D9">
      <w:pPr>
        <w:pStyle w:val="Dalodstavce"/>
        <w:numPr>
          <w:ilvl w:val="0"/>
          <w:numId w:val="21"/>
        </w:numPr>
      </w:pPr>
      <w:r>
        <w:lastRenderedPageBreak/>
        <w:t xml:space="preserve">identifikace soudu, který rozhodoval (zkratka </w:t>
      </w:r>
      <w:r>
        <w:rPr>
          <w:i/>
          <w:iCs/>
        </w:rPr>
        <w:t>SupCo</w:t>
      </w:r>
      <w:r>
        <w:t xml:space="preserve"> pro Nejvyšší soud, </w:t>
      </w:r>
      <w:r>
        <w:rPr>
          <w:i/>
          <w:iCs/>
        </w:rPr>
        <w:t>SupAdmCo</w:t>
      </w:r>
      <w:r>
        <w:t xml:space="preserve"> pro Nejvyšší správní soud a </w:t>
      </w:r>
      <w:r>
        <w:rPr>
          <w:i/>
          <w:iCs/>
        </w:rPr>
        <w:t>ConCo</w:t>
      </w:r>
      <w:r>
        <w:t xml:space="preserve"> pro Ústavní soud).</w:t>
      </w:r>
    </w:p>
    <w:p w14:paraId="0693E34B" w14:textId="620CA63D" w:rsidR="00912972" w:rsidRDefault="00CF77D9" w:rsidP="00CF77D9">
      <w:pPr>
        <w:pStyle w:val="Dalodstavce"/>
      </w:pPr>
      <w:r>
        <w:t>Texty soudních rozhodnutí jsou rozděleny do tří sub-korpusů dle soudů</w:t>
      </w:r>
      <w:r w:rsidR="00912972">
        <w:t>, což jsou jednoduché zip složky obsahující textové soubory rozhodnutí</w:t>
      </w:r>
      <w:r>
        <w:t xml:space="preserve">. Extrahovaná metadata jsou seřazena do tří CSV souborů, každý soubor je příslušný jednomu sub-korpusu a obsahuje metadata k rozhodnutím daného soudu. Struktura CSV souborů je taková, že každý řádek obsahuje výše popsaná metadata k jednomu rozhodnutí. </w:t>
      </w:r>
      <w:r w:rsidR="00912972">
        <w:t xml:space="preserve"> Pro názornost uvádím příklad takového řádku</w:t>
      </w:r>
      <w:r w:rsidR="00234AA3">
        <w:t>, jedná se o rozhodnutí Ústavního soudu sp. zn. III. ÚS 8/18 publikované 27. 9. 2018</w:t>
      </w:r>
      <w:r w:rsidR="00912972">
        <w:t xml:space="preserve">: </w:t>
      </w:r>
    </w:p>
    <w:p w14:paraId="33DE34F2" w14:textId="38290D57" w:rsidR="00234AA3" w:rsidRPr="00234AA3" w:rsidRDefault="00912972" w:rsidP="00234AA3">
      <w:pPr>
        <w:pStyle w:val="Dalodstavce"/>
        <w:rPr>
          <w:i/>
          <w:iCs/>
        </w:rPr>
      </w:pPr>
      <w:r w:rsidRPr="00912972">
        <w:rPr>
          <w:i/>
          <w:iCs/>
        </w:rPr>
        <w:t>3-8-18_1.txt,III.</w:t>
      </w:r>
      <w:r>
        <w:rPr>
          <w:i/>
          <w:iCs/>
        </w:rPr>
        <w:t xml:space="preserve"> </w:t>
      </w:r>
      <w:r w:rsidRPr="00912972">
        <w:rPr>
          <w:i/>
          <w:iCs/>
        </w:rPr>
        <w:t>ÚS</w:t>
      </w:r>
      <w:r>
        <w:rPr>
          <w:i/>
          <w:iCs/>
        </w:rPr>
        <w:t xml:space="preserve"> </w:t>
      </w:r>
      <w:r w:rsidRPr="00912972">
        <w:rPr>
          <w:i/>
          <w:iCs/>
        </w:rPr>
        <w:t>8/18,2018-09-27,ConCo</w:t>
      </w:r>
      <w:r>
        <w:rPr>
          <w:i/>
          <w:iCs/>
        </w:rPr>
        <w:t xml:space="preserve">. </w:t>
      </w:r>
    </w:p>
    <w:p w14:paraId="73CD4034" w14:textId="0791F65A" w:rsidR="00CF77D9" w:rsidRDefault="00CF77D9" w:rsidP="00CF77D9">
      <w:pPr>
        <w:pStyle w:val="Dalodstavce"/>
      </w:pPr>
      <w:r>
        <w:t xml:space="preserve">Takto získaná a upravená databáze byla uveřejněna </w:t>
      </w:r>
      <w:r w:rsidR="00234AA3">
        <w:t xml:space="preserve">formou </w:t>
      </w:r>
      <w:r w:rsidR="00234AA3" w:rsidRPr="00234AA3">
        <w:rPr>
          <w:i/>
          <w:iCs/>
        </w:rPr>
        <w:t>open access</w:t>
      </w:r>
      <w:r w:rsidR="00234AA3">
        <w:t xml:space="preserve"> </w:t>
      </w:r>
      <w:r>
        <w:t>pro další volné užití veřejností</w:t>
      </w:r>
      <w:r w:rsidR="00234AA3">
        <w:rPr>
          <w:rStyle w:val="Znakapoznpodarou"/>
        </w:rPr>
        <w:footnoteReference w:id="139"/>
      </w:r>
      <w:r>
        <w:t xml:space="preserve"> jako korpus soudních rozhodnutí třech nejvyšších českých soudů pod názvem </w:t>
      </w:r>
      <w:r>
        <w:rPr>
          <w:i/>
          <w:iCs/>
        </w:rPr>
        <w:t>Czech Court Decisions Corpus 1.0</w:t>
      </w:r>
      <w:r>
        <w:t xml:space="preserve"> (dále </w:t>
      </w:r>
      <w:r w:rsidR="00F30D2A">
        <w:t>také jako</w:t>
      </w:r>
      <w:r>
        <w:t xml:space="preserve"> „CzCDC“).</w:t>
      </w:r>
      <w:r>
        <w:rPr>
          <w:rStyle w:val="Znakapoznpodarou"/>
        </w:rPr>
        <w:footnoteReference w:id="140"/>
      </w:r>
      <w:r>
        <w:t xml:space="preserve"> </w:t>
      </w:r>
      <w:r w:rsidR="00486A0C">
        <w:t xml:space="preserve">Jedná se o první </w:t>
      </w:r>
      <w:r w:rsidR="003C1187">
        <w:t xml:space="preserve">dostupný </w:t>
      </w:r>
      <w:r w:rsidR="00486A0C">
        <w:t xml:space="preserve">korpus textů soudních rozhodnutí této velikosti v České republice. </w:t>
      </w:r>
      <w:r>
        <w:t>Doufáme, že tento krok podpoří další výzkumné snahy ve zpracovávání textů soudních rozhodnutí českých soudů</w:t>
      </w:r>
      <w:r w:rsidR="00486A0C">
        <w:t>. Ke konci roku 2022 byl korpus stažen od jeho publikování 2 376krát, nicméně jedná se o absolutní součet stažení všech 6 jeho obsahujících souborů.</w:t>
      </w:r>
    </w:p>
    <w:p w14:paraId="27741367" w14:textId="4F9CB6D2" w:rsidR="00CF77D9" w:rsidRDefault="00CF77D9" w:rsidP="007E301D">
      <w:pPr>
        <w:pStyle w:val="Dalodstavce"/>
      </w:pPr>
      <w:r>
        <w:t>Základní statistiky korpusu jsou následující:</w:t>
      </w:r>
      <w:r>
        <w:rPr>
          <w:rStyle w:val="Znakapoznpodarou"/>
        </w:rPr>
        <w:footnoteReference w:id="141"/>
      </w:r>
    </w:p>
    <w:p w14:paraId="4A5DF575" w14:textId="05988B1F" w:rsidR="007E301D" w:rsidRDefault="007E301D" w:rsidP="00953CD9">
      <w:pPr>
        <w:pStyle w:val="Titulektabulky"/>
      </w:pPr>
      <w:bookmarkStart w:id="31" w:name="_Toc126874205"/>
      <w:r>
        <w:t xml:space="preserve">Tab. </w:t>
      </w:r>
      <w:r>
        <w:rPr>
          <w:noProof/>
        </w:rPr>
        <w:fldChar w:fldCharType="begin"/>
      </w:r>
      <w:r>
        <w:rPr>
          <w:noProof/>
        </w:rPr>
        <w:instrText xml:space="preserve"> SEQ Tab. \* ARABIC </w:instrText>
      </w:r>
      <w:r>
        <w:rPr>
          <w:noProof/>
        </w:rPr>
        <w:fldChar w:fldCharType="separate"/>
      </w:r>
      <w:r>
        <w:rPr>
          <w:noProof/>
        </w:rPr>
        <w:t>1</w:t>
      </w:r>
      <w:r>
        <w:rPr>
          <w:noProof/>
        </w:rPr>
        <w:fldChar w:fldCharType="end"/>
      </w:r>
      <w:r>
        <w:t xml:space="preserve">: Statistika </w:t>
      </w:r>
      <w:r w:rsidRPr="007E301D">
        <w:rPr>
          <w:i/>
          <w:iCs/>
        </w:rPr>
        <w:t>Czech Court Decisions Corpus</w:t>
      </w:r>
      <w:bookmarkEnd w:id="31"/>
    </w:p>
    <w:tbl>
      <w:tblPr>
        <w:tblStyle w:val="ZPTabulka"/>
        <w:tblW w:w="0" w:type="auto"/>
        <w:tblLook w:val="04A0" w:firstRow="1" w:lastRow="0" w:firstColumn="1" w:lastColumn="0" w:noHBand="0" w:noVBand="1"/>
      </w:tblPr>
      <w:tblGrid>
        <w:gridCol w:w="1473"/>
        <w:gridCol w:w="1473"/>
        <w:gridCol w:w="1473"/>
        <w:gridCol w:w="1473"/>
        <w:gridCol w:w="1474"/>
      </w:tblGrid>
      <w:tr w:rsidR="007E301D" w:rsidRPr="007E301D" w14:paraId="1878497F" w14:textId="77777777" w:rsidTr="007F5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 w:type="dxa"/>
          </w:tcPr>
          <w:p w14:paraId="45D97F09" w14:textId="77777777" w:rsidR="007E301D" w:rsidRPr="007E301D" w:rsidRDefault="007E301D" w:rsidP="00CB5A52">
            <w:pPr>
              <w:spacing w:line="360" w:lineRule="auto"/>
              <w:jc w:val="center"/>
              <w:rPr>
                <w:sz w:val="20"/>
                <w:szCs w:val="20"/>
                <w:lang w:eastAsia="sk-SK"/>
              </w:rPr>
            </w:pPr>
            <w:r w:rsidRPr="007E301D">
              <w:rPr>
                <w:sz w:val="20"/>
                <w:szCs w:val="20"/>
                <w:lang w:eastAsia="sk-SK"/>
              </w:rPr>
              <w:t>Soud</w:t>
            </w:r>
          </w:p>
        </w:tc>
        <w:tc>
          <w:tcPr>
            <w:tcW w:w="1473" w:type="dxa"/>
          </w:tcPr>
          <w:p w14:paraId="43EB5B94" w14:textId="77777777" w:rsidR="007E301D" w:rsidRPr="007E301D" w:rsidRDefault="007E301D" w:rsidP="00CB5A52">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7E301D">
              <w:rPr>
                <w:sz w:val="20"/>
                <w:szCs w:val="20"/>
                <w:lang w:eastAsia="sk-SK"/>
              </w:rPr>
              <w:t>Počet rozhodnutí</w:t>
            </w:r>
          </w:p>
        </w:tc>
        <w:tc>
          <w:tcPr>
            <w:tcW w:w="1473" w:type="dxa"/>
          </w:tcPr>
          <w:p w14:paraId="37251867" w14:textId="77777777" w:rsidR="007E301D" w:rsidRPr="007E301D" w:rsidRDefault="007E301D" w:rsidP="00CB5A52">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7E301D">
              <w:rPr>
                <w:sz w:val="20"/>
                <w:szCs w:val="20"/>
                <w:lang w:eastAsia="sk-SK"/>
              </w:rPr>
              <w:t>Počet řádků</w:t>
            </w:r>
          </w:p>
        </w:tc>
        <w:tc>
          <w:tcPr>
            <w:tcW w:w="1473" w:type="dxa"/>
          </w:tcPr>
          <w:p w14:paraId="252606E1" w14:textId="77777777" w:rsidR="007E301D" w:rsidRPr="007E301D" w:rsidRDefault="007E301D" w:rsidP="00CB5A52">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7E301D">
              <w:rPr>
                <w:sz w:val="20"/>
                <w:szCs w:val="20"/>
                <w:lang w:eastAsia="sk-SK"/>
              </w:rPr>
              <w:t>Počet slov</w:t>
            </w:r>
          </w:p>
        </w:tc>
        <w:tc>
          <w:tcPr>
            <w:tcW w:w="1474" w:type="dxa"/>
          </w:tcPr>
          <w:p w14:paraId="3EE2A8F3" w14:textId="77777777" w:rsidR="007E301D" w:rsidRPr="007E301D" w:rsidRDefault="007E301D" w:rsidP="00CB5A52">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7E301D">
              <w:rPr>
                <w:sz w:val="20"/>
                <w:szCs w:val="20"/>
                <w:lang w:eastAsia="sk-SK"/>
              </w:rPr>
              <w:t>Rozhodnutí od-do</w:t>
            </w:r>
          </w:p>
        </w:tc>
      </w:tr>
      <w:tr w:rsidR="007E301D" w:rsidRPr="007E301D" w14:paraId="6D2A91D7" w14:textId="77777777" w:rsidTr="007F5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 w:type="dxa"/>
          </w:tcPr>
          <w:p w14:paraId="59A85118" w14:textId="77777777" w:rsidR="007E301D" w:rsidRPr="007E301D" w:rsidRDefault="007E301D" w:rsidP="00CB5A52">
            <w:pPr>
              <w:spacing w:line="360" w:lineRule="auto"/>
              <w:jc w:val="center"/>
              <w:rPr>
                <w:b w:val="0"/>
                <w:sz w:val="20"/>
                <w:szCs w:val="20"/>
                <w:lang w:eastAsia="sk-SK"/>
              </w:rPr>
            </w:pPr>
            <w:r w:rsidRPr="007E301D">
              <w:rPr>
                <w:sz w:val="20"/>
                <w:szCs w:val="20"/>
                <w:lang w:eastAsia="sk-SK"/>
              </w:rPr>
              <w:t>Ústavní soud</w:t>
            </w:r>
          </w:p>
        </w:tc>
        <w:tc>
          <w:tcPr>
            <w:tcW w:w="1473" w:type="dxa"/>
          </w:tcPr>
          <w:p w14:paraId="293BFC42" w14:textId="13A55B06" w:rsidR="007E301D" w:rsidRPr="007E301D" w:rsidRDefault="005A5AD9"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97129D">
              <w:rPr>
                <w:sz w:val="20"/>
                <w:szCs w:val="20"/>
                <w:lang w:eastAsia="sk-SK"/>
              </w:rPr>
              <w:t>73 086</w:t>
            </w:r>
          </w:p>
        </w:tc>
        <w:tc>
          <w:tcPr>
            <w:tcW w:w="1473" w:type="dxa"/>
          </w:tcPr>
          <w:p w14:paraId="7D493116" w14:textId="50130AB0" w:rsidR="007E301D" w:rsidRPr="007E301D" w:rsidRDefault="005A5AD9"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97129D">
              <w:rPr>
                <w:sz w:val="20"/>
                <w:szCs w:val="20"/>
                <w:lang w:eastAsia="sk-SK"/>
              </w:rPr>
              <w:t>6 178 371</w:t>
            </w:r>
          </w:p>
        </w:tc>
        <w:tc>
          <w:tcPr>
            <w:tcW w:w="1473" w:type="dxa"/>
          </w:tcPr>
          <w:p w14:paraId="7BED1346" w14:textId="630ED037" w:rsidR="007E301D" w:rsidRPr="007E301D" w:rsidRDefault="005A5AD9"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97129D">
              <w:rPr>
                <w:sz w:val="20"/>
                <w:szCs w:val="20"/>
                <w:lang w:eastAsia="sk-SK"/>
              </w:rPr>
              <w:t>98 623 753</w:t>
            </w:r>
          </w:p>
        </w:tc>
        <w:tc>
          <w:tcPr>
            <w:tcW w:w="1474" w:type="dxa"/>
          </w:tcPr>
          <w:p w14:paraId="51094F0D" w14:textId="70EA8597" w:rsidR="007E301D" w:rsidRPr="007E301D" w:rsidRDefault="005A5AD9"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97129D">
              <w:rPr>
                <w:sz w:val="20"/>
                <w:szCs w:val="20"/>
                <w:lang w:eastAsia="sk-SK"/>
              </w:rPr>
              <w:t>1993 - 2018</w:t>
            </w:r>
          </w:p>
        </w:tc>
      </w:tr>
      <w:tr w:rsidR="007E301D" w:rsidRPr="007E301D" w14:paraId="3F7751BC" w14:textId="77777777" w:rsidTr="007F53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 w:type="dxa"/>
          </w:tcPr>
          <w:p w14:paraId="1529E96F" w14:textId="77777777" w:rsidR="007E301D" w:rsidRPr="007E301D" w:rsidRDefault="007E301D" w:rsidP="00CB5A52">
            <w:pPr>
              <w:spacing w:line="360" w:lineRule="auto"/>
              <w:jc w:val="center"/>
              <w:rPr>
                <w:sz w:val="20"/>
                <w:szCs w:val="20"/>
                <w:lang w:eastAsia="sk-SK"/>
              </w:rPr>
            </w:pPr>
            <w:r w:rsidRPr="007E301D">
              <w:rPr>
                <w:sz w:val="20"/>
                <w:szCs w:val="20"/>
                <w:lang w:eastAsia="sk-SK"/>
              </w:rPr>
              <w:t>Nejvyšší soud</w:t>
            </w:r>
          </w:p>
        </w:tc>
        <w:tc>
          <w:tcPr>
            <w:tcW w:w="1473" w:type="dxa"/>
          </w:tcPr>
          <w:p w14:paraId="03ECF269" w14:textId="1F39CB4D" w:rsidR="007E301D" w:rsidRPr="007E301D" w:rsidRDefault="005A5AD9"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97129D">
              <w:rPr>
                <w:sz w:val="20"/>
                <w:szCs w:val="20"/>
                <w:lang w:eastAsia="sk-SK"/>
              </w:rPr>
              <w:t>111 977</w:t>
            </w:r>
          </w:p>
        </w:tc>
        <w:tc>
          <w:tcPr>
            <w:tcW w:w="1473" w:type="dxa"/>
          </w:tcPr>
          <w:p w14:paraId="341C6AA1" w14:textId="673D400E" w:rsidR="007E301D" w:rsidRPr="007E301D" w:rsidRDefault="005A5AD9"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97129D">
              <w:rPr>
                <w:sz w:val="20"/>
                <w:szCs w:val="20"/>
                <w:lang w:eastAsia="sk-SK"/>
              </w:rPr>
              <w:t>23 699 639</w:t>
            </w:r>
          </w:p>
        </w:tc>
        <w:tc>
          <w:tcPr>
            <w:tcW w:w="1473" w:type="dxa"/>
          </w:tcPr>
          <w:p w14:paraId="41337D14" w14:textId="64917F03" w:rsidR="007E301D" w:rsidRPr="007E301D" w:rsidRDefault="005A5AD9"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97129D">
              <w:rPr>
                <w:sz w:val="20"/>
                <w:szCs w:val="20"/>
                <w:lang w:eastAsia="sk-SK"/>
              </w:rPr>
              <w:t>224 061 129</w:t>
            </w:r>
          </w:p>
        </w:tc>
        <w:tc>
          <w:tcPr>
            <w:tcW w:w="1474" w:type="dxa"/>
          </w:tcPr>
          <w:p w14:paraId="6F5232E4" w14:textId="70F11A81" w:rsidR="007E301D" w:rsidRPr="007E301D" w:rsidRDefault="005A5AD9"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97129D">
              <w:rPr>
                <w:sz w:val="20"/>
                <w:szCs w:val="20"/>
                <w:lang w:eastAsia="sk-SK"/>
              </w:rPr>
              <w:t>1993 - 2018</w:t>
            </w:r>
          </w:p>
        </w:tc>
      </w:tr>
      <w:tr w:rsidR="007E301D" w:rsidRPr="007E301D" w14:paraId="018E1224" w14:textId="77777777" w:rsidTr="007F5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 w:type="dxa"/>
          </w:tcPr>
          <w:p w14:paraId="5F876B57" w14:textId="77777777" w:rsidR="007E301D" w:rsidRPr="007E301D" w:rsidRDefault="007E301D" w:rsidP="00CB5A52">
            <w:pPr>
              <w:spacing w:line="360" w:lineRule="auto"/>
              <w:jc w:val="center"/>
              <w:rPr>
                <w:sz w:val="20"/>
                <w:szCs w:val="20"/>
                <w:lang w:eastAsia="sk-SK"/>
              </w:rPr>
            </w:pPr>
            <w:r w:rsidRPr="007E301D">
              <w:rPr>
                <w:sz w:val="20"/>
                <w:szCs w:val="20"/>
                <w:lang w:eastAsia="sk-SK"/>
              </w:rPr>
              <w:t>Nejvyšší správní soud</w:t>
            </w:r>
          </w:p>
        </w:tc>
        <w:tc>
          <w:tcPr>
            <w:tcW w:w="1473" w:type="dxa"/>
          </w:tcPr>
          <w:p w14:paraId="692DE4D6" w14:textId="3BC86DE7" w:rsidR="007E301D" w:rsidRPr="007E301D" w:rsidRDefault="005A5AD9"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97129D">
              <w:rPr>
                <w:sz w:val="20"/>
                <w:szCs w:val="20"/>
                <w:lang w:eastAsia="sk-SK"/>
              </w:rPr>
              <w:t>52 660</w:t>
            </w:r>
          </w:p>
        </w:tc>
        <w:tc>
          <w:tcPr>
            <w:tcW w:w="1473" w:type="dxa"/>
          </w:tcPr>
          <w:p w14:paraId="20B0C5BA" w14:textId="21665376" w:rsidR="007E301D" w:rsidRPr="007E301D" w:rsidRDefault="005A5AD9"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97129D">
              <w:rPr>
                <w:sz w:val="20"/>
                <w:szCs w:val="20"/>
                <w:lang w:eastAsia="sk-SK"/>
              </w:rPr>
              <w:t>18 069 993</w:t>
            </w:r>
          </w:p>
        </w:tc>
        <w:tc>
          <w:tcPr>
            <w:tcW w:w="1473" w:type="dxa"/>
          </w:tcPr>
          <w:p w14:paraId="389E3E32" w14:textId="5F5FACFA" w:rsidR="007E301D" w:rsidRPr="007E301D" w:rsidRDefault="005A5AD9"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97129D">
              <w:rPr>
                <w:sz w:val="20"/>
                <w:szCs w:val="20"/>
                <w:lang w:eastAsia="sk-SK"/>
              </w:rPr>
              <w:t>137 839 985</w:t>
            </w:r>
          </w:p>
        </w:tc>
        <w:tc>
          <w:tcPr>
            <w:tcW w:w="1474" w:type="dxa"/>
          </w:tcPr>
          <w:p w14:paraId="29C4E4E6" w14:textId="6535BF49" w:rsidR="007E301D" w:rsidRPr="007E301D" w:rsidRDefault="005A5AD9"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97129D">
              <w:rPr>
                <w:sz w:val="20"/>
                <w:szCs w:val="20"/>
                <w:lang w:eastAsia="sk-SK"/>
              </w:rPr>
              <w:t>2003 - 2018</w:t>
            </w:r>
          </w:p>
        </w:tc>
      </w:tr>
      <w:tr w:rsidR="007E301D" w:rsidRPr="007E301D" w14:paraId="2356C670" w14:textId="77777777" w:rsidTr="007F53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 w:type="dxa"/>
          </w:tcPr>
          <w:p w14:paraId="425AA69A" w14:textId="716FCC07" w:rsidR="007E301D" w:rsidRPr="007E301D" w:rsidRDefault="0097129D" w:rsidP="00CB5A52">
            <w:pPr>
              <w:spacing w:line="360" w:lineRule="auto"/>
              <w:jc w:val="center"/>
              <w:rPr>
                <w:sz w:val="20"/>
                <w:szCs w:val="20"/>
                <w:lang w:eastAsia="sk-SK"/>
              </w:rPr>
            </w:pPr>
            <w:r>
              <w:rPr>
                <w:sz w:val="20"/>
                <w:szCs w:val="20"/>
                <w:lang w:eastAsia="sk-SK"/>
              </w:rPr>
              <w:lastRenderedPageBreak/>
              <w:t>Celkem</w:t>
            </w:r>
          </w:p>
        </w:tc>
        <w:tc>
          <w:tcPr>
            <w:tcW w:w="1473" w:type="dxa"/>
          </w:tcPr>
          <w:p w14:paraId="2AB62C47" w14:textId="0C3FB96C" w:rsidR="007E301D" w:rsidRPr="007E301D" w:rsidRDefault="005A5AD9"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97129D">
              <w:rPr>
                <w:sz w:val="20"/>
                <w:szCs w:val="20"/>
                <w:lang w:eastAsia="sk-SK"/>
              </w:rPr>
              <w:t>237 723</w:t>
            </w:r>
          </w:p>
        </w:tc>
        <w:tc>
          <w:tcPr>
            <w:tcW w:w="1473" w:type="dxa"/>
          </w:tcPr>
          <w:p w14:paraId="29CD65ED" w14:textId="302460A1" w:rsidR="007E301D" w:rsidRPr="007E301D" w:rsidRDefault="005A5AD9"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97129D">
              <w:rPr>
                <w:sz w:val="20"/>
                <w:szCs w:val="20"/>
                <w:lang w:eastAsia="sk-SK"/>
              </w:rPr>
              <w:t>47 948 003</w:t>
            </w:r>
          </w:p>
        </w:tc>
        <w:tc>
          <w:tcPr>
            <w:tcW w:w="1473" w:type="dxa"/>
          </w:tcPr>
          <w:p w14:paraId="47CC0F89" w14:textId="6C14D89D" w:rsidR="007E301D" w:rsidRPr="007E301D" w:rsidRDefault="005A5AD9"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97129D">
              <w:rPr>
                <w:sz w:val="20"/>
                <w:szCs w:val="20"/>
                <w:lang w:eastAsia="sk-SK"/>
              </w:rPr>
              <w:t>460 524 867</w:t>
            </w:r>
          </w:p>
        </w:tc>
        <w:tc>
          <w:tcPr>
            <w:tcW w:w="1474" w:type="dxa"/>
          </w:tcPr>
          <w:p w14:paraId="7A7CDDD2" w14:textId="3D19B596" w:rsidR="007E301D" w:rsidRPr="007E301D" w:rsidRDefault="005A5AD9"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97129D">
              <w:rPr>
                <w:sz w:val="20"/>
                <w:szCs w:val="20"/>
                <w:lang w:eastAsia="sk-SK"/>
              </w:rPr>
              <w:t>-</w:t>
            </w:r>
          </w:p>
        </w:tc>
      </w:tr>
    </w:tbl>
    <w:p w14:paraId="32FDF896" w14:textId="0FDB55CE" w:rsidR="00CF77D9" w:rsidRDefault="00CF77D9" w:rsidP="007E301D">
      <w:pPr>
        <w:pStyle w:val="Dalodstavce"/>
        <w:ind w:firstLine="0"/>
      </w:pPr>
    </w:p>
    <w:p w14:paraId="60D90CE9" w14:textId="0B93FABB" w:rsidR="00732468" w:rsidRDefault="00732468" w:rsidP="00732468">
      <w:pPr>
        <w:pStyle w:val="Dalodstavce"/>
      </w:pPr>
      <w:r>
        <w:t xml:space="preserve">Jak bylo uvedeno, tento korpus obsahuje rozhodnutí tří nejvyšších soudů, nicméně ne všechna rozhodnutí </w:t>
      </w:r>
      <w:r w:rsidR="00A83676">
        <w:t>těchto</w:t>
      </w:r>
      <w:r>
        <w:t xml:space="preserve"> soudů byla využita v každém dílčím experimentu. V práci s metodami citační síťové analýzy z pohledu teoreticko-právního jsem v rámci autorského kolektivu pracovala s citacemi všech tří soudů, protože účelem byl obecný přehled práce s relevantními předchozími rozhodnutími a obecně citační praxí.</w:t>
      </w:r>
    </w:p>
    <w:p w14:paraId="01D13FBC" w14:textId="1D9CAAAB" w:rsidR="00732468" w:rsidRDefault="00732468" w:rsidP="00732468">
      <w:pPr>
        <w:pStyle w:val="Dalodstavce"/>
      </w:pPr>
      <w:r>
        <w:t xml:space="preserve">V případě aplikace metod za účelem vyhledávání soudních rozhodnutí </w:t>
      </w:r>
      <w:r w:rsidR="003C1187">
        <w:t>v dílčích experimentech hledání sémanticky podobných rozhodnutí</w:t>
      </w:r>
      <w:r w:rsidR="003C1187">
        <w:rPr>
          <w:rStyle w:val="Znakapoznpodarou"/>
        </w:rPr>
        <w:footnoteReference w:id="142"/>
      </w:r>
      <w:r w:rsidR="003C1187">
        <w:t xml:space="preserve"> a modelování témat</w:t>
      </w:r>
      <w:r w:rsidR="003C1187">
        <w:rPr>
          <w:rStyle w:val="Znakapoznpodarou"/>
        </w:rPr>
        <w:footnoteReference w:id="143"/>
      </w:r>
      <w:r>
        <w:t xml:space="preserve"> </w:t>
      </w:r>
      <w:r w:rsidR="003C1187">
        <w:t>jsem se zaměřila</w:t>
      </w:r>
      <w:r>
        <w:t xml:space="preserve"> pouze na dílčí dataset rozhodnutí Nejvyššího soudu. Detailně budou důvody této volby popsány v metodologickém popisu konkrétních metod v následující kapitole, východiskem bylo to, že dané modely strojového učení poskytují smysluplné výsledky na koherentním datasetu rozhodnutí</w:t>
      </w:r>
      <w:r w:rsidR="003C1187">
        <w:t>, proto musel být experiment zúžen rozhodnutí jediného soudu. Současně je korpus rozhodnutí Nejvyššího soudu největší v počtu dokumentů a obsahuje tematicky nejširší paletu rozhodnutí. Experiment s citační síťovou analýzou</w:t>
      </w:r>
      <w:r w:rsidR="003C1187">
        <w:rPr>
          <w:rStyle w:val="Znakapoznpodarou"/>
        </w:rPr>
        <w:footnoteReference w:id="144"/>
      </w:r>
      <w:r w:rsidR="003C1187">
        <w:t xml:space="preserve"> a stejně tak popis citační sítě</w:t>
      </w:r>
      <w:r w:rsidR="003C1187">
        <w:rPr>
          <w:rStyle w:val="Znakapoznpodarou"/>
        </w:rPr>
        <w:footnoteReference w:id="145"/>
      </w:r>
      <w:r w:rsidR="003C1187">
        <w:t xml:space="preserve"> byl proveden se všemi třemi sub-korpusy rozhodnutí.</w:t>
      </w:r>
    </w:p>
    <w:p w14:paraId="6A537FC9" w14:textId="6D35E95B" w:rsidR="00732468" w:rsidRDefault="00732468">
      <w:pPr>
        <w:pStyle w:val="Nadpis3"/>
        <w:numPr>
          <w:ilvl w:val="2"/>
          <w:numId w:val="14"/>
        </w:numPr>
      </w:pPr>
      <w:r>
        <w:t>Czech Court Citations Dataset</w:t>
      </w:r>
    </w:p>
    <w:p w14:paraId="48463E38" w14:textId="356DAD4C" w:rsidR="00732468" w:rsidRDefault="00732468" w:rsidP="00732468">
      <w:pPr>
        <w:pStyle w:val="Odstavec1"/>
      </w:pPr>
      <w:r>
        <w:t xml:space="preserve">V rámci práce s citacemi soudů vznikl dále také dataset citačních dat těchto soudů s názvem </w:t>
      </w:r>
      <w:r w:rsidRPr="00573C64">
        <w:rPr>
          <w:i/>
          <w:iCs/>
        </w:rPr>
        <w:t>Czech Court Citations Dataset</w:t>
      </w:r>
      <w:r>
        <w:t>.</w:t>
      </w:r>
      <w:r>
        <w:rPr>
          <w:rStyle w:val="Znakapoznpodarou"/>
        </w:rPr>
        <w:footnoteReference w:id="146"/>
      </w:r>
      <w:r>
        <w:t xml:space="preserve"> Tento dataset obsahuje citační data extrahovaná z rozhodnutí obsažených v CzCDC. Skládá se z CSV souborů obsahujících jednotlivé řádky s citacemi, </w:t>
      </w:r>
      <w:r w:rsidR="00573C64">
        <w:t>jež</w:t>
      </w:r>
      <w:r>
        <w:t xml:space="preserve"> obsahují základní metadata ve stejném formátu jako CzCDC, to znamená identifikace rozhodnutí, ze kterého vede citace a směrem na </w:t>
      </w:r>
      <w:r w:rsidR="00573C64">
        <w:t xml:space="preserve">to </w:t>
      </w:r>
      <w:r>
        <w:t xml:space="preserve">které rozhodnutí. Obě tato rozhodnutí jsou definována spisovou značkou či číslem </w:t>
      </w:r>
      <w:r>
        <w:lastRenderedPageBreak/>
        <w:t xml:space="preserve">jednacím, datem publikace, názvem příslušného textového souboru a identifikací soudu. Citace jsou rozděleny do dílčích souborů dle soudů, od kterých a kam citace směřuje (např. </w:t>
      </w:r>
      <w:r w:rsidR="00573C64">
        <w:t>„</w:t>
      </w:r>
      <w:r>
        <w:t>SupCo-ref-ConCo.csv” znamená seznam všech referencí směřujících z rozhodnutí Nejvyššího soudu na rozhodnutí Ústavního soudu)</w:t>
      </w:r>
      <w:r w:rsidR="009E15B7">
        <w:t>.</w:t>
      </w:r>
      <w:r w:rsidR="000121E9">
        <w:t xml:space="preserve"> Tento dataset byl také publikován formou open access k dalšímu výzkumnému užití.</w:t>
      </w:r>
      <w:r w:rsidR="000121E9">
        <w:rPr>
          <w:rStyle w:val="Znakapoznpodarou"/>
        </w:rPr>
        <w:footnoteReference w:id="147"/>
      </w:r>
    </w:p>
    <w:p w14:paraId="4347FBED" w14:textId="77777777" w:rsidR="009E15B7" w:rsidRDefault="009E15B7" w:rsidP="009E15B7">
      <w:pPr>
        <w:pStyle w:val="Dalodstavce"/>
      </w:pPr>
      <w:r>
        <w:t>Dataset obsahuje tři typy CSV souborů, které lze rozpoznat dle koncovek v názvech:</w:t>
      </w:r>
    </w:p>
    <w:p w14:paraId="3B988FA2" w14:textId="17261A07" w:rsidR="009E15B7" w:rsidRDefault="009E15B7">
      <w:pPr>
        <w:pStyle w:val="Dalodstavce"/>
        <w:numPr>
          <w:ilvl w:val="0"/>
          <w:numId w:val="22"/>
        </w:numPr>
      </w:pPr>
      <w:r>
        <w:t xml:space="preserve">soubory bez specifické koncovky (propojené), kde každá reference obsahuje všechna metadata u obou rozhodnutí, co definují referenci (např. </w:t>
      </w:r>
      <w:r w:rsidR="00573C64">
        <w:t>„</w:t>
      </w:r>
      <w:r>
        <w:t>SupCo-ref-ConCo.csv”),</w:t>
      </w:r>
    </w:p>
    <w:p w14:paraId="66CB2034" w14:textId="104CDDBB" w:rsidR="009E15B7" w:rsidRDefault="009E15B7">
      <w:pPr>
        <w:pStyle w:val="Dalodstavce"/>
        <w:numPr>
          <w:ilvl w:val="0"/>
          <w:numId w:val="22"/>
        </w:numPr>
      </w:pPr>
      <w:r>
        <w:t xml:space="preserve">soubory s koncovkou </w:t>
      </w:r>
      <w:r w:rsidR="00573C64">
        <w:t>„</w:t>
      </w:r>
      <w:r>
        <w:t xml:space="preserve">-unlinked” (nepropojené), kde známe všechna metadata rozhodnutí, ze kterého reference směřuje, ale pouze spisovou značku rozhodnutí, na které reference směřuje (např. </w:t>
      </w:r>
      <w:r w:rsidR="00573C64">
        <w:t>„</w:t>
      </w:r>
      <w:r>
        <w:t>SupCo-ref-ConCo-unlinked.csv”),</w:t>
      </w:r>
    </w:p>
    <w:p w14:paraId="58386FD0" w14:textId="64CB235C" w:rsidR="009E15B7" w:rsidRDefault="009E15B7">
      <w:pPr>
        <w:pStyle w:val="Dalodstavce"/>
        <w:numPr>
          <w:ilvl w:val="0"/>
          <w:numId w:val="22"/>
        </w:numPr>
      </w:pPr>
      <w:r>
        <w:t xml:space="preserve">soubory s koncovkou </w:t>
      </w:r>
      <w:r w:rsidR="00573C64">
        <w:t>„</w:t>
      </w:r>
      <w:r>
        <w:t xml:space="preserve">-rest”, obsahující reference jakéhokoliv jiného dokumentu jakékoliv instituce mimo těchto tří soudů (např. rozhodnutí mezinárodních či evropských soudů, nižších soudů, jiných veřejných institucí atd., značeno jako </w:t>
      </w:r>
      <w:r w:rsidR="00573C64">
        <w:t>„</w:t>
      </w:r>
      <w:r>
        <w:t>SupCo-ref-rest.csv”).</w:t>
      </w:r>
    </w:p>
    <w:p w14:paraId="2246F6DA" w14:textId="061AC240" w:rsidR="009E15B7" w:rsidRDefault="009E15B7" w:rsidP="009E15B7">
      <w:pPr>
        <w:pStyle w:val="Dalodstavce"/>
      </w:pPr>
      <w:r>
        <w:t xml:space="preserve">Poněkud neintuitivní rozdělení referencí na </w:t>
      </w:r>
      <w:r w:rsidR="00573C64">
        <w:t>„</w:t>
      </w:r>
      <w:r>
        <w:t xml:space="preserve">propojené” a </w:t>
      </w:r>
      <w:r w:rsidR="00573C64">
        <w:t>„</w:t>
      </w:r>
      <w:r>
        <w:t>nepropojené” je způsobeno tím, že ne u všech referencí jsme byli schopni se dopátrat k cílovému rozhodnutí v rámci CzCDC, který byl použit k extrakci citací tak, abychom získali všechna příslušná metadata. Zjednodušeně to znamená, že např. soud citoval rozhodnutí, které je mimo rozsah tohoto korpusu, tj. starší či z jiného důvodu nezahrnuté do korpusu</w:t>
      </w:r>
      <w:r w:rsidR="00573C64">
        <w:t>,</w:t>
      </w:r>
      <w:r>
        <w:t xml:space="preserve"> anebo je v citaci překlep či chyba. Současně </w:t>
      </w:r>
      <w:r w:rsidR="00573C64">
        <w:t xml:space="preserve">je </w:t>
      </w:r>
      <w:r>
        <w:t>k některým úkonům nutné znát všechna metadata na obou stranách citace (např. analyzujeme-li i kontext citací</w:t>
      </w:r>
      <w:r>
        <w:rPr>
          <w:rStyle w:val="Znakapoznpodarou"/>
        </w:rPr>
        <w:footnoteReference w:id="148"/>
      </w:r>
      <w:r>
        <w:t>), k některým úkonům ale stačí pouhá spisová značka</w:t>
      </w:r>
      <w:r>
        <w:rPr>
          <w:rStyle w:val="Znakapoznpodarou"/>
        </w:rPr>
        <w:footnoteReference w:id="149"/>
      </w:r>
      <w:r>
        <w:t>. Proto jsme se rozhodli uveřejnit CSV seznamy referencí v obou kategoriích.</w:t>
      </w:r>
    </w:p>
    <w:p w14:paraId="62B56F2B" w14:textId="2693E50B" w:rsidR="009E15B7" w:rsidRDefault="009E15B7" w:rsidP="009E15B7">
      <w:pPr>
        <w:pStyle w:val="Dalodstavce"/>
      </w:pPr>
      <w:r>
        <w:lastRenderedPageBreak/>
        <w:t>Základní statistiky korpusu jsou následující:</w:t>
      </w:r>
    </w:p>
    <w:p w14:paraId="6FF67E6E" w14:textId="56AAF0AA" w:rsidR="0097129D" w:rsidRDefault="0097129D" w:rsidP="00953CD9">
      <w:pPr>
        <w:pStyle w:val="Titulektabulky"/>
      </w:pPr>
      <w:bookmarkStart w:id="33" w:name="_Toc126874206"/>
      <w:r>
        <w:t xml:space="preserve">Tab. </w:t>
      </w:r>
      <w:r>
        <w:rPr>
          <w:noProof/>
        </w:rPr>
        <w:fldChar w:fldCharType="begin"/>
      </w:r>
      <w:r>
        <w:rPr>
          <w:noProof/>
        </w:rPr>
        <w:instrText xml:space="preserve"> SEQ Tab. \* ARABIC </w:instrText>
      </w:r>
      <w:r>
        <w:rPr>
          <w:noProof/>
        </w:rPr>
        <w:fldChar w:fldCharType="separate"/>
      </w:r>
      <w:r>
        <w:rPr>
          <w:noProof/>
        </w:rPr>
        <w:t>2</w:t>
      </w:r>
      <w:r>
        <w:rPr>
          <w:noProof/>
        </w:rPr>
        <w:fldChar w:fldCharType="end"/>
      </w:r>
      <w:r>
        <w:t xml:space="preserve">: Statistika citací obsažených v Czech Court Citations Dataset – </w:t>
      </w:r>
      <w:r w:rsidR="00D65567">
        <w:t>ne</w:t>
      </w:r>
      <w:r>
        <w:t>propojené</w:t>
      </w:r>
      <w:bookmarkEnd w:id="33"/>
    </w:p>
    <w:tbl>
      <w:tblPr>
        <w:tblStyle w:val="ZPTabulka"/>
        <w:tblW w:w="0" w:type="auto"/>
        <w:tblLook w:val="04A0" w:firstRow="1" w:lastRow="0" w:firstColumn="1" w:lastColumn="0" w:noHBand="0" w:noVBand="1"/>
      </w:tblPr>
      <w:tblGrid>
        <w:gridCol w:w="1539"/>
        <w:gridCol w:w="1473"/>
        <w:gridCol w:w="1473"/>
        <w:gridCol w:w="1539"/>
        <w:gridCol w:w="1342"/>
      </w:tblGrid>
      <w:tr w:rsidR="001C4F51" w14:paraId="54918EFB" w14:textId="2C4A120B" w:rsidTr="00D655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9" w:type="dxa"/>
          </w:tcPr>
          <w:p w14:paraId="10B38CE9" w14:textId="041D447C" w:rsidR="001C4F51" w:rsidRDefault="001C4F51" w:rsidP="00953CD9">
            <w:pPr>
              <w:pStyle w:val="Titulektabulky"/>
            </w:pPr>
            <w:r>
              <w:t>Soud</w:t>
            </w:r>
          </w:p>
        </w:tc>
        <w:tc>
          <w:tcPr>
            <w:tcW w:w="1473" w:type="dxa"/>
          </w:tcPr>
          <w:p w14:paraId="53318F19" w14:textId="78816701" w:rsidR="001C4F51" w:rsidRDefault="001C4F51" w:rsidP="00953CD9">
            <w:pPr>
              <w:pStyle w:val="Titulektabulky"/>
              <w:cnfStyle w:val="100000000000" w:firstRow="1" w:lastRow="0" w:firstColumn="0" w:lastColumn="0" w:oddVBand="0" w:evenVBand="0" w:oddHBand="0" w:evenHBand="0" w:firstRowFirstColumn="0" w:firstRowLastColumn="0" w:lastRowFirstColumn="0" w:lastRowLastColumn="0"/>
            </w:pPr>
            <w:r>
              <w:t>Ústavní soud</w:t>
            </w:r>
          </w:p>
        </w:tc>
        <w:tc>
          <w:tcPr>
            <w:tcW w:w="1473" w:type="dxa"/>
          </w:tcPr>
          <w:p w14:paraId="2F4BA4B9" w14:textId="22925757" w:rsidR="001C4F51" w:rsidRDefault="001C4F51" w:rsidP="00953CD9">
            <w:pPr>
              <w:pStyle w:val="Titulektabulky"/>
              <w:cnfStyle w:val="100000000000" w:firstRow="1" w:lastRow="0" w:firstColumn="0" w:lastColumn="0" w:oddVBand="0" w:evenVBand="0" w:oddHBand="0" w:evenHBand="0" w:firstRowFirstColumn="0" w:firstRowLastColumn="0" w:lastRowFirstColumn="0" w:lastRowLastColumn="0"/>
            </w:pPr>
            <w:r>
              <w:t>Nejvyšší soud</w:t>
            </w:r>
          </w:p>
        </w:tc>
        <w:tc>
          <w:tcPr>
            <w:tcW w:w="1539" w:type="dxa"/>
          </w:tcPr>
          <w:p w14:paraId="03FB239A" w14:textId="3C409768" w:rsidR="001C4F51" w:rsidRDefault="001C4F51" w:rsidP="00953CD9">
            <w:pPr>
              <w:pStyle w:val="Titulektabulky"/>
              <w:cnfStyle w:val="100000000000" w:firstRow="1" w:lastRow="0" w:firstColumn="0" w:lastColumn="0" w:oddVBand="0" w:evenVBand="0" w:oddHBand="0" w:evenHBand="0" w:firstRowFirstColumn="0" w:firstRowLastColumn="0" w:lastRowFirstColumn="0" w:lastRowLastColumn="0"/>
            </w:pPr>
            <w:r>
              <w:t>Nejvyšší správní soud</w:t>
            </w:r>
          </w:p>
        </w:tc>
        <w:tc>
          <w:tcPr>
            <w:tcW w:w="1342" w:type="dxa"/>
          </w:tcPr>
          <w:p w14:paraId="30A2FEAC" w14:textId="57D6E0F8" w:rsidR="001C4F51" w:rsidRDefault="001C4F51" w:rsidP="00953CD9">
            <w:pPr>
              <w:pStyle w:val="Titulektabulky"/>
              <w:cnfStyle w:val="100000000000" w:firstRow="1" w:lastRow="0" w:firstColumn="0" w:lastColumn="0" w:oddVBand="0" w:evenVBand="0" w:oddHBand="0" w:evenHBand="0" w:firstRowFirstColumn="0" w:firstRowLastColumn="0" w:lastRowFirstColumn="0" w:lastRowLastColumn="0"/>
            </w:pPr>
            <w:r>
              <w:t>Ostatní</w:t>
            </w:r>
          </w:p>
        </w:tc>
      </w:tr>
      <w:tr w:rsidR="001C4F51" w14:paraId="3721E518" w14:textId="7810DBAE" w:rsidTr="00D6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9" w:type="dxa"/>
          </w:tcPr>
          <w:p w14:paraId="6F270A53" w14:textId="1E8381B5" w:rsidR="001C4F51" w:rsidRDefault="001C4F51" w:rsidP="00953CD9">
            <w:pPr>
              <w:pStyle w:val="Titulektabulky"/>
            </w:pPr>
            <w:r>
              <w:t>Ústavní soud cituje</w:t>
            </w:r>
          </w:p>
        </w:tc>
        <w:tc>
          <w:tcPr>
            <w:tcW w:w="1473" w:type="dxa"/>
          </w:tcPr>
          <w:p w14:paraId="47C3F582" w14:textId="6EAE0353" w:rsidR="001C4F51" w:rsidRDefault="001C4F51" w:rsidP="00953CD9">
            <w:pPr>
              <w:pStyle w:val="Titulektabulky"/>
              <w:cnfStyle w:val="000000100000" w:firstRow="0" w:lastRow="0" w:firstColumn="0" w:lastColumn="0" w:oddVBand="0" w:evenVBand="0" w:oddHBand="1" w:evenHBand="0" w:firstRowFirstColumn="0" w:firstRowLastColumn="0" w:lastRowFirstColumn="0" w:lastRowLastColumn="0"/>
            </w:pPr>
            <w:r w:rsidRPr="001C4F51">
              <w:t>137 308</w:t>
            </w:r>
          </w:p>
        </w:tc>
        <w:tc>
          <w:tcPr>
            <w:tcW w:w="1473" w:type="dxa"/>
          </w:tcPr>
          <w:p w14:paraId="43AE50AC" w14:textId="4F3A327F" w:rsidR="001C4F51" w:rsidRDefault="001C4F51" w:rsidP="00953CD9">
            <w:pPr>
              <w:pStyle w:val="Titulektabulky"/>
              <w:cnfStyle w:val="000000100000" w:firstRow="0" w:lastRow="0" w:firstColumn="0" w:lastColumn="0" w:oddVBand="0" w:evenVBand="0" w:oddHBand="1" w:evenHBand="0" w:firstRowFirstColumn="0" w:firstRowLastColumn="0" w:lastRowFirstColumn="0" w:lastRowLastColumn="0"/>
            </w:pPr>
            <w:r w:rsidRPr="001C4F51">
              <w:t>8 486</w:t>
            </w:r>
          </w:p>
        </w:tc>
        <w:tc>
          <w:tcPr>
            <w:tcW w:w="1539" w:type="dxa"/>
          </w:tcPr>
          <w:p w14:paraId="1159A52A" w14:textId="17A28984" w:rsidR="001C4F51" w:rsidRDefault="001C4F51" w:rsidP="00953CD9">
            <w:pPr>
              <w:pStyle w:val="Titulektabulky"/>
              <w:cnfStyle w:val="000000100000" w:firstRow="0" w:lastRow="0" w:firstColumn="0" w:lastColumn="0" w:oddVBand="0" w:evenVBand="0" w:oddHBand="1" w:evenHBand="0" w:firstRowFirstColumn="0" w:firstRowLastColumn="0" w:lastRowFirstColumn="0" w:lastRowLastColumn="0"/>
            </w:pPr>
            <w:r w:rsidRPr="001C4F51">
              <w:t>2 877</w:t>
            </w:r>
          </w:p>
        </w:tc>
        <w:tc>
          <w:tcPr>
            <w:tcW w:w="1342" w:type="dxa"/>
          </w:tcPr>
          <w:p w14:paraId="39C8A230" w14:textId="76DA4A3D" w:rsidR="001C4F51" w:rsidRPr="001C4F51" w:rsidRDefault="001C4F51" w:rsidP="00953CD9">
            <w:pPr>
              <w:pStyle w:val="Titulektabulky"/>
              <w:cnfStyle w:val="000000100000" w:firstRow="0" w:lastRow="0" w:firstColumn="0" w:lastColumn="0" w:oddVBand="0" w:evenVBand="0" w:oddHBand="1" w:evenHBand="0" w:firstRowFirstColumn="0" w:firstRowLastColumn="0" w:lastRowFirstColumn="0" w:lastRowLastColumn="0"/>
            </w:pPr>
            <w:r w:rsidRPr="001C4F51">
              <w:t>45 689</w:t>
            </w:r>
          </w:p>
        </w:tc>
      </w:tr>
      <w:tr w:rsidR="001C4F51" w14:paraId="58E3D956" w14:textId="6102EE91" w:rsidTr="00D65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9" w:type="dxa"/>
          </w:tcPr>
          <w:p w14:paraId="2A5EA356" w14:textId="61A83478" w:rsidR="001C4F51" w:rsidRDefault="001C4F51" w:rsidP="00953CD9">
            <w:pPr>
              <w:pStyle w:val="Titulektabulky"/>
            </w:pPr>
            <w:r>
              <w:t>Nejvyšší soud cituje</w:t>
            </w:r>
          </w:p>
        </w:tc>
        <w:tc>
          <w:tcPr>
            <w:tcW w:w="1473" w:type="dxa"/>
          </w:tcPr>
          <w:p w14:paraId="0BACD703" w14:textId="1269BB0C" w:rsidR="001C4F51" w:rsidRDefault="001C4F51" w:rsidP="00953CD9">
            <w:pPr>
              <w:pStyle w:val="Titulektabulky"/>
              <w:cnfStyle w:val="000000010000" w:firstRow="0" w:lastRow="0" w:firstColumn="0" w:lastColumn="0" w:oddVBand="0" w:evenVBand="0" w:oddHBand="0" w:evenHBand="1" w:firstRowFirstColumn="0" w:firstRowLastColumn="0" w:lastRowFirstColumn="0" w:lastRowLastColumn="0"/>
            </w:pPr>
            <w:r w:rsidRPr="001C4F51">
              <w:t>80 658</w:t>
            </w:r>
          </w:p>
        </w:tc>
        <w:tc>
          <w:tcPr>
            <w:tcW w:w="1473" w:type="dxa"/>
          </w:tcPr>
          <w:p w14:paraId="00C14D7C" w14:textId="131B85EF" w:rsidR="001C4F51" w:rsidRDefault="001C4F51" w:rsidP="00953CD9">
            <w:pPr>
              <w:pStyle w:val="Titulektabulky"/>
              <w:cnfStyle w:val="000000010000" w:firstRow="0" w:lastRow="0" w:firstColumn="0" w:lastColumn="0" w:oddVBand="0" w:evenVBand="0" w:oddHBand="0" w:evenHBand="1" w:firstRowFirstColumn="0" w:firstRowLastColumn="0" w:lastRowFirstColumn="0" w:lastRowLastColumn="0"/>
            </w:pPr>
            <w:r w:rsidRPr="001C4F51">
              <w:t>153 242</w:t>
            </w:r>
          </w:p>
        </w:tc>
        <w:tc>
          <w:tcPr>
            <w:tcW w:w="1539" w:type="dxa"/>
          </w:tcPr>
          <w:p w14:paraId="12C634CA" w14:textId="6FF3B632" w:rsidR="001C4F51" w:rsidRDefault="001C4F51" w:rsidP="00953CD9">
            <w:pPr>
              <w:pStyle w:val="Titulektabulky"/>
              <w:cnfStyle w:val="000000010000" w:firstRow="0" w:lastRow="0" w:firstColumn="0" w:lastColumn="0" w:oddVBand="0" w:evenVBand="0" w:oddHBand="0" w:evenHBand="1" w:firstRowFirstColumn="0" w:firstRowLastColumn="0" w:lastRowFirstColumn="0" w:lastRowLastColumn="0"/>
            </w:pPr>
            <w:r w:rsidRPr="001C4F51">
              <w:t>804</w:t>
            </w:r>
          </w:p>
        </w:tc>
        <w:tc>
          <w:tcPr>
            <w:tcW w:w="1342" w:type="dxa"/>
          </w:tcPr>
          <w:p w14:paraId="4887166E" w14:textId="15FBC920" w:rsidR="001C4F51" w:rsidRPr="001C4F51" w:rsidRDefault="001C4F51" w:rsidP="00953CD9">
            <w:pPr>
              <w:pStyle w:val="Titulektabulky"/>
              <w:cnfStyle w:val="000000010000" w:firstRow="0" w:lastRow="0" w:firstColumn="0" w:lastColumn="0" w:oddVBand="0" w:evenVBand="0" w:oddHBand="0" w:evenHBand="1" w:firstRowFirstColumn="0" w:firstRowLastColumn="0" w:lastRowFirstColumn="0" w:lastRowLastColumn="0"/>
            </w:pPr>
            <w:r w:rsidRPr="001C4F51">
              <w:t>112 287</w:t>
            </w:r>
          </w:p>
        </w:tc>
      </w:tr>
      <w:tr w:rsidR="001C4F51" w14:paraId="6859FF50" w14:textId="01744711" w:rsidTr="00D6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9" w:type="dxa"/>
          </w:tcPr>
          <w:p w14:paraId="3815A72D" w14:textId="53524022" w:rsidR="001C4F51" w:rsidRDefault="001C4F51" w:rsidP="00953CD9">
            <w:pPr>
              <w:pStyle w:val="Titulektabulky"/>
            </w:pPr>
            <w:r>
              <w:t>Nejvyšší správní soud</w:t>
            </w:r>
          </w:p>
        </w:tc>
        <w:tc>
          <w:tcPr>
            <w:tcW w:w="1473" w:type="dxa"/>
          </w:tcPr>
          <w:p w14:paraId="31BB2CEF" w14:textId="2A11D8E8" w:rsidR="001C4F51" w:rsidRDefault="001C4F51" w:rsidP="00953CD9">
            <w:pPr>
              <w:pStyle w:val="Titulektabulky"/>
              <w:cnfStyle w:val="000000100000" w:firstRow="0" w:lastRow="0" w:firstColumn="0" w:lastColumn="0" w:oddVBand="0" w:evenVBand="0" w:oddHBand="1" w:evenHBand="0" w:firstRowFirstColumn="0" w:firstRowLastColumn="0" w:lastRowFirstColumn="0" w:lastRowLastColumn="0"/>
            </w:pPr>
            <w:r w:rsidRPr="001C4F51">
              <w:t>14 756</w:t>
            </w:r>
          </w:p>
        </w:tc>
        <w:tc>
          <w:tcPr>
            <w:tcW w:w="1473" w:type="dxa"/>
          </w:tcPr>
          <w:p w14:paraId="74B7A084" w14:textId="6DD92FB2" w:rsidR="001C4F51" w:rsidRDefault="001C4F51" w:rsidP="00953CD9">
            <w:pPr>
              <w:pStyle w:val="Titulektabulky"/>
              <w:cnfStyle w:val="000000100000" w:firstRow="0" w:lastRow="0" w:firstColumn="0" w:lastColumn="0" w:oddVBand="0" w:evenVBand="0" w:oddHBand="1" w:evenHBand="0" w:firstRowFirstColumn="0" w:firstRowLastColumn="0" w:lastRowFirstColumn="0" w:lastRowLastColumn="0"/>
            </w:pPr>
            <w:r w:rsidRPr="001C4F51">
              <w:t>1 342</w:t>
            </w:r>
          </w:p>
        </w:tc>
        <w:tc>
          <w:tcPr>
            <w:tcW w:w="1539" w:type="dxa"/>
          </w:tcPr>
          <w:p w14:paraId="4395E409" w14:textId="7474040D" w:rsidR="001C4F51" w:rsidRDefault="001C4F51" w:rsidP="00953CD9">
            <w:pPr>
              <w:pStyle w:val="Titulektabulky"/>
              <w:cnfStyle w:val="000000100000" w:firstRow="0" w:lastRow="0" w:firstColumn="0" w:lastColumn="0" w:oddVBand="0" w:evenVBand="0" w:oddHBand="1" w:evenHBand="0" w:firstRowFirstColumn="0" w:firstRowLastColumn="0" w:lastRowFirstColumn="0" w:lastRowLastColumn="0"/>
            </w:pPr>
            <w:r w:rsidRPr="001C4F51">
              <w:t>90 217</w:t>
            </w:r>
          </w:p>
        </w:tc>
        <w:tc>
          <w:tcPr>
            <w:tcW w:w="1342" w:type="dxa"/>
          </w:tcPr>
          <w:p w14:paraId="64D70721" w14:textId="30C081CE" w:rsidR="001C4F51" w:rsidRPr="001C4F51" w:rsidRDefault="001C4F51" w:rsidP="00953CD9">
            <w:pPr>
              <w:pStyle w:val="Titulektabulky"/>
              <w:cnfStyle w:val="000000100000" w:firstRow="0" w:lastRow="0" w:firstColumn="0" w:lastColumn="0" w:oddVBand="0" w:evenVBand="0" w:oddHBand="1" w:evenHBand="0" w:firstRowFirstColumn="0" w:firstRowLastColumn="0" w:lastRowFirstColumn="0" w:lastRowLastColumn="0"/>
            </w:pPr>
            <w:r w:rsidRPr="001C4F51">
              <w:t>20 709</w:t>
            </w:r>
          </w:p>
        </w:tc>
      </w:tr>
    </w:tbl>
    <w:p w14:paraId="7EA776BE" w14:textId="34162297" w:rsidR="009E15B7" w:rsidRDefault="009E15B7" w:rsidP="0097129D">
      <w:pPr>
        <w:pStyle w:val="Dalodstavce"/>
        <w:ind w:firstLine="0"/>
      </w:pPr>
    </w:p>
    <w:p w14:paraId="67FE732C" w14:textId="5E2C80F4" w:rsidR="00D65567" w:rsidRDefault="00D65567" w:rsidP="00953CD9">
      <w:pPr>
        <w:pStyle w:val="Titulektabulky"/>
      </w:pPr>
      <w:bookmarkStart w:id="34" w:name="_Toc126874207"/>
      <w:r>
        <w:t xml:space="preserve">Tab. </w:t>
      </w:r>
      <w:r>
        <w:rPr>
          <w:noProof/>
        </w:rPr>
        <w:fldChar w:fldCharType="begin"/>
      </w:r>
      <w:r>
        <w:rPr>
          <w:noProof/>
        </w:rPr>
        <w:instrText xml:space="preserve"> SEQ Tab. \* ARABIC </w:instrText>
      </w:r>
      <w:r>
        <w:rPr>
          <w:noProof/>
        </w:rPr>
        <w:fldChar w:fldCharType="separate"/>
      </w:r>
      <w:r>
        <w:rPr>
          <w:noProof/>
        </w:rPr>
        <w:t>3</w:t>
      </w:r>
      <w:r>
        <w:rPr>
          <w:noProof/>
        </w:rPr>
        <w:fldChar w:fldCharType="end"/>
      </w:r>
      <w:r>
        <w:t>: Statistika citací obsažených v Czech Court Citations Dataset - propojené</w:t>
      </w:r>
      <w:bookmarkEnd w:id="34"/>
    </w:p>
    <w:tbl>
      <w:tblPr>
        <w:tblStyle w:val="ZPTabulka"/>
        <w:tblW w:w="0" w:type="auto"/>
        <w:tblLook w:val="04A0" w:firstRow="1" w:lastRow="0" w:firstColumn="1" w:lastColumn="0" w:noHBand="0" w:noVBand="1"/>
      </w:tblPr>
      <w:tblGrid>
        <w:gridCol w:w="1841"/>
        <w:gridCol w:w="1841"/>
        <w:gridCol w:w="1842"/>
        <w:gridCol w:w="1842"/>
      </w:tblGrid>
      <w:tr w:rsidR="00D65567" w:rsidRPr="00D65567" w14:paraId="08206D9D" w14:textId="77777777" w:rsidTr="00D655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0C6C4289" w14:textId="7A054FAF" w:rsidR="00D65567" w:rsidRPr="00D65567" w:rsidRDefault="00D65567" w:rsidP="00CB5A52">
            <w:pPr>
              <w:spacing w:line="360" w:lineRule="auto"/>
              <w:jc w:val="center"/>
              <w:rPr>
                <w:sz w:val="20"/>
                <w:szCs w:val="20"/>
                <w:lang w:eastAsia="sk-SK"/>
              </w:rPr>
            </w:pPr>
            <w:r w:rsidRPr="00D65567">
              <w:rPr>
                <w:sz w:val="20"/>
                <w:szCs w:val="20"/>
                <w:lang w:eastAsia="sk-SK"/>
              </w:rPr>
              <w:t>Soud</w:t>
            </w:r>
          </w:p>
        </w:tc>
        <w:tc>
          <w:tcPr>
            <w:tcW w:w="1841" w:type="dxa"/>
          </w:tcPr>
          <w:p w14:paraId="30412F41" w14:textId="668562A8" w:rsidR="00D65567" w:rsidRPr="00D65567" w:rsidRDefault="00D65567" w:rsidP="00CB5A52">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D65567">
              <w:rPr>
                <w:sz w:val="20"/>
                <w:szCs w:val="20"/>
                <w:lang w:eastAsia="sk-SK"/>
              </w:rPr>
              <w:t>Ústavní soud</w:t>
            </w:r>
          </w:p>
        </w:tc>
        <w:tc>
          <w:tcPr>
            <w:tcW w:w="1842" w:type="dxa"/>
          </w:tcPr>
          <w:p w14:paraId="4FBE8DE7" w14:textId="29D13648" w:rsidR="00D65567" w:rsidRPr="00D65567" w:rsidRDefault="00D65567" w:rsidP="00CB5A52">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D65567">
              <w:rPr>
                <w:sz w:val="20"/>
                <w:szCs w:val="20"/>
                <w:lang w:eastAsia="sk-SK"/>
              </w:rPr>
              <w:t>Nejvyšší soud</w:t>
            </w:r>
          </w:p>
        </w:tc>
        <w:tc>
          <w:tcPr>
            <w:tcW w:w="1842" w:type="dxa"/>
          </w:tcPr>
          <w:p w14:paraId="5C56C716" w14:textId="0D8D37BA" w:rsidR="00D65567" w:rsidRPr="00D65567" w:rsidRDefault="00D65567" w:rsidP="00CB5A52">
            <w:pPr>
              <w:spacing w:line="360" w:lineRule="auto"/>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D65567">
              <w:rPr>
                <w:sz w:val="20"/>
                <w:szCs w:val="20"/>
                <w:lang w:eastAsia="sk-SK"/>
              </w:rPr>
              <w:t>Nejvyšší správní soud</w:t>
            </w:r>
          </w:p>
        </w:tc>
      </w:tr>
      <w:tr w:rsidR="00D65567" w:rsidRPr="00D65567" w14:paraId="52DC7917" w14:textId="77777777" w:rsidTr="00D6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5F19D29C" w14:textId="628EC471" w:rsidR="00D65567" w:rsidRPr="00D65567" w:rsidRDefault="00D65567" w:rsidP="00CB5A52">
            <w:pPr>
              <w:spacing w:line="360" w:lineRule="auto"/>
              <w:jc w:val="center"/>
              <w:rPr>
                <w:sz w:val="20"/>
                <w:szCs w:val="20"/>
                <w:lang w:eastAsia="sk-SK"/>
              </w:rPr>
            </w:pPr>
            <w:r w:rsidRPr="00D65567">
              <w:rPr>
                <w:sz w:val="20"/>
                <w:szCs w:val="20"/>
                <w:lang w:eastAsia="sk-SK"/>
              </w:rPr>
              <w:t>Ústavní soud cituje</w:t>
            </w:r>
          </w:p>
        </w:tc>
        <w:tc>
          <w:tcPr>
            <w:tcW w:w="1841" w:type="dxa"/>
          </w:tcPr>
          <w:p w14:paraId="7CB19BCF" w14:textId="600910FF" w:rsidR="00D65567" w:rsidRPr="00D65567" w:rsidRDefault="00D65567"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65567">
              <w:rPr>
                <w:sz w:val="20"/>
                <w:szCs w:val="20"/>
                <w:lang w:eastAsia="sk-SK"/>
              </w:rPr>
              <w:t>133 148</w:t>
            </w:r>
          </w:p>
        </w:tc>
        <w:tc>
          <w:tcPr>
            <w:tcW w:w="1842" w:type="dxa"/>
          </w:tcPr>
          <w:p w14:paraId="44B35F0B" w14:textId="400E039E" w:rsidR="00D65567" w:rsidRPr="00D65567" w:rsidRDefault="00D65567"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65567">
              <w:rPr>
                <w:sz w:val="20"/>
                <w:szCs w:val="20"/>
                <w:lang w:eastAsia="sk-SK"/>
              </w:rPr>
              <w:t>7 474</w:t>
            </w:r>
          </w:p>
        </w:tc>
        <w:tc>
          <w:tcPr>
            <w:tcW w:w="1842" w:type="dxa"/>
          </w:tcPr>
          <w:p w14:paraId="3051F2CD" w14:textId="34596748" w:rsidR="00D65567" w:rsidRPr="00D65567" w:rsidRDefault="00D65567"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65567">
              <w:rPr>
                <w:sz w:val="20"/>
                <w:szCs w:val="20"/>
                <w:lang w:eastAsia="sk-SK"/>
              </w:rPr>
              <w:t>2 168</w:t>
            </w:r>
          </w:p>
        </w:tc>
      </w:tr>
      <w:tr w:rsidR="00D65567" w:rsidRPr="00D65567" w14:paraId="008841BF" w14:textId="77777777" w:rsidTr="00D655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6F1E404B" w14:textId="2A502C5C" w:rsidR="00D65567" w:rsidRPr="00D65567" w:rsidRDefault="00D65567" w:rsidP="00CB5A52">
            <w:pPr>
              <w:spacing w:line="360" w:lineRule="auto"/>
              <w:jc w:val="center"/>
              <w:rPr>
                <w:b w:val="0"/>
                <w:sz w:val="20"/>
                <w:szCs w:val="20"/>
                <w:lang w:eastAsia="sk-SK"/>
              </w:rPr>
            </w:pPr>
            <w:r w:rsidRPr="00D65567">
              <w:rPr>
                <w:sz w:val="20"/>
                <w:szCs w:val="20"/>
                <w:lang w:eastAsia="sk-SK"/>
              </w:rPr>
              <w:t>Nejvyšší soud cituje</w:t>
            </w:r>
          </w:p>
        </w:tc>
        <w:tc>
          <w:tcPr>
            <w:tcW w:w="1841" w:type="dxa"/>
          </w:tcPr>
          <w:p w14:paraId="76956E63" w14:textId="49C44D3E" w:rsidR="00D65567" w:rsidRPr="00D65567" w:rsidRDefault="00D65567"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D65567">
              <w:rPr>
                <w:sz w:val="20"/>
                <w:szCs w:val="20"/>
                <w:lang w:eastAsia="sk-SK"/>
              </w:rPr>
              <w:t>76 003</w:t>
            </w:r>
          </w:p>
        </w:tc>
        <w:tc>
          <w:tcPr>
            <w:tcW w:w="1842" w:type="dxa"/>
          </w:tcPr>
          <w:p w14:paraId="5DB8B098" w14:textId="70DE0D6B" w:rsidR="00D65567" w:rsidRPr="00D65567" w:rsidRDefault="00D65567"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D65567">
              <w:rPr>
                <w:sz w:val="20"/>
                <w:szCs w:val="20"/>
                <w:lang w:eastAsia="sk-SK"/>
              </w:rPr>
              <w:t>140 355</w:t>
            </w:r>
          </w:p>
        </w:tc>
        <w:tc>
          <w:tcPr>
            <w:tcW w:w="1842" w:type="dxa"/>
          </w:tcPr>
          <w:p w14:paraId="115B8EF7" w14:textId="577BC1A2" w:rsidR="00D65567" w:rsidRPr="00D65567" w:rsidRDefault="00D65567" w:rsidP="00CB5A52">
            <w:pPr>
              <w:spacing w:line="360" w:lineRule="auto"/>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D65567">
              <w:rPr>
                <w:sz w:val="20"/>
                <w:szCs w:val="20"/>
                <w:lang w:eastAsia="sk-SK"/>
              </w:rPr>
              <w:t>658</w:t>
            </w:r>
          </w:p>
        </w:tc>
      </w:tr>
      <w:tr w:rsidR="00D65567" w:rsidRPr="00D65567" w14:paraId="3679EC0C" w14:textId="77777777" w:rsidTr="00D655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064EEFB7" w14:textId="701AE77B" w:rsidR="00D65567" w:rsidRPr="00D65567" w:rsidRDefault="00D65567" w:rsidP="00CB5A52">
            <w:pPr>
              <w:spacing w:line="360" w:lineRule="auto"/>
              <w:jc w:val="center"/>
              <w:rPr>
                <w:sz w:val="20"/>
                <w:szCs w:val="20"/>
                <w:lang w:eastAsia="sk-SK"/>
              </w:rPr>
            </w:pPr>
            <w:r w:rsidRPr="00D65567">
              <w:rPr>
                <w:sz w:val="20"/>
                <w:szCs w:val="20"/>
                <w:lang w:eastAsia="sk-SK"/>
              </w:rPr>
              <w:t>Nejvyšší správní soud cituje</w:t>
            </w:r>
          </w:p>
        </w:tc>
        <w:tc>
          <w:tcPr>
            <w:tcW w:w="1841" w:type="dxa"/>
          </w:tcPr>
          <w:p w14:paraId="1D4F0338" w14:textId="13BFC9AE" w:rsidR="00D65567" w:rsidRPr="00D65567" w:rsidRDefault="00D65567"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65567">
              <w:rPr>
                <w:sz w:val="20"/>
                <w:szCs w:val="20"/>
                <w:lang w:eastAsia="sk-SK"/>
              </w:rPr>
              <w:t>13 473</w:t>
            </w:r>
          </w:p>
        </w:tc>
        <w:tc>
          <w:tcPr>
            <w:tcW w:w="1842" w:type="dxa"/>
          </w:tcPr>
          <w:p w14:paraId="7B3B421B" w14:textId="53022D91" w:rsidR="00D65567" w:rsidRPr="00D65567" w:rsidRDefault="00D65567"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65567">
              <w:rPr>
                <w:sz w:val="20"/>
                <w:szCs w:val="20"/>
                <w:lang w:eastAsia="sk-SK"/>
              </w:rPr>
              <w:t>1 191</w:t>
            </w:r>
          </w:p>
        </w:tc>
        <w:tc>
          <w:tcPr>
            <w:tcW w:w="1842" w:type="dxa"/>
          </w:tcPr>
          <w:p w14:paraId="2B6400A8" w14:textId="6BB46E17" w:rsidR="00D65567" w:rsidRPr="00D65567" w:rsidRDefault="00D65567" w:rsidP="00CB5A52">
            <w:pPr>
              <w:spacing w:line="360" w:lineRule="auto"/>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D65567">
              <w:rPr>
                <w:sz w:val="20"/>
                <w:szCs w:val="20"/>
                <w:lang w:eastAsia="sk-SK"/>
              </w:rPr>
              <w:t>84 728</w:t>
            </w:r>
          </w:p>
        </w:tc>
      </w:tr>
    </w:tbl>
    <w:p w14:paraId="27955479" w14:textId="77777777" w:rsidR="00D65567" w:rsidRPr="00D65567" w:rsidRDefault="00D65567" w:rsidP="00EE22D1">
      <w:pPr>
        <w:jc w:val="center"/>
        <w:rPr>
          <w:sz w:val="20"/>
          <w:szCs w:val="20"/>
          <w:lang w:eastAsia="sk-SK"/>
        </w:rPr>
      </w:pPr>
    </w:p>
    <w:p w14:paraId="2392B7CD" w14:textId="717DC504" w:rsidR="009E15B7" w:rsidRDefault="009E15B7" w:rsidP="009E15B7">
      <w:pPr>
        <w:pStyle w:val="Dalodstavce"/>
      </w:pPr>
    </w:p>
    <w:p w14:paraId="00FC148E" w14:textId="77777777" w:rsidR="00D65567" w:rsidRDefault="00D65567" w:rsidP="009E15B7">
      <w:pPr>
        <w:pStyle w:val="Dalodstavce"/>
      </w:pPr>
    </w:p>
    <w:p w14:paraId="6C778751" w14:textId="63A1FAC6" w:rsidR="00CF77D9" w:rsidRDefault="009E15B7" w:rsidP="00CF77D9">
      <w:pPr>
        <w:pStyle w:val="Dalodstavce"/>
      </w:pPr>
      <w:r>
        <w:t xml:space="preserve">Pro vznik tohoto korpusu bylo nutné vytvořit dva nezbytné anotační datasety, na základě kterých byly natrénovány supervidované modely strojového učení pro segmentaci textů soudních rozhodnutí a pro </w:t>
      </w:r>
      <w:r>
        <w:lastRenderedPageBreak/>
        <w:t>extrakci referencí z příslušných segmentů rozhodnutí.</w:t>
      </w:r>
      <w:r>
        <w:rPr>
          <w:rStyle w:val="Znakapoznpodarou"/>
        </w:rPr>
        <w:footnoteReference w:id="150"/>
      </w:r>
      <w:r>
        <w:t xml:space="preserve"> Jedná se o </w:t>
      </w:r>
      <w:r w:rsidRPr="00C4563A">
        <w:rPr>
          <w:i/>
          <w:iCs/>
        </w:rPr>
        <w:t>Annotated Corpus of Czech Case Law for Segmentation Tasks</w:t>
      </w:r>
      <w:r>
        <w:rPr>
          <w:rStyle w:val="Znakapoznpodarou"/>
        </w:rPr>
        <w:footnoteReference w:id="151"/>
      </w:r>
      <w:r>
        <w:t xml:space="preserve"> a </w:t>
      </w:r>
      <w:r w:rsidRPr="00C4563A">
        <w:rPr>
          <w:i/>
          <w:iCs/>
        </w:rPr>
        <w:t>Annotated Corpus of Czech Case Law for Reference Recognition Tasks</w:t>
      </w:r>
      <w:r>
        <w:rPr>
          <w:rStyle w:val="Znakapoznpodarou"/>
        </w:rPr>
        <w:footnoteReference w:id="152"/>
      </w:r>
      <w:r>
        <w:t>. Teprve na základě těchto korpusů bylo možné získat citační data, která jsou dále užita pro dílčí experimenty pracující s citacemi i v této práci.</w:t>
      </w:r>
      <w:r w:rsidR="006B50C3">
        <w:t xml:space="preserve"> Oba tyto datasety byly autorskými týmy také publikovány jako </w:t>
      </w:r>
      <w:r w:rsidR="006B50C3" w:rsidRPr="006B50C3">
        <w:rPr>
          <w:i/>
          <w:iCs/>
        </w:rPr>
        <w:t>open access</w:t>
      </w:r>
      <w:r w:rsidR="006B50C3">
        <w:t>.</w:t>
      </w:r>
    </w:p>
    <w:p w14:paraId="10D23914" w14:textId="34197D62" w:rsidR="009E15B7" w:rsidRDefault="009E15B7">
      <w:pPr>
        <w:pStyle w:val="Nadpis2"/>
        <w:numPr>
          <w:ilvl w:val="1"/>
          <w:numId w:val="14"/>
        </w:numPr>
      </w:pPr>
      <w:bookmarkStart w:id="35" w:name="_Toc126909347"/>
      <w:r>
        <w:t>Metody</w:t>
      </w:r>
      <w:bookmarkEnd w:id="35"/>
    </w:p>
    <w:p w14:paraId="50EBE361" w14:textId="337E87B6" w:rsidR="009E15B7" w:rsidRDefault="009E15B7" w:rsidP="009E15B7">
      <w:pPr>
        <w:pStyle w:val="Odstavec1"/>
      </w:pPr>
      <w:r>
        <w:t>Jak bylo uvedeno výše, metodou rámující konkrétní metody zpracování přirozeného jazyka užité v dílčích experimentech této práce je síťová analýza. Tato byla zvolena zejména z důvodu, že obrací pozornost ze samostatných objektů zkoumání (obecně značen</w:t>
      </w:r>
      <w:r w:rsidR="00576A3C">
        <w:t>ých</w:t>
      </w:r>
      <w:r>
        <w:t xml:space="preserve"> jako entity) na vztahy mezi nimi. Zkoumání právě těchto vztahů je dle mého názoru přínosné jak pro analyzování teoreticko-právních otázek, tak pro zefektivnění vyhledávání soudních rozhodnutí.</w:t>
      </w:r>
      <w:r>
        <w:rPr>
          <w:rStyle w:val="Znakapoznpodarou"/>
        </w:rPr>
        <w:footnoteReference w:id="153"/>
      </w:r>
    </w:p>
    <w:p w14:paraId="05880EFE" w14:textId="605AC8CD" w:rsidR="009E15B7" w:rsidRDefault="009E15B7" w:rsidP="009E15B7">
      <w:pPr>
        <w:pStyle w:val="Dalodstavce"/>
      </w:pPr>
      <w:r>
        <w:t>Základní struktura této práce již byla nastíněna v úvodu a v definici výzkumných otázek</w:t>
      </w:r>
      <w:r>
        <w:rPr>
          <w:rStyle w:val="Znakapoznpodarou"/>
        </w:rPr>
        <w:footnoteReference w:id="154"/>
      </w:r>
      <w:r>
        <w:t xml:space="preserve"> a bude konkretizována zde a v následujících kapitolách. Práce je rozdělena na dvě metodologicky koherentní části</w:t>
      </w:r>
      <w:r w:rsidR="00576A3C">
        <w:t>, a to</w:t>
      </w:r>
      <w:r>
        <w:t xml:space="preserve"> dle účelu, ke kterým jsou metody síťové analýzy užity. Nejprve se jedná o zkoumání právně teoretických institutů, konkrétně </w:t>
      </w:r>
      <w:r w:rsidR="00576A3C">
        <w:t xml:space="preserve">popis </w:t>
      </w:r>
      <w:r>
        <w:t xml:space="preserve">citační praxe soudců Nejvyššího, Nejvyššího správního a Ústavního soudu. Za tímto účelem jsou použity metody síťové citační analýzy v užším smyslu, tedy metody zkoumající soudní rozhodnutí a citace mezi nimi jako síť. Jsou užity klasické statistické a síťové proměnné popisující tuto síť a tyto </w:t>
      </w:r>
      <w:r>
        <w:lastRenderedPageBreak/>
        <w:t xml:space="preserve">výsledky jsou poté </w:t>
      </w:r>
      <w:r w:rsidR="00576A3C">
        <w:t>zasazeny</w:t>
      </w:r>
      <w:r>
        <w:t xml:space="preserve"> do kontextu, avšak nejsou evaluovány, pouze porovnávány s relevantní literaturou.</w:t>
      </w:r>
    </w:p>
    <w:p w14:paraId="4FB3CA63" w14:textId="63791355" w:rsidR="009E15B7" w:rsidRDefault="009E15B7" w:rsidP="009E15B7">
      <w:pPr>
        <w:pStyle w:val="Dalodstavce"/>
      </w:pPr>
      <w:r>
        <w:t xml:space="preserve">Metodologickou strukturou druhé části této práce jsou čtyři experimenty prováděné na soudních rozhodnutích popsané jednotlivě v následujících kapitolách. Tři z těchto experimentů užívají </w:t>
      </w:r>
      <w:r w:rsidR="00576A3C">
        <w:t>odděleně</w:t>
      </w:r>
      <w:r>
        <w:t xml:space="preserve"> jednu ze zmíněných tří metod zpracování přirozeného jazyka, ve čtvrtém experimentu jsou metody zkombinovány. Každý z experimentů má za cíl odpovědět na jednu z výzkumných otázek uvedených v kapitole 2. Součástí každého z experimentů je aplikace vybrané metody na soudní rozhodnutí a následná evaluace výsledků této metody. Evaluační metodologie je zvolena jako manuální, tedy evaluace lidmi, zde konkrétně skupinou právních expertů. Pomocí evaluace je odpovídáno na výzkumné otázky a je zjišťováno, zda jsou zvolené metody vhodné pro vyhledávání soudních rozhodnutí.</w:t>
      </w:r>
    </w:p>
    <w:p w14:paraId="66F097ED" w14:textId="7F0468E1" w:rsidR="009E15B7" w:rsidRDefault="009E15B7" w:rsidP="009E15B7">
      <w:pPr>
        <w:pStyle w:val="Dalodstavce"/>
      </w:pPr>
      <w:r>
        <w:t>Metodami vybranými pro zpracování textů soudních rozhodnutí jsou citační síťová analýza (v užším smyslu), metoda zjišťování sémantické podobnosti dokumentů založené na jejich vektorové reprezentaci pomocí doc2vec modelu a metody modelování témat soudních rozhodnutí (latentní Dirichletova alokace a nezáporná maticová faktorizace). Tyto metody jsou dále zkombinovány v tzv. vícevrstvém přístupu ve čtvrtém experimentu. Každá z metod je podrobně popsána v následujících samostatných kapitolách.</w:t>
      </w:r>
    </w:p>
    <w:p w14:paraId="67388E1A" w14:textId="1A4A0ACD" w:rsidR="009E15B7" w:rsidRDefault="009E15B7">
      <w:pPr>
        <w:pStyle w:val="Nadpis2"/>
        <w:numPr>
          <w:ilvl w:val="1"/>
          <w:numId w:val="14"/>
        </w:numPr>
      </w:pPr>
      <w:bookmarkStart w:id="36" w:name="_Toc126909348"/>
      <w:r>
        <w:t>Evaluace metod</w:t>
      </w:r>
      <w:bookmarkEnd w:id="36"/>
    </w:p>
    <w:p w14:paraId="258D2135" w14:textId="01F53494" w:rsidR="009E15B7" w:rsidRDefault="009E15B7" w:rsidP="009E15B7">
      <w:pPr>
        <w:pStyle w:val="Odstavec1"/>
      </w:pPr>
      <w:r>
        <w:t>Dle obecné výzkumné otázky</w:t>
      </w:r>
      <w:r>
        <w:rPr>
          <w:rStyle w:val="Znakapoznpodarou"/>
        </w:rPr>
        <w:footnoteReference w:id="155"/>
      </w:r>
      <w:r>
        <w:t xml:space="preserve"> je účelem experimentů v této práci zjistit přesnost a vhodnost vybraných metod k vyhledávání právních informací. Za tímto účelem byly vybrány tři aktuální metody zpracování přirozeného jazyka, kterými v této práci zkoumám vztahy mezi právními dokumenty (soudními rozhodnutími), a které jsou teoreticky zarámovány síťovou analýzou. Každá z vybraných metod je však odlišná a tudíž vhodná k jinému úkonu vyhledávání právních informací. Odpovědi na výzkumné otázky, které byly položeny, však </w:t>
      </w:r>
      <w:r w:rsidR="00576A3C">
        <w:t>nespočívají</w:t>
      </w:r>
      <w:r>
        <w:t xml:space="preserve"> v metodách samotných, </w:t>
      </w:r>
      <w:r w:rsidR="00576A3C">
        <w:t>nýbrž</w:t>
      </w:r>
      <w:r>
        <w:t xml:space="preserve"> v jejich evaluaci.</w:t>
      </w:r>
    </w:p>
    <w:p w14:paraId="72E0CDA6" w14:textId="49BB8243" w:rsidR="009E15B7" w:rsidRDefault="009E15B7" w:rsidP="009E15B7">
      <w:pPr>
        <w:pStyle w:val="Dalodstavce"/>
      </w:pPr>
      <w:r>
        <w:t xml:space="preserve">Evaluace metod v softwarovém inženýrství je </w:t>
      </w:r>
      <w:r w:rsidR="00722756">
        <w:t xml:space="preserve">samostatný </w:t>
      </w:r>
      <w:r>
        <w:t xml:space="preserve">výzkumný směr, kombinující několik různých vědních oborů (datová </w:t>
      </w:r>
      <w:r>
        <w:lastRenderedPageBreak/>
        <w:t>analýza a statistika, sociologie či psychologie, informatika atd.) a je obvykle nezbytnou součástí vývoje jakéhokoliv softwaru či systému. Jak je uvedeno v práci Chelimski, „</w:t>
      </w:r>
      <w:r>
        <w:rPr>
          <w:i/>
          <w:iCs/>
        </w:rPr>
        <w:t>hodnocení systému je nezbytné ze tří hlavních důvodů: prokázání odpovědnosti, získání znalostí a zkušeností a zlepšení vývoje</w:t>
      </w:r>
      <w:r>
        <w:t>“</w:t>
      </w:r>
      <w:r>
        <w:rPr>
          <w:rStyle w:val="Znakapoznpodarou"/>
        </w:rPr>
        <w:footnoteReference w:id="156"/>
      </w:r>
      <w:r>
        <w:t xml:space="preserve">. Evaluace systému by měla standardně být krokem, který následuje </w:t>
      </w:r>
      <w:r w:rsidR="00722756">
        <w:t xml:space="preserve">po </w:t>
      </w:r>
      <w:r>
        <w:t>vývoji systému či určité jeho komplexní fáz</w:t>
      </w:r>
      <w:r w:rsidR="00722756">
        <w:t>i</w:t>
      </w:r>
      <w:r>
        <w:t xml:space="preserve"> a dává vývojáři zpětnou vazbu ohledně toho, nakolik systém splňuje požadovaný cíl. Současně se ale jedná o komplikovaný problém, který je závislý zejména na úspěšném vyřešení dvou problémů: správně nastaven</w:t>
      </w:r>
      <w:r w:rsidR="00722756">
        <w:t>é</w:t>
      </w:r>
      <w:r>
        <w:t xml:space="preserve"> metodologi</w:t>
      </w:r>
      <w:r w:rsidR="00722756">
        <w:t>i</w:t>
      </w:r>
      <w:r>
        <w:t xml:space="preserve"> evaluace (a to zejména v případě užití algoritmických evaluačních měřítek) a co největší eliminac</w:t>
      </w:r>
      <w:r w:rsidR="00722756">
        <w:t>i</w:t>
      </w:r>
      <w:r>
        <w:t xml:space="preserve"> subjektivní složky hodnocení (zejména v případě manuálního hodnocení systému). Stále je ale velmi častá situace, kdy software není hodnocen vůbec či jen velmi povrchním zhodnocením jeho vývojářem a to i přesto, že je důležitost hodnocení a porovnávání softwaru v odborné komunitě stále zdůrazňována. </w:t>
      </w:r>
    </w:p>
    <w:p w14:paraId="353E552A" w14:textId="77777777" w:rsidR="009E15B7" w:rsidRDefault="009E15B7" w:rsidP="009E15B7">
      <w:pPr>
        <w:pStyle w:val="Dalodstavce"/>
      </w:pPr>
      <w:r>
        <w:t>Podobný názor panuje i v komunitě práva a umělé inteligence, kde evaluace metod „</w:t>
      </w:r>
      <w:r>
        <w:rPr>
          <w:i/>
          <w:iCs/>
        </w:rPr>
        <w:t>je</w:t>
      </w:r>
      <w:r>
        <w:t xml:space="preserve"> </w:t>
      </w:r>
      <w:r>
        <w:rPr>
          <w:i/>
          <w:iCs/>
        </w:rPr>
        <w:t>známkou vyspělosti a nezbytné vědecké přísnosti</w:t>
      </w:r>
      <w:r>
        <w:t>“</w:t>
      </w:r>
      <w:r>
        <w:rPr>
          <w:rStyle w:val="Znakapoznpodarou"/>
        </w:rPr>
        <w:footnoteReference w:id="157"/>
      </w:r>
      <w:r>
        <w:t xml:space="preserve"> a „</w:t>
      </w:r>
      <w:r>
        <w:rPr>
          <w:i/>
          <w:iCs/>
        </w:rPr>
        <w:t>podporuje empirické hodnocení výzkumného úsilí jak kvalitativním, tak kvantitativním způsobem</w:t>
      </w:r>
      <w:r>
        <w:t>“</w:t>
      </w:r>
      <w:r>
        <w:rPr>
          <w:rStyle w:val="Znakapoznpodarou"/>
        </w:rPr>
        <w:footnoteReference w:id="158"/>
      </w:r>
      <w:r>
        <w:t>. Specifika odvětví práva a umělé inteligence a široká škála metod zde užívaných pak samozřejmě vyžadují různé evaluační metody a přístupy. Práce Conrada a Zeleznikowa</w:t>
      </w:r>
      <w:r>
        <w:rPr>
          <w:rStyle w:val="Znakapoznpodarou"/>
        </w:rPr>
        <w:footnoteReference w:id="159"/>
      </w:r>
      <w:r>
        <w:t xml:space="preserve"> a Halla a </w:t>
      </w:r>
      <w:r>
        <w:lastRenderedPageBreak/>
        <w:t>Zeleznikowa</w:t>
      </w:r>
      <w:r>
        <w:rPr>
          <w:rStyle w:val="Znakapoznpodarou"/>
        </w:rPr>
        <w:footnoteReference w:id="160"/>
      </w:r>
      <w:r>
        <w:t xml:space="preserve"> mapují četnost evaluace užitých metod v publikovaných výzkumech v odborném časopise </w:t>
      </w:r>
      <w:r>
        <w:rPr>
          <w:i/>
          <w:iCs/>
        </w:rPr>
        <w:t>Artificial Intelligence and Law</w:t>
      </w:r>
      <w:r>
        <w:rPr>
          <w:rStyle w:val="Znakapoznpodarou"/>
        </w:rPr>
        <w:footnoteReference w:id="161"/>
      </w:r>
      <w:r>
        <w:t xml:space="preserve"> a ve sbornících jedné z nejdůležitějších odborných konferencí v tomto oboru </w:t>
      </w:r>
      <w:r>
        <w:rPr>
          <w:i/>
          <w:iCs/>
        </w:rPr>
        <w:t>ICAIL: International Conference on Artificial Intelligence and Law</w:t>
      </w:r>
      <w:r>
        <w:rPr>
          <w:rStyle w:val="Znakapoznpodarou"/>
        </w:rPr>
        <w:footnoteReference w:id="162"/>
      </w:r>
      <w:r>
        <w:t>. V těchto třech sousledných studiích autoři mimo jiné kategorizují evaluace výzkumů do následujících šesti typů</w:t>
      </w:r>
      <w:r>
        <w:rPr>
          <w:rStyle w:val="Znakapoznpodarou"/>
        </w:rPr>
        <w:footnoteReference w:id="163"/>
      </w:r>
      <w:r>
        <w:t>:</w:t>
      </w:r>
    </w:p>
    <w:p w14:paraId="18703719" w14:textId="5BDA9D9A" w:rsidR="009E6DD1" w:rsidRDefault="009E6DD1" w:rsidP="0065287F">
      <w:pPr>
        <w:pStyle w:val="Dalodstavce"/>
        <w:numPr>
          <w:ilvl w:val="6"/>
          <w:numId w:val="28"/>
        </w:numPr>
      </w:pPr>
      <w:r>
        <w:t xml:space="preserve">Zlatý dataset: </w:t>
      </w:r>
      <w:r w:rsidR="007D7F7F">
        <w:t>hodnocení prováděné porovnáváním s daty získanými hodnocením experta v oboru</w:t>
      </w:r>
      <w:r>
        <w:t xml:space="preserve"> (např. klasifikační měření nebo měření přesnosti, </w:t>
      </w:r>
      <w:r w:rsidR="007D7F7F">
        <w:t>precision</w:t>
      </w:r>
      <w:r>
        <w:t xml:space="preserve">, </w:t>
      </w:r>
      <w:r w:rsidR="007D7F7F">
        <w:t>recall</w:t>
      </w:r>
      <w:r>
        <w:t>, F-skóre atd.);</w:t>
      </w:r>
    </w:p>
    <w:p w14:paraId="23FE822A" w14:textId="6CDD08C4" w:rsidR="009E6DD1" w:rsidRDefault="009E6DD1" w:rsidP="0065287F">
      <w:pPr>
        <w:pStyle w:val="Dalodstavce"/>
        <w:numPr>
          <w:ilvl w:val="6"/>
          <w:numId w:val="28"/>
        </w:numPr>
      </w:pPr>
      <w:r>
        <w:t xml:space="preserve">Statistické: </w:t>
      </w:r>
      <w:r w:rsidR="008B6DA2">
        <w:t xml:space="preserve">kvantitativní </w:t>
      </w:r>
      <w:r>
        <w:t xml:space="preserve">hodnocení prováděné s ohledem na </w:t>
      </w:r>
      <w:r w:rsidR="008B6DA2">
        <w:t>po</w:t>
      </w:r>
      <w:r>
        <w:t>rovnávací funkce (např. u metod učení bez učitel</w:t>
      </w:r>
      <w:r w:rsidR="008B6DA2">
        <w:t>e</w:t>
      </w:r>
      <w:r>
        <w:t xml:space="preserve"> kosinová podobnost atd.);</w:t>
      </w:r>
    </w:p>
    <w:p w14:paraId="75D4550E" w14:textId="76A62FA6" w:rsidR="009E6DD1" w:rsidRDefault="009E6DD1" w:rsidP="0065287F">
      <w:pPr>
        <w:pStyle w:val="Dalodstavce"/>
        <w:numPr>
          <w:ilvl w:val="6"/>
          <w:numId w:val="28"/>
        </w:numPr>
      </w:pPr>
      <w:r>
        <w:t xml:space="preserve">Manuální hodnocení: </w:t>
      </w:r>
      <w:r w:rsidR="008B6DA2">
        <w:t>výkon je hodnocen člověkem</w:t>
      </w:r>
      <w:r>
        <w:t>;</w:t>
      </w:r>
    </w:p>
    <w:p w14:paraId="6DCFE515" w14:textId="607EFB99" w:rsidR="009E6DD1" w:rsidRDefault="009E6DD1" w:rsidP="0065287F">
      <w:pPr>
        <w:pStyle w:val="Dalodstavce"/>
        <w:numPr>
          <w:ilvl w:val="6"/>
          <w:numId w:val="28"/>
        </w:numPr>
      </w:pPr>
      <w:r>
        <w:t xml:space="preserve">Algoritmické: </w:t>
      </w:r>
      <w:r w:rsidR="008B6DA2">
        <w:t xml:space="preserve">kvantitativní </w:t>
      </w:r>
      <w:r>
        <w:t>hodnocení se provádí z hlediska výkonnosti systému, např. multiagentního systému;</w:t>
      </w:r>
    </w:p>
    <w:p w14:paraId="5B943F27" w14:textId="02870603" w:rsidR="009E6DD1" w:rsidRDefault="009E6DD1" w:rsidP="0065287F">
      <w:pPr>
        <w:pStyle w:val="Dalodstavce"/>
        <w:numPr>
          <w:ilvl w:val="6"/>
          <w:numId w:val="28"/>
        </w:numPr>
      </w:pPr>
      <w:r>
        <w:t>Provozní použitelnost: posouzení provozních charakteristik systému nebo aspektů použitelnosti;</w:t>
      </w:r>
    </w:p>
    <w:p w14:paraId="146B2589" w14:textId="10FE4402" w:rsidR="009E6DD1" w:rsidRDefault="009E6DD1" w:rsidP="0065287F">
      <w:pPr>
        <w:pStyle w:val="Dalodstavce"/>
        <w:numPr>
          <w:ilvl w:val="6"/>
          <w:numId w:val="28"/>
        </w:numPr>
      </w:pPr>
      <w:r>
        <w:t>Ostatní: systémy s odlišnými formami hodnocení, které nejsou zahrnuty ve výše uvedených kategoriích.</w:t>
      </w:r>
    </w:p>
    <w:p w14:paraId="7F90F92E" w14:textId="6E2B0F48" w:rsidR="00A5101A" w:rsidRDefault="00A5101A" w:rsidP="009E6DD1">
      <w:pPr>
        <w:pStyle w:val="Dalodstavce"/>
      </w:pPr>
      <w:r>
        <w:t xml:space="preserve">Tyto studie jsou koncipovány jako metaanalýzy pracující s publikovanými výzkumy v citovaném časopise a sborníku, ve kterých zjišťují, jak častá je přítomnost evaluačního experimentu v publikacích a případně, jaká kategorie evaluace je obsažena. Zahrnuté publikace jsou děleny na </w:t>
      </w:r>
      <w:r>
        <w:lastRenderedPageBreak/>
        <w:t>empirické a teoretické, kde empirické studie jsou evaluovány do 5 kategorií dle přítomnosti či částečné přítomnosti evaluace. Z jejich zjištění plyne, že necelá polovina zkoumaných empirických výzkumů neobsahuje žádnou</w:t>
      </w:r>
      <w:r w:rsidR="00EA0B85">
        <w:t>,</w:t>
      </w:r>
      <w:r>
        <w:t xml:space="preserve"> a nebo obsahuje velmi základní evaluaci výsledků ve formě anekdotického zkoumání vybraného vzorku či základní diskuze nad výsledky. To je stále poměrně velká část výzkumu v tomto odvětví. Z evaluovaných studií je dále pouhých 22</w:t>
      </w:r>
      <w:r w:rsidR="00EA0B85">
        <w:t xml:space="preserve"> </w:t>
      </w:r>
      <w:r>
        <w:t>% evaluováno manuálně (kategorie 4)</w:t>
      </w:r>
      <w:r>
        <w:rPr>
          <w:rStyle w:val="Znakapoznpodarou"/>
        </w:rPr>
        <w:footnoteReference w:id="164"/>
      </w:r>
      <w:r>
        <w:t>, což je pro srovnání kategorie evaluace užitá v této práci.</w:t>
      </w:r>
      <w:r w:rsidR="00EA0B85">
        <w:t xml:space="preserve"> </w:t>
      </w:r>
      <w:r w:rsidR="003023B8">
        <w:t>Manuální evaluace je určitě nejvíce časově i finančně náročná, s</w:t>
      </w:r>
      <w:r w:rsidR="00EA0B85">
        <w:t xml:space="preserve">oučasně je ale v odvětví vyhledáváních právních informací nezbytná, protože poskytuje důležitá data o to, jak je metoda vnímána kognitivně a může odhalit některá úskalí, která mohou při evaluaci pomocí běžných kvantitativních metod zůstat skrytá. </w:t>
      </w:r>
      <w:r w:rsidR="003023B8">
        <w:t>Současně</w:t>
      </w:r>
      <w:r w:rsidR="00EA0B85">
        <w:t>, jak bude níže v této práci prokázáno, ne vždy kvantitativní měřítka odpovídají vnímání lidských hodnotitelů, což výrazně snižuje jejich validitu pro hodnocení metod.</w:t>
      </w:r>
      <w:r w:rsidR="00EA0B85">
        <w:rPr>
          <w:rStyle w:val="Znakapoznpodarou"/>
        </w:rPr>
        <w:footnoteReference w:id="165"/>
      </w:r>
      <w:r w:rsidR="003023B8">
        <w:t xml:space="preserve"> Představení dat z evaluace expertní skupinou a díky nim možnost porovnat metody a také poukázat na nesoulad s kvantitativními ukazateli považuji nejdůležitější výsledky tohoto výzkumu.</w:t>
      </w:r>
    </w:p>
    <w:p w14:paraId="77B45112" w14:textId="1BA6C647" w:rsidR="00A5101A" w:rsidRDefault="00A5101A" w:rsidP="00A5101A">
      <w:pPr>
        <w:pStyle w:val="Dalodstavce"/>
      </w:pPr>
      <w:r>
        <w:t>Všechny tři metody užité v této práci se běžně užívají ke zpracovávání obecného textu (jak bylo ukázáno v kapitole 4)</w:t>
      </w:r>
      <w:r w:rsidR="00722835">
        <w:t>,</w:t>
      </w:r>
      <w:r>
        <w:t xml:space="preserve"> a bývají tedy evaluovány v obecném jazyce</w:t>
      </w:r>
      <w:r w:rsidR="00722835">
        <w:t>.</w:t>
      </w:r>
      <w:r>
        <w:t xml:space="preserve"> </w:t>
      </w:r>
      <w:r w:rsidR="00722835">
        <w:t>V</w:t>
      </w:r>
      <w:r>
        <w:t xml:space="preserve">zhledem k doménově specifickému právnímu jazyku však nelze převzít bez dalšího jejich výsledky z experimentů prováděných s běžným jazykem. Druhým problematickým aspektem je čeština a nedostatek studií, které by těmito metodami zpracovávaly český text a vůči kterým by bylo možné výsledky v této práci porovnávat. Kombinace českého právního jazyka a dále např. </w:t>
      </w:r>
      <w:r w:rsidR="00722835">
        <w:t xml:space="preserve">též </w:t>
      </w:r>
      <w:r>
        <w:t>specifik struktury a jazyka soudních rozhodnutí pak vyžaduje k zjištění kvality metod a případnému obhájení či podpoře užití metod v praxi vlastní evaluaci.</w:t>
      </w:r>
    </w:p>
    <w:p w14:paraId="5B970704" w14:textId="5FCA1FDF" w:rsidR="00A5101A" w:rsidRDefault="00A5101A" w:rsidP="00A5101A">
      <w:pPr>
        <w:pStyle w:val="Dalodstavce"/>
      </w:pPr>
      <w:r>
        <w:t xml:space="preserve">Z těchto důvodů jsem se rozhodla zvolit manuální evaluaci právní expertní skupinou. Jedná se bezpochyby o jeden z časově a finančně nejnáročnějších způsobů evaluace, nicméně vzhledem k uvedené absenci srovnatelných studií, na </w:t>
      </w:r>
      <w:r w:rsidR="00722835">
        <w:t xml:space="preserve">jejichž </w:t>
      </w:r>
      <w:r>
        <w:t>základě</w:t>
      </w:r>
      <w:r w:rsidR="00722835">
        <w:t xml:space="preserve"> </w:t>
      </w:r>
      <w:r>
        <w:t xml:space="preserve">by bylo možné alespoň odhadovat přesnost výsledků, se jednalo v podstatě o nezbytný krok a snahu zaplnit tuto mezeru ve výzkumu. Absence srovnatelných studií však není jedinou motivací, cíl této práce je silně zaměřený na praktické použití </w:t>
      </w:r>
      <w:r>
        <w:lastRenderedPageBreak/>
        <w:t>metod pro vyhledávání právních informací (jak laiky, tak experty). Účelem tedy není teoretické zkoumání fungování metod v daných podmínkách či zjišťování a odhalování jejich funkčnosti vzhledem ke specifikům českého právního jazyka, spíše naopak – cílem je překonat tyto problémy a navrhnout metody s respektem k těmto specifikům tak, aby jejich výsledky byly validní pro potenciální uživatele systémů založených na těchto metodách – primárně právní experty a sekundárně i laickou veřejnost.</w:t>
      </w:r>
    </w:p>
    <w:p w14:paraId="6761A61F" w14:textId="44765AC2" w:rsidR="00602E26" w:rsidRDefault="00602E26">
      <w:pPr>
        <w:pStyle w:val="Nadpis3"/>
        <w:numPr>
          <w:ilvl w:val="2"/>
          <w:numId w:val="14"/>
        </w:numPr>
      </w:pPr>
      <w:r>
        <w:t>Evaluační metodologie</w:t>
      </w:r>
    </w:p>
    <w:p w14:paraId="0B84B04D" w14:textId="34FB0CDE" w:rsidR="00287644" w:rsidRDefault="00287644" w:rsidP="00287644">
      <w:pPr>
        <w:pStyle w:val="Odstavec1"/>
      </w:pPr>
      <w:r>
        <w:t xml:space="preserve">Pro správný design evaluačního experimentu je nutné nejprve definovat, co </w:t>
      </w:r>
      <w:r w:rsidR="00777435">
        <w:t xml:space="preserve">přesně </w:t>
      </w:r>
      <w:r>
        <w:t xml:space="preserve">bude evaluací ověřováno. V této práci je účelem evaluačních experimentů odpovědět na výzkumné otázky uvedené v kapitole 2. Ve výzkumných otázkách se ptám na </w:t>
      </w:r>
      <w:r>
        <w:rPr>
          <w:i/>
          <w:iCs/>
        </w:rPr>
        <w:t>vhodnost</w:t>
      </w:r>
      <w:r>
        <w:t xml:space="preserve"> zvolených metod pro vyhledávání právních informací (konkrétně soudních rozhodnutí). Za vhodnou metodu k vyhledávání soudních rozhodnutí lze považovat </w:t>
      </w:r>
      <w:r w:rsidR="00777435">
        <w:t xml:space="preserve">takovou </w:t>
      </w:r>
      <w:r>
        <w:t>metodu, která poskytuje přesné výsledky, tedy výsledky relevantní pro uživatele. Právě termín relevance je při vyhledávání informací klíčový, přesto je však komplikované ho řádně definovat. Tato práce staví na teoretických základech práce od Santos a Opijnena</w:t>
      </w:r>
      <w:r>
        <w:rPr>
          <w:rStyle w:val="Znakapoznpodarou"/>
        </w:rPr>
        <w:footnoteReference w:id="166"/>
      </w:r>
      <w:r>
        <w:t>, kteří v citované publikaci prezentují koncept relevance při vyhledávání právních informací a jeho kategorizaci. Přebírají definici od Saracevice</w:t>
      </w:r>
      <w:r>
        <w:rPr>
          <w:rStyle w:val="Znakapoznpodarou"/>
        </w:rPr>
        <w:footnoteReference w:id="167"/>
      </w:r>
      <w:r>
        <w:t xml:space="preserve">, </w:t>
      </w:r>
      <w:r w:rsidR="00777435">
        <w:t xml:space="preserve">jenž </w:t>
      </w:r>
      <w:r>
        <w:t>definuje relevanci informace jako „</w:t>
      </w:r>
      <w:r>
        <w:rPr>
          <w:i/>
          <w:iCs/>
        </w:rPr>
        <w:t>vztahující se k projednávané věci</w:t>
      </w:r>
      <w:r>
        <w:t>“, tedy jako vztah mezi počátečním problémem či věcí člověka (uživatele systému) a vyhledanou informací. Zmiňuje také důležitost kognitivního charakteru tohoto konceptu, tedy vždy ve vztahu k uživateli a jeho poznávacím schopnostem. Dále zdůrazňuje dynamiku relevance a její vývoj v čase a taky škálovatelnost měření tohoto pojmu, tedy konkrétně to, že informace může být „různě“ relevantní (a nejen relevantní nebo nerelevantní) a že relevance proto může mít srovnávací účel.</w:t>
      </w:r>
    </w:p>
    <w:p w14:paraId="2121FEBE" w14:textId="3BB00D66" w:rsidR="00287644" w:rsidRDefault="00992E93" w:rsidP="00287644">
      <w:pPr>
        <w:pStyle w:val="Dalodstavce"/>
      </w:pPr>
      <w:r>
        <w:t>Opijnen a Santos</w:t>
      </w:r>
      <w:r w:rsidR="00287644">
        <w:t xml:space="preserve"> v citované publikaci definují šest dimenzí relevance při vyhledávání právních informací – </w:t>
      </w:r>
      <w:r w:rsidR="00287644" w:rsidRPr="005720D8">
        <w:rPr>
          <w:i/>
          <w:iCs/>
        </w:rPr>
        <w:t>algoritmick</w:t>
      </w:r>
      <w:r w:rsidR="00777435" w:rsidRPr="005720D8">
        <w:rPr>
          <w:i/>
          <w:iCs/>
        </w:rPr>
        <w:t>ou</w:t>
      </w:r>
      <w:r w:rsidR="00287644">
        <w:t xml:space="preserve">, </w:t>
      </w:r>
      <w:r w:rsidR="00287644" w:rsidRPr="005720D8">
        <w:rPr>
          <w:i/>
          <w:iCs/>
        </w:rPr>
        <w:t>bibliografick</w:t>
      </w:r>
      <w:r w:rsidR="00777435" w:rsidRPr="005720D8">
        <w:rPr>
          <w:i/>
          <w:iCs/>
        </w:rPr>
        <w:t>ou</w:t>
      </w:r>
      <w:r w:rsidR="00287644">
        <w:t xml:space="preserve">, </w:t>
      </w:r>
      <w:r w:rsidR="00287644" w:rsidRPr="005720D8">
        <w:rPr>
          <w:i/>
          <w:iCs/>
        </w:rPr>
        <w:t>tematick</w:t>
      </w:r>
      <w:r w:rsidR="00777435" w:rsidRPr="005720D8">
        <w:rPr>
          <w:i/>
          <w:iCs/>
        </w:rPr>
        <w:t>ou</w:t>
      </w:r>
      <w:r w:rsidR="00287644">
        <w:t xml:space="preserve">, </w:t>
      </w:r>
      <w:r w:rsidR="00287644" w:rsidRPr="005720D8">
        <w:rPr>
          <w:i/>
          <w:iCs/>
        </w:rPr>
        <w:t>kognitivní</w:t>
      </w:r>
      <w:r w:rsidR="00287644">
        <w:t xml:space="preserve">, </w:t>
      </w:r>
      <w:r w:rsidR="00287644" w:rsidRPr="005720D8">
        <w:rPr>
          <w:i/>
          <w:iCs/>
        </w:rPr>
        <w:t>situační</w:t>
      </w:r>
      <w:r w:rsidR="00287644">
        <w:t xml:space="preserve"> a </w:t>
      </w:r>
      <w:r w:rsidR="00287644" w:rsidRPr="005720D8">
        <w:rPr>
          <w:i/>
          <w:iCs/>
        </w:rPr>
        <w:t>doménov</w:t>
      </w:r>
      <w:r w:rsidR="00777435" w:rsidRPr="005720D8">
        <w:rPr>
          <w:i/>
          <w:iCs/>
        </w:rPr>
        <w:t>ou</w:t>
      </w:r>
      <w:r w:rsidR="00287644" w:rsidRPr="005720D8">
        <w:rPr>
          <w:i/>
          <w:iCs/>
        </w:rPr>
        <w:t xml:space="preserve"> relevanc</w:t>
      </w:r>
      <w:r w:rsidR="00777435" w:rsidRPr="005720D8">
        <w:rPr>
          <w:i/>
          <w:iCs/>
        </w:rPr>
        <w:t>i</w:t>
      </w:r>
      <w:r w:rsidR="00287644">
        <w:t xml:space="preserve">. Tato </w:t>
      </w:r>
      <w:r w:rsidR="00287644">
        <w:lastRenderedPageBreak/>
        <w:t>kategorizace je důležitá z hlediska rozdílnosti metod, které jsou v této práci užity a které jsou evaluovány. Relevance, která je v konkrétních experimentech evaluována, je pak různých dimenzí a dle toho se liší i zvolená metodologie evaluace.</w:t>
      </w:r>
    </w:p>
    <w:p w14:paraId="30368C6D" w14:textId="7812E853" w:rsidR="00287644" w:rsidRDefault="00287644" w:rsidP="00287644">
      <w:pPr>
        <w:pStyle w:val="Dalodstavce"/>
      </w:pPr>
      <w:r>
        <w:t xml:space="preserve">Základním přístupem je tedy manuální hodnocení evaluační skupinou právních expertů. Této skupině jsou, </w:t>
      </w:r>
      <w:r w:rsidR="00777435">
        <w:t>vesměs</w:t>
      </w:r>
      <w:r>
        <w:t>, předkládány výsledky jednotlivých metod a členové evaluační skupiny odpovídají na sady otázek týkající</w:t>
      </w:r>
      <w:r w:rsidR="00F145B1">
        <w:t>ch</w:t>
      </w:r>
      <w:r>
        <w:t xml:space="preserve"> se relevance výsledků. I přesto, že se jedná o různé typy relevance, které jsou evaluovány v dílčích experimentech, relevance je vždy chápána nebinárně (tedy ne pouze </w:t>
      </w:r>
      <w:r w:rsidR="00F145B1">
        <w:t xml:space="preserve">jako </w:t>
      </w:r>
      <w:r>
        <w:t>relevantní a nerelevantní) a je tedy hodnocena na škále.</w:t>
      </w:r>
    </w:p>
    <w:p w14:paraId="0B36F2B9" w14:textId="41216C8D" w:rsidR="00287644" w:rsidRDefault="00287644" w:rsidP="00287644">
      <w:pPr>
        <w:pStyle w:val="Dalodstavce"/>
      </w:pPr>
      <w:r>
        <w:t xml:space="preserve">Ačkoliv se metody a jejich výsledky </w:t>
      </w:r>
      <w:r w:rsidR="00F145B1">
        <w:t>odlišují</w:t>
      </w:r>
      <w:r>
        <w:t xml:space="preserve">, evaluační metodologie byla zvolena co </w:t>
      </w:r>
      <w:r w:rsidR="00F145B1">
        <w:t>nejpodobnější</w:t>
      </w:r>
      <w:r>
        <w:t>, aby byly výsledky alespoň rámcově porovnatelné i napříč metodami. Evaluační experimenty byly prováděny v několika fázích, vícevrstvá aplikace metod byla evaluována až vzhledem k výsledkům evaluace metod samostatných jako reflexe právě těchto evaluačních výsledků.</w:t>
      </w:r>
    </w:p>
    <w:p w14:paraId="2F43CFDE" w14:textId="1654717B" w:rsidR="00287644" w:rsidRDefault="00287644">
      <w:pPr>
        <w:pStyle w:val="Nadpis3"/>
        <w:numPr>
          <w:ilvl w:val="2"/>
          <w:numId w:val="14"/>
        </w:numPr>
      </w:pPr>
      <w:r>
        <w:t>Evaluační skupin</w:t>
      </w:r>
      <w:r w:rsidR="00EA7FA3">
        <w:t>y</w:t>
      </w:r>
    </w:p>
    <w:p w14:paraId="6C1796FA" w14:textId="374AFD79" w:rsidR="00287644" w:rsidRDefault="00287644" w:rsidP="00287644">
      <w:pPr>
        <w:pStyle w:val="Odstavec1"/>
      </w:pPr>
      <w:r>
        <w:t xml:space="preserve">Jak již bylo uvedeno výše, evaluační skupinu tvoří </w:t>
      </w:r>
      <w:r w:rsidR="0038541D">
        <w:t>doménoví</w:t>
      </w:r>
      <w:r>
        <w:t xml:space="preserve"> experti, tedy právníci (jak </w:t>
      </w:r>
      <w:r w:rsidR="0038541D">
        <w:t xml:space="preserve">ze </w:t>
      </w:r>
      <w:r>
        <w:t>soukromé</w:t>
      </w:r>
      <w:r w:rsidR="0038541D">
        <w:t>,</w:t>
      </w:r>
      <w:r>
        <w:t xml:space="preserve"> tak </w:t>
      </w:r>
      <w:r w:rsidR="0038541D">
        <w:t xml:space="preserve">z </w:t>
      </w:r>
      <w:r>
        <w:t xml:space="preserve">veřejné sféry), soudci a asistenti soudců. </w:t>
      </w:r>
      <w:r w:rsidR="0038541D">
        <w:t>Hlavn</w:t>
      </w:r>
      <w:r>
        <w:t xml:space="preserve">ím cílem bylo vytvořit skupinu, která bude zahrnovat všechny zmíněné kategorie (čím rozmanitější, tím lépe) a která bude ideálně obsahovat zhruba polovinu právníků a polovinu soudců či asistentů. Toto rozdělení </w:t>
      </w:r>
      <w:r w:rsidR="0038541D">
        <w:t>vychází z</w:t>
      </w:r>
      <w:r>
        <w:t xml:space="preserve"> předpoklad</w:t>
      </w:r>
      <w:r w:rsidR="0038541D">
        <w:t>u</w:t>
      </w:r>
      <w:r>
        <w:t xml:space="preserve">, že obě tyto skupiny pracují s judikaturou odlišně, </w:t>
      </w:r>
      <w:r w:rsidR="0038541D">
        <w:t>tedy že</w:t>
      </w:r>
      <w:r>
        <w:t xml:space="preserve"> vyhledávání</w:t>
      </w:r>
      <w:r w:rsidR="0038541D">
        <w:t>m</w:t>
      </w:r>
      <w:r>
        <w:t xml:space="preserve"> soudních rozhodnutí sleduj</w:t>
      </w:r>
      <w:r w:rsidR="0038541D">
        <w:t>í</w:t>
      </w:r>
      <w:r>
        <w:t xml:space="preserve"> jiné cíle a může probíhat jinak. Tento cíl se naplnil u obou evaluačních skupin.</w:t>
      </w:r>
    </w:p>
    <w:p w14:paraId="44D2A1E3" w14:textId="238CD00E" w:rsidR="00287644" w:rsidRDefault="00287644" w:rsidP="00287644">
      <w:pPr>
        <w:pStyle w:val="Dalodstavce"/>
      </w:pPr>
      <w:r>
        <w:t>Evaluace metod probíhala v několika fázích, jelikož se jednalo o čtyřletý projekt a jednotlivé metody byly vyvíjeny a evaluovány postupně. Evaluace jedné metody byla časově náročná jak na přípravu, tak na samotnou evaluaci, proto bylo nutné jednotlivé experimenty oddělit. Z toho</w:t>
      </w:r>
      <w:r w:rsidR="0038541D">
        <w:t>to</w:t>
      </w:r>
      <w:r>
        <w:t xml:space="preserve"> důvodu se pak liší i velikost a složení evaluačních skupin.</w:t>
      </w:r>
    </w:p>
    <w:p w14:paraId="5F994A85" w14:textId="1356FCED" w:rsidR="00287644" w:rsidRDefault="00287644" w:rsidP="00287644">
      <w:pPr>
        <w:pStyle w:val="Dalodstavce"/>
      </w:pPr>
      <w:r>
        <w:t xml:space="preserve">V první fázi byly evaluovány tři experimenty aplikující tři zkoumané metody samostatně. Všechny tři experimenty byly evaluovány stejnou skupinou </w:t>
      </w:r>
      <w:r w:rsidR="0038541D">
        <w:t xml:space="preserve">sestávající z </w:t>
      </w:r>
      <w:r>
        <w:t>26 expertů, ačkoliv byla evaluace z časových důvodů rozdělena na dvě fáze - nejprve hodnocení modelování témat, poté doc2vec modelu a citační analýzy společně.</w:t>
      </w:r>
    </w:p>
    <w:p w14:paraId="16CCADFB" w14:textId="28800E39" w:rsidR="00287644" w:rsidRDefault="00287644" w:rsidP="00287644">
      <w:pPr>
        <w:pStyle w:val="Dalodstavce"/>
      </w:pPr>
      <w:r>
        <w:lastRenderedPageBreak/>
        <w:t xml:space="preserve">V druhé fázi byl hodnocen experiment vícevrstvé aplikace metod. Evaluační skupina zde čítala 20 expertů, ze </w:t>
      </w:r>
      <w:r w:rsidR="0038541D">
        <w:t>nichž</w:t>
      </w:r>
      <w:r>
        <w:t xml:space="preserve"> 10 se zúčastnilo </w:t>
      </w:r>
      <w:r w:rsidR="0038541D">
        <w:t>už</w:t>
      </w:r>
      <w:r>
        <w:t xml:space="preserve"> první fáze evaluačních experimentů a </w:t>
      </w:r>
      <w:r w:rsidR="0038541D">
        <w:t xml:space="preserve">zbylých </w:t>
      </w:r>
      <w:r>
        <w:t xml:space="preserve">10 </w:t>
      </w:r>
      <w:r w:rsidR="0038541D">
        <w:t>doménovýc</w:t>
      </w:r>
      <w:r>
        <w:t>h expertů přistoupilo nově.</w:t>
      </w:r>
    </w:p>
    <w:p w14:paraId="46B50C61" w14:textId="54FB6236" w:rsidR="00287644" w:rsidRDefault="00287644" w:rsidP="00287644">
      <w:pPr>
        <w:pStyle w:val="Dalodstavce"/>
      </w:pPr>
      <w:r>
        <w:t>Konkrétní metodologie evaluace jednotlivých metod je pak popsána v kapitol</w:t>
      </w:r>
      <w:r w:rsidR="00992E93">
        <w:t>ách</w:t>
      </w:r>
      <w:r>
        <w:t xml:space="preserve"> 5 </w:t>
      </w:r>
      <w:r w:rsidR="00992E93">
        <w:t>až</w:t>
      </w:r>
      <w:r>
        <w:t xml:space="preserve"> 9.</w:t>
      </w:r>
    </w:p>
    <w:p w14:paraId="7C206869" w14:textId="19EB5B68" w:rsidR="00905A6C" w:rsidRDefault="00905A6C">
      <w:pPr>
        <w:pStyle w:val="Nadpis1"/>
        <w:numPr>
          <w:ilvl w:val="0"/>
          <w:numId w:val="14"/>
        </w:numPr>
      </w:pPr>
      <w:bookmarkStart w:id="37" w:name="_Toc126909349"/>
      <w:r>
        <w:lastRenderedPageBreak/>
        <w:t>Citační síťová analýza</w:t>
      </w:r>
      <w:r w:rsidR="007C4A02">
        <w:t xml:space="preserve">: </w:t>
      </w:r>
      <w:r>
        <w:t>teoretické právní otázky</w:t>
      </w:r>
      <w:bookmarkEnd w:id="37"/>
    </w:p>
    <w:p w14:paraId="1E2BC263" w14:textId="6A222E27" w:rsidR="00652BCD" w:rsidRDefault="00905A6C" w:rsidP="00652BCD">
      <w:pPr>
        <w:pStyle w:val="Odstavec1"/>
      </w:pPr>
      <w:r>
        <w:t xml:space="preserve">V této kapitole </w:t>
      </w:r>
      <w:r w:rsidR="00652BCD">
        <w:t>bude ukázáno, jak lze prostřednictvím</w:t>
      </w:r>
      <w:r>
        <w:t xml:space="preserve"> </w:t>
      </w:r>
      <w:r w:rsidR="00652BCD">
        <w:t>síťové analýzy popsat citační prostředí českých vrcholných soudů</w:t>
      </w:r>
      <w:r>
        <w:t xml:space="preserve">. </w:t>
      </w:r>
      <w:r w:rsidR="00652BCD">
        <w:t>Na</w:t>
      </w:r>
      <w:r>
        <w:t xml:space="preserve"> základě datasetu popsaného v kapitole 4.1.2 </w:t>
      </w:r>
      <w:r w:rsidR="00652BCD">
        <w:t>byla</w:t>
      </w:r>
      <w:r>
        <w:t xml:space="preserve"> </w:t>
      </w:r>
      <w:r w:rsidR="00652BCD">
        <w:t xml:space="preserve">v rámci výzkumu publikovaného v monografii s názvem </w:t>
      </w:r>
      <w:r w:rsidR="00652BCD" w:rsidRPr="00A46636">
        <w:rPr>
          <w:i/>
          <w:iCs/>
        </w:rPr>
        <w:t>Citační analýza judikatury</w:t>
      </w:r>
      <w:r w:rsidR="00652BCD">
        <w:rPr>
          <w:rStyle w:val="Znakapoznpodarou"/>
        </w:rPr>
        <w:footnoteReference w:id="168"/>
      </w:r>
      <w:r w:rsidR="00652BCD">
        <w:t xml:space="preserve"> </w:t>
      </w:r>
      <w:r>
        <w:t xml:space="preserve">provedena statistická a síťová analýza toho, co tyto tři vrcholné české soudy citují. </w:t>
      </w:r>
      <w:r w:rsidR="00652BCD" w:rsidRPr="00652BCD">
        <w:t>Tato kapitola představí obecný kvantitativní popis těchto dat tak, jak byl představen</w:t>
      </w:r>
      <w:r w:rsidR="00652BCD">
        <w:t> v referované monografii</w:t>
      </w:r>
      <w:r w:rsidR="00652BCD" w:rsidRPr="00652BCD">
        <w:t xml:space="preserve"> a slouží k základnímu uvedení do problematiky</w:t>
      </w:r>
      <w:r w:rsidR="00652BCD">
        <w:t>.</w:t>
      </w:r>
    </w:p>
    <w:p w14:paraId="6641A443" w14:textId="036BF759" w:rsidR="00905A6C" w:rsidRDefault="008939D0" w:rsidP="00652BCD">
      <w:pPr>
        <w:pStyle w:val="Dalodstavce"/>
      </w:pPr>
      <w:r>
        <w:t xml:space="preserve">Tato kapitola vychází z kapitoly </w:t>
      </w:r>
      <w:r w:rsidR="008F3A0C">
        <w:t>4</w:t>
      </w:r>
      <w:r w:rsidR="008E57D5">
        <w:t xml:space="preserve"> (</w:t>
      </w:r>
      <w:r w:rsidR="008E57D5" w:rsidRPr="00430DBD">
        <w:rPr>
          <w:i/>
          <w:iCs/>
        </w:rPr>
        <w:t>Základní popis českého citačního prostředí</w:t>
      </w:r>
      <w:r w:rsidR="008E57D5">
        <w:t>)</w:t>
      </w:r>
      <w:r>
        <w:t xml:space="preserve"> a </w:t>
      </w:r>
      <w:r w:rsidR="008F3A0C">
        <w:t>5</w:t>
      </w:r>
      <w:r w:rsidR="008E57D5">
        <w:t xml:space="preserve"> (</w:t>
      </w:r>
      <w:r w:rsidR="008E57D5" w:rsidRPr="00430DBD">
        <w:rPr>
          <w:i/>
          <w:iCs/>
        </w:rPr>
        <w:t>Síťová analýza: soudní rozhodnutí v síti</w:t>
      </w:r>
      <w:r w:rsidR="008E57D5">
        <w:t>)</w:t>
      </w:r>
      <w:r>
        <w:t xml:space="preserve"> </w:t>
      </w:r>
      <w:r w:rsidR="00F6684B">
        <w:t xml:space="preserve">části III. </w:t>
      </w:r>
      <w:r w:rsidR="00A46636">
        <w:t>referované monografie</w:t>
      </w:r>
      <w:r>
        <w:rPr>
          <w:rStyle w:val="Znakapoznpodarou"/>
        </w:rPr>
        <w:footnoteReference w:id="169"/>
      </w:r>
      <w:r>
        <w:t xml:space="preserve">, </w:t>
      </w:r>
      <w:r w:rsidR="00A46636">
        <w:t>ve kterých je popsána samotná citační síť</w:t>
      </w:r>
      <w:r>
        <w:t xml:space="preserve">. </w:t>
      </w:r>
      <w:r w:rsidR="004F2746">
        <w:t xml:space="preserve">V rámci tohoto společného výzkumu jsem provedla datovou analýzu a </w:t>
      </w:r>
      <w:r w:rsidR="00DC4041">
        <w:t>připravila</w:t>
      </w:r>
      <w:r w:rsidR="004F2746">
        <w:t xml:space="preserve"> statistická data pro základní popis citačního prostředí těchto soudů. Deskripce uvedená v této kapitole tedy přímo vychází z deskripce v referované monografii, </w:t>
      </w:r>
      <w:r w:rsidR="00905A6C">
        <w:t>která si dala za cíl zmapovat citační prostředí těchto tří soudů</w:t>
      </w:r>
      <w:r w:rsidR="00676803">
        <w:t>. Smejkalová pak v monografii dále</w:t>
      </w:r>
      <w:r w:rsidR="00905A6C">
        <w:t xml:space="preserve"> pomocí dat a informací takto získaných </w:t>
      </w:r>
      <w:r w:rsidR="00485FB6">
        <w:t xml:space="preserve">popisuje citační prostředí a </w:t>
      </w:r>
      <w:r w:rsidR="00905A6C">
        <w:t>odpov</w:t>
      </w:r>
      <w:r w:rsidR="00676803">
        <w:t>ídá</w:t>
      </w:r>
      <w:r w:rsidR="00905A6C">
        <w:t xml:space="preserve"> na výzkumné otázky týkající se práce soudců s předchozí judikaturou. Za tímto účelem byla v referovaném výzkumu </w:t>
      </w:r>
      <w:r w:rsidR="004F2746">
        <w:t xml:space="preserve">Smejkalovou </w:t>
      </w:r>
      <w:r w:rsidR="00905A6C">
        <w:t xml:space="preserve">provedena i hlubší kvalitativní interpretace těchto dat založená na představení konceptu relevance informací a teoreticko-právních teorií práce s předchozí judikaturou v soudních systémech. V této práci je však sledován jiný cíl, účelem je zjištění, jakým způsobem lze tyto metody užít pro vyhledávání soudních rozhodnutí. Proto je zde uveden pouze přehled základních statistických a síťových proměnných a jejich popis. </w:t>
      </w:r>
      <w:r w:rsidR="00C8375A">
        <w:t>Tyto statistické a síťové proměnné</w:t>
      </w:r>
      <w:r w:rsidR="00750F42">
        <w:t xml:space="preserve"> jsem získala zpracováváním datasetu citací </w:t>
      </w:r>
      <w:r w:rsidR="00750F42" w:rsidRPr="00750F42">
        <w:rPr>
          <w:i/>
          <w:iCs/>
        </w:rPr>
        <w:t>Czech Court Citations Dataset</w:t>
      </w:r>
      <w:r w:rsidR="00BF7FC2">
        <w:rPr>
          <w:i/>
          <w:iCs/>
        </w:rPr>
        <w:t xml:space="preserve">, </w:t>
      </w:r>
      <w:r w:rsidR="00BF7FC2" w:rsidRPr="00BF7FC2">
        <w:t>který je popsán</w:t>
      </w:r>
      <w:r w:rsidR="00BF7FC2">
        <w:t xml:space="preserve"> v </w:t>
      </w:r>
      <w:r w:rsidR="00BF7FC2" w:rsidRPr="00BF7FC2">
        <w:t>kapitole 4.1.2</w:t>
      </w:r>
      <w:r w:rsidR="00BF7FC2">
        <w:t xml:space="preserve">, a který jsem zpracovala, publikovala a nad nímž jsem provedla příslušné datově analytické výpočty pro získání zde uvedených proměnných. </w:t>
      </w:r>
      <w:r w:rsidR="00811C24">
        <w:t xml:space="preserve">S tímto datasetem souvisí i limit této studie Jelikož se jedná o rozhodnutí publikovaná od roku 1993 (resp. 2003) do </w:t>
      </w:r>
      <w:r w:rsidR="00811C24">
        <w:lastRenderedPageBreak/>
        <w:t xml:space="preserve">září roku 2018, je nutné interpretovat data z posledního neukončeného roku s ohledem na tento limit. </w:t>
      </w:r>
      <w:r w:rsidR="00905A6C">
        <w:t xml:space="preserve">Pro detailnější interpretaci dat </w:t>
      </w:r>
      <w:r w:rsidR="00BF7FC2">
        <w:t>dále</w:t>
      </w:r>
      <w:r w:rsidR="00905A6C">
        <w:t xml:space="preserve"> referuji </w:t>
      </w:r>
      <w:r w:rsidR="00676803">
        <w:t xml:space="preserve">k </w:t>
      </w:r>
      <w:r w:rsidR="00905A6C">
        <w:t>příslušn</w:t>
      </w:r>
      <w:r w:rsidR="00676803">
        <w:t>ým</w:t>
      </w:r>
      <w:r w:rsidR="00905A6C">
        <w:t xml:space="preserve"> pasáž</w:t>
      </w:r>
      <w:r w:rsidR="00676803">
        <w:t>ím</w:t>
      </w:r>
      <w:r w:rsidR="00905A6C">
        <w:t xml:space="preserve"> monografie, které obsahují hlubší kvalitativní analýzu.</w:t>
      </w:r>
    </w:p>
    <w:p w14:paraId="288E71A6" w14:textId="2C78C96A" w:rsidR="00905A6C" w:rsidRDefault="00905A6C" w:rsidP="00905A6C">
      <w:pPr>
        <w:pStyle w:val="Dalodstavce"/>
      </w:pPr>
      <w:r>
        <w:t>Představené proměnné jsou rozděleny do dvou následujících podkapitol: nejprve čistě statistické a poté síťové proměnné popisující dataset citací soudů.</w:t>
      </w:r>
    </w:p>
    <w:p w14:paraId="30D3A69A" w14:textId="12232F07" w:rsidR="00371256" w:rsidRDefault="00371256">
      <w:pPr>
        <w:pStyle w:val="Nadpis2"/>
        <w:numPr>
          <w:ilvl w:val="1"/>
          <w:numId w:val="14"/>
        </w:numPr>
      </w:pPr>
      <w:bookmarkStart w:id="39" w:name="_Toc126909350"/>
      <w:r>
        <w:t>Statistické proměnné a jejich význam</w:t>
      </w:r>
      <w:bookmarkEnd w:id="39"/>
    </w:p>
    <w:p w14:paraId="6ACFCB39" w14:textId="09BA853C" w:rsidR="00541150" w:rsidRPr="00541150" w:rsidRDefault="00541150" w:rsidP="00541150">
      <w:pPr>
        <w:pStyle w:val="Odstavec1"/>
      </w:pPr>
      <w:r>
        <w:t>V rámci referovaného výzkumu jsem ne</w:t>
      </w:r>
      <w:r w:rsidR="003F6B18">
        <w:t xml:space="preserve">jprve použila základní metody </w:t>
      </w:r>
      <w:r>
        <w:t>statistické a datové analýzy</w:t>
      </w:r>
      <w:r w:rsidR="003F6B18">
        <w:t xml:space="preserve">, kterými jsem zpracovávala CzCDC a </w:t>
      </w:r>
      <w:r w:rsidR="003F6B18" w:rsidRPr="003F6B18">
        <w:rPr>
          <w:i/>
          <w:iCs/>
        </w:rPr>
        <w:t>Czech Court Citations Dataset</w:t>
      </w:r>
      <w:r w:rsidR="003F6B18">
        <w:t>. Oba tyto datasety obsahují datové soubory s metadaty o jednotlivých rozhodnutích (CzCDC) a nebo citacích (</w:t>
      </w:r>
      <w:r w:rsidR="003F6B18" w:rsidRPr="003F6B18">
        <w:rPr>
          <w:i/>
          <w:iCs/>
        </w:rPr>
        <w:t>Czech Court Citations Dataset</w:t>
      </w:r>
      <w:r w:rsidR="003F6B18">
        <w:t>), obsahujících zejména identifikaci rozhodnutí, datum publikace a publikující soud, u citací navíc ještě identifikaci citovaného rozhodnutí. Pomocí takové datové struktury je možné datasety propojit a analyzovat základní statistické proměnné ve vzájemném kontextu – říci tedy, kolik máme citací, jaký je jejich vývoj v letech a kategorizovat je po soudech. Současně ale můžeme také říct i to, kolik rozhodnutí jednotlivých soudů obsahuje či neobsahuje citaci a znovu, jaký je vývoj těchto počtů či poměrů v letech. V následujících podkapitolách uvádím právě tyto statistiky a k nim základní popis a interpretaci, kter</w:t>
      </w:r>
      <w:r w:rsidR="000871D8">
        <w:t>á</w:t>
      </w:r>
      <w:r w:rsidR="003F6B18">
        <w:t xml:space="preserve"> je v referované monografii proveden</w:t>
      </w:r>
      <w:r w:rsidR="000871D8">
        <w:t>a</w:t>
      </w:r>
      <w:r w:rsidR="003F6B18">
        <w:t xml:space="preserve"> Smejkalovou.</w:t>
      </w:r>
    </w:p>
    <w:p w14:paraId="16172CD7" w14:textId="242B6C4F" w:rsidR="00371256" w:rsidRDefault="00371256">
      <w:pPr>
        <w:pStyle w:val="Nadpis3"/>
        <w:numPr>
          <w:ilvl w:val="2"/>
          <w:numId w:val="14"/>
        </w:numPr>
      </w:pPr>
      <w:r>
        <w:t>Četnost</w:t>
      </w:r>
    </w:p>
    <w:p w14:paraId="1FFC418F" w14:textId="11D1B61F" w:rsidR="007837AC" w:rsidRDefault="001438A1" w:rsidP="007837AC">
      <w:pPr>
        <w:pStyle w:val="Odstavec1"/>
      </w:pPr>
      <w:r>
        <w:t>V referovaném výzkumu byl</w:t>
      </w:r>
      <w:r w:rsidR="009C5916">
        <w:t>a</w:t>
      </w:r>
      <w:r>
        <w:t>, v souladu s teorií síťové analýzy</w:t>
      </w:r>
      <w:r w:rsidR="009C5916">
        <w:t>, nejprve zkoumána proměnná četnosti obsažených citací a četnosti rozhodnutí s obsaženou citací. T</w:t>
      </w:r>
      <w:r w:rsidR="007837AC">
        <w:t>yto proměnné</w:t>
      </w:r>
      <w:r w:rsidR="009C5916">
        <w:t xml:space="preserve"> jsem </w:t>
      </w:r>
      <w:r w:rsidR="007837AC">
        <w:t xml:space="preserve">počítala </w:t>
      </w:r>
      <w:r w:rsidR="00F56561">
        <w:t>analyzováním</w:t>
      </w:r>
      <w:r w:rsidR="009C5916">
        <w:t xml:space="preserve"> a p</w:t>
      </w:r>
      <w:r w:rsidR="00F56561">
        <w:t>ropojováním</w:t>
      </w:r>
      <w:r w:rsidR="009C5916">
        <w:t xml:space="preserve"> základních statistik CzCDC a </w:t>
      </w:r>
      <w:r w:rsidR="009C5916" w:rsidRPr="009334DC">
        <w:rPr>
          <w:i/>
          <w:iCs/>
        </w:rPr>
        <w:t xml:space="preserve">Czech </w:t>
      </w:r>
      <w:r w:rsidR="009C5916" w:rsidRPr="00F56561">
        <w:rPr>
          <w:i/>
          <w:iCs/>
        </w:rPr>
        <w:t>Court Citations Dataset</w:t>
      </w:r>
      <w:r w:rsidR="007837AC">
        <w:t xml:space="preserve">, tedy sumarizací citačních řádků a sumarizací citačních řádků ve spojení s jednotlivými rozhodnutími v CzCDC. </w:t>
      </w:r>
    </w:p>
    <w:p w14:paraId="7778DE70" w14:textId="7BF55E0B" w:rsidR="00371256" w:rsidRDefault="00371256" w:rsidP="00842BAD">
      <w:pPr>
        <w:pStyle w:val="Dalodstavce"/>
      </w:pPr>
      <w:r>
        <w:t>Prvním důležitým ukazatelem</w:t>
      </w:r>
      <w:r w:rsidR="000278C8">
        <w:t xml:space="preserve">, který byl </w:t>
      </w:r>
      <w:r w:rsidR="00541150">
        <w:t xml:space="preserve">v rámci výzkumu </w:t>
      </w:r>
      <w:r w:rsidR="00F56561">
        <w:t>na základě toho zjišťován</w:t>
      </w:r>
      <w:r w:rsidR="000278C8">
        <w:t>,</w:t>
      </w:r>
      <w:r>
        <w:t xml:space="preserve"> zde </w:t>
      </w:r>
      <w:r w:rsidR="000278C8">
        <w:t>byl</w:t>
      </w:r>
      <w:r>
        <w:t xml:space="preserve"> počet rozhodnutí, která obsahují alespoň jednu citaci na některé předchozí rozhodnutí a naopak počet rozhodnutí, která necitují žádné předchozí rozhodnutí (a poměr těchto kategorií vůči </w:t>
      </w:r>
      <w:r>
        <w:lastRenderedPageBreak/>
        <w:t>celkovému počtu zkoumaných rozhodnutí).</w:t>
      </w:r>
      <w:r w:rsidR="00E16798">
        <w:rPr>
          <w:rStyle w:val="Znakapoznpodarou"/>
        </w:rPr>
        <w:footnoteReference w:id="170"/>
      </w:r>
      <w:r>
        <w:t xml:space="preserve"> Pro jednotlivé soudy se tyto informace nacházejí v následujících tabulkách:</w:t>
      </w:r>
    </w:p>
    <w:p w14:paraId="37981A1D" w14:textId="72CDF4A1" w:rsidR="00842BAD" w:rsidRDefault="00842BAD" w:rsidP="00953CD9">
      <w:pPr>
        <w:pStyle w:val="Titulektabulky"/>
      </w:pPr>
      <w:bookmarkStart w:id="40" w:name="_Toc126874208"/>
      <w:r>
        <w:t xml:space="preserve">Tab. </w:t>
      </w:r>
      <w:r>
        <w:rPr>
          <w:noProof/>
        </w:rPr>
        <w:fldChar w:fldCharType="begin"/>
      </w:r>
      <w:r>
        <w:rPr>
          <w:noProof/>
        </w:rPr>
        <w:instrText xml:space="preserve"> SEQ Tab. \* ARABIC </w:instrText>
      </w:r>
      <w:r>
        <w:rPr>
          <w:noProof/>
        </w:rPr>
        <w:fldChar w:fldCharType="separate"/>
      </w:r>
      <w:r>
        <w:rPr>
          <w:noProof/>
        </w:rPr>
        <w:t>4</w:t>
      </w:r>
      <w:r>
        <w:rPr>
          <w:noProof/>
        </w:rPr>
        <w:fldChar w:fldCharType="end"/>
      </w:r>
      <w:r>
        <w:t>: Poměr počtu rozhodnutí obsahujících alespoň 1 citaci</w:t>
      </w:r>
      <w:bookmarkEnd w:id="40"/>
    </w:p>
    <w:tbl>
      <w:tblPr>
        <w:tblStyle w:val="ZPTabulka"/>
        <w:tblW w:w="0" w:type="auto"/>
        <w:tblLook w:val="04A0" w:firstRow="1" w:lastRow="0" w:firstColumn="1" w:lastColumn="0" w:noHBand="0" w:noVBand="1"/>
      </w:tblPr>
      <w:tblGrid>
        <w:gridCol w:w="1841"/>
        <w:gridCol w:w="1841"/>
        <w:gridCol w:w="1842"/>
        <w:gridCol w:w="1842"/>
      </w:tblGrid>
      <w:tr w:rsidR="00842BAD" w14:paraId="34E0639D" w14:textId="77777777" w:rsidTr="00590D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339E81A1" w14:textId="4E31485F" w:rsidR="00842BAD" w:rsidRPr="00155C38" w:rsidRDefault="00842BAD" w:rsidP="00842BAD">
            <w:pPr>
              <w:jc w:val="center"/>
              <w:rPr>
                <w:sz w:val="20"/>
                <w:szCs w:val="20"/>
                <w:lang w:eastAsia="sk-SK"/>
              </w:rPr>
            </w:pPr>
            <w:r w:rsidRPr="00155C38">
              <w:rPr>
                <w:sz w:val="20"/>
                <w:szCs w:val="20"/>
                <w:lang w:eastAsia="sk-SK"/>
              </w:rPr>
              <w:t>Soud</w:t>
            </w:r>
          </w:p>
        </w:tc>
        <w:tc>
          <w:tcPr>
            <w:tcW w:w="1841" w:type="dxa"/>
          </w:tcPr>
          <w:p w14:paraId="62DFC0EC" w14:textId="4C04EEAE" w:rsidR="00842BAD" w:rsidRPr="00155C38" w:rsidRDefault="00842BAD" w:rsidP="00842BAD">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155C38">
              <w:rPr>
                <w:sz w:val="20"/>
                <w:szCs w:val="20"/>
                <w:lang w:eastAsia="sk-SK"/>
              </w:rPr>
              <w:t>Počet rozhodnutí s citací</w:t>
            </w:r>
          </w:p>
        </w:tc>
        <w:tc>
          <w:tcPr>
            <w:tcW w:w="1842" w:type="dxa"/>
          </w:tcPr>
          <w:p w14:paraId="5C436CD4" w14:textId="38279D74" w:rsidR="00842BAD" w:rsidRPr="00155C38" w:rsidRDefault="00842BAD" w:rsidP="00842BAD">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155C38">
              <w:rPr>
                <w:sz w:val="20"/>
                <w:szCs w:val="20"/>
                <w:lang w:eastAsia="sk-SK"/>
              </w:rPr>
              <w:t>Počet rozhodnutí bez citace</w:t>
            </w:r>
          </w:p>
        </w:tc>
        <w:tc>
          <w:tcPr>
            <w:tcW w:w="1842" w:type="dxa"/>
          </w:tcPr>
          <w:p w14:paraId="3CF909DB" w14:textId="1C1BD554" w:rsidR="00842BAD" w:rsidRPr="00155C38" w:rsidRDefault="00842BAD" w:rsidP="00842BAD">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155C38">
              <w:rPr>
                <w:sz w:val="20"/>
                <w:szCs w:val="20"/>
                <w:lang w:eastAsia="sk-SK"/>
              </w:rPr>
              <w:t>Celkový počet rozhodnutí</w:t>
            </w:r>
          </w:p>
        </w:tc>
      </w:tr>
      <w:tr w:rsidR="00842BAD" w14:paraId="0E33AAB4" w14:textId="77777777" w:rsidTr="00590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1F5A5AF3" w14:textId="146B7131" w:rsidR="00842BAD" w:rsidRPr="00155C38" w:rsidRDefault="00842BAD" w:rsidP="00842BAD">
            <w:pPr>
              <w:jc w:val="center"/>
              <w:rPr>
                <w:sz w:val="20"/>
                <w:szCs w:val="20"/>
                <w:lang w:eastAsia="sk-SK"/>
              </w:rPr>
            </w:pPr>
            <w:r w:rsidRPr="00155C38">
              <w:rPr>
                <w:sz w:val="20"/>
                <w:szCs w:val="20"/>
                <w:lang w:eastAsia="sk-SK"/>
              </w:rPr>
              <w:t>Ústavní soud</w:t>
            </w:r>
          </w:p>
        </w:tc>
        <w:tc>
          <w:tcPr>
            <w:tcW w:w="1841" w:type="dxa"/>
          </w:tcPr>
          <w:p w14:paraId="685FD8BE" w14:textId="4AFD0ED1" w:rsidR="00842BAD" w:rsidRPr="00155C38" w:rsidRDefault="00842BAD" w:rsidP="00842BAD">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43 339</w:t>
            </w:r>
          </w:p>
        </w:tc>
        <w:tc>
          <w:tcPr>
            <w:tcW w:w="1842" w:type="dxa"/>
          </w:tcPr>
          <w:p w14:paraId="685A1482" w14:textId="62D05011" w:rsidR="00842BAD" w:rsidRPr="00155C38" w:rsidRDefault="00842BAD" w:rsidP="00842BAD">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29 747</w:t>
            </w:r>
          </w:p>
        </w:tc>
        <w:tc>
          <w:tcPr>
            <w:tcW w:w="1842" w:type="dxa"/>
          </w:tcPr>
          <w:p w14:paraId="400AE144" w14:textId="0742772E" w:rsidR="00842BAD" w:rsidRPr="00155C38" w:rsidRDefault="00842BAD" w:rsidP="00842BAD">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73 086</w:t>
            </w:r>
          </w:p>
        </w:tc>
      </w:tr>
      <w:tr w:rsidR="00842BAD" w14:paraId="4AC8DBD3" w14:textId="77777777" w:rsidTr="00590D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6F28868B" w14:textId="46678130" w:rsidR="00842BAD" w:rsidRPr="00155C38" w:rsidRDefault="00842BAD" w:rsidP="00842BAD">
            <w:pPr>
              <w:jc w:val="center"/>
              <w:rPr>
                <w:sz w:val="20"/>
                <w:szCs w:val="20"/>
                <w:lang w:eastAsia="sk-SK"/>
              </w:rPr>
            </w:pPr>
            <w:r w:rsidRPr="00155C38">
              <w:rPr>
                <w:sz w:val="20"/>
                <w:szCs w:val="20"/>
                <w:lang w:eastAsia="sk-SK"/>
              </w:rPr>
              <w:t>Nejvyšší soud</w:t>
            </w:r>
          </w:p>
        </w:tc>
        <w:tc>
          <w:tcPr>
            <w:tcW w:w="1841" w:type="dxa"/>
          </w:tcPr>
          <w:p w14:paraId="00BE6375" w14:textId="7FEB8FD1" w:rsidR="00842BAD" w:rsidRPr="00155C38" w:rsidRDefault="00842BAD" w:rsidP="00842BAD">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79 006</w:t>
            </w:r>
          </w:p>
        </w:tc>
        <w:tc>
          <w:tcPr>
            <w:tcW w:w="1842" w:type="dxa"/>
          </w:tcPr>
          <w:p w14:paraId="2292DD2E" w14:textId="6C9C8FB6" w:rsidR="00842BAD" w:rsidRPr="00155C38" w:rsidRDefault="00842BAD" w:rsidP="00842BAD">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32 971</w:t>
            </w:r>
          </w:p>
        </w:tc>
        <w:tc>
          <w:tcPr>
            <w:tcW w:w="1842" w:type="dxa"/>
          </w:tcPr>
          <w:p w14:paraId="22FA34C8" w14:textId="5F749126" w:rsidR="00842BAD" w:rsidRPr="00155C38" w:rsidRDefault="00842BAD" w:rsidP="00842BAD">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111 977</w:t>
            </w:r>
          </w:p>
        </w:tc>
      </w:tr>
      <w:tr w:rsidR="00842BAD" w14:paraId="1B6F4837" w14:textId="77777777" w:rsidTr="00590D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16A613A2" w14:textId="0D3FD13F" w:rsidR="00842BAD" w:rsidRPr="00155C38" w:rsidRDefault="00842BAD" w:rsidP="00842BAD">
            <w:pPr>
              <w:jc w:val="center"/>
              <w:rPr>
                <w:sz w:val="20"/>
                <w:szCs w:val="20"/>
                <w:lang w:eastAsia="sk-SK"/>
              </w:rPr>
            </w:pPr>
            <w:r w:rsidRPr="00155C38">
              <w:rPr>
                <w:sz w:val="20"/>
                <w:szCs w:val="20"/>
                <w:lang w:eastAsia="sk-SK"/>
              </w:rPr>
              <w:t>Nejvyšší správní soud</w:t>
            </w:r>
          </w:p>
        </w:tc>
        <w:tc>
          <w:tcPr>
            <w:tcW w:w="1841" w:type="dxa"/>
          </w:tcPr>
          <w:p w14:paraId="7C4BE97E" w14:textId="79444B57" w:rsidR="00842BAD" w:rsidRPr="00155C38" w:rsidRDefault="00842BAD" w:rsidP="00842BAD">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36 415</w:t>
            </w:r>
          </w:p>
        </w:tc>
        <w:tc>
          <w:tcPr>
            <w:tcW w:w="1842" w:type="dxa"/>
          </w:tcPr>
          <w:p w14:paraId="51938514" w14:textId="4D423CC4" w:rsidR="00842BAD" w:rsidRPr="00155C38" w:rsidRDefault="00842BAD" w:rsidP="00842BAD">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16 245</w:t>
            </w:r>
          </w:p>
        </w:tc>
        <w:tc>
          <w:tcPr>
            <w:tcW w:w="1842" w:type="dxa"/>
          </w:tcPr>
          <w:p w14:paraId="07497718" w14:textId="6FDEE628" w:rsidR="00842BAD" w:rsidRPr="00155C38" w:rsidRDefault="00842BAD" w:rsidP="00842BAD">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52 660</w:t>
            </w:r>
          </w:p>
        </w:tc>
      </w:tr>
    </w:tbl>
    <w:p w14:paraId="612E965D" w14:textId="77777777" w:rsidR="00842BAD" w:rsidRPr="00EE22D1" w:rsidRDefault="00842BAD" w:rsidP="00EE22D1">
      <w:pPr>
        <w:jc w:val="center"/>
        <w:rPr>
          <w:lang w:eastAsia="sk-SK"/>
        </w:rPr>
      </w:pPr>
    </w:p>
    <w:p w14:paraId="0F25B9D8" w14:textId="77777777" w:rsidR="00842BAD" w:rsidRDefault="00842BAD" w:rsidP="00842BAD">
      <w:pPr>
        <w:pStyle w:val="Dalodstavce"/>
      </w:pPr>
    </w:p>
    <w:p w14:paraId="0755F3DD" w14:textId="77777777" w:rsidR="00371256" w:rsidRDefault="00371256" w:rsidP="00371256">
      <w:pPr>
        <w:pStyle w:val="Dalodstavce"/>
      </w:pPr>
    </w:p>
    <w:p w14:paraId="5BE1C580" w14:textId="4CB75FCA" w:rsidR="00371256" w:rsidRDefault="00485FB6" w:rsidP="00371256">
      <w:pPr>
        <w:pStyle w:val="Dalodstavce"/>
      </w:pPr>
      <w:r>
        <w:t>V</w:t>
      </w:r>
      <w:r w:rsidR="00B0027E">
        <w:t> referované monografii</w:t>
      </w:r>
      <w:r w:rsidR="00371256">
        <w:t xml:space="preserve"> </w:t>
      </w:r>
      <w:r>
        <w:t>uvádíme</w:t>
      </w:r>
      <w:r w:rsidR="00371256">
        <w:t>, že většina rozhodnutí tří vrcholných soudů, jejichž rozhodnutí zkoumáme, obsahuje alespoň jednu citaci některého předchozího soudního rozhodnutí (libovolného soudu). Konkrétně se jedná o 59,3 % celkového počtu rozhodnutí Ústavního soudu, 70,56 % rozhodnutí Nejvyššího soudu a 69,16 % rozhodnutí Nejvyššího správního soudu. Je tedy patrný výrazný rozdíl mezi citujícími rozhodnutími Ústavního soudu a Nejvyššího a Nejvyššího správního soudu.</w:t>
      </w:r>
      <w:r w:rsidR="00E16798">
        <w:rPr>
          <w:rStyle w:val="Znakapoznpodarou"/>
        </w:rPr>
        <w:footnoteReference w:id="171"/>
      </w:r>
      <w:r w:rsidR="00371256">
        <w:t xml:space="preserve"> Taková zjištění je </w:t>
      </w:r>
      <w:r>
        <w:t>však podle Smejkalové</w:t>
      </w:r>
      <w:r w:rsidR="00BD112F">
        <w:t xml:space="preserve"> </w:t>
      </w:r>
      <w:r w:rsidR="00371256">
        <w:t xml:space="preserve">nutné interpretovat velmi opatrně. S jistotou </w:t>
      </w:r>
      <w:r w:rsidR="00B0027E">
        <w:t>uvádí,</w:t>
      </w:r>
      <w:r w:rsidR="00371256">
        <w:t xml:space="preserve"> že ve většině případů nachází soudce alespoň jedno rozhodnutí, které považuje za relevantní k řešenému případu (a to ať už pro podporu vlastní argumentace či za účelem vymezení se vůči němu) a současně považuje za důležité na něj v rozhodnutí odkázat (vnímání důležitosti reference předchozího rozhodnutí).</w:t>
      </w:r>
      <w:r w:rsidR="00371256">
        <w:rPr>
          <w:rStyle w:val="Znakapoznpodarou"/>
        </w:rPr>
        <w:footnoteReference w:id="172"/>
      </w:r>
    </w:p>
    <w:p w14:paraId="7F629EF5" w14:textId="703BC037" w:rsidR="00371256" w:rsidRDefault="00371256" w:rsidP="00371256">
      <w:pPr>
        <w:pStyle w:val="Dalodstavce"/>
      </w:pPr>
      <w:r>
        <w:t>Následným statistickým ukazatelem</w:t>
      </w:r>
      <w:r w:rsidR="00F56561">
        <w:t xml:space="preserve">, který byl v tomto výzkumu </w:t>
      </w:r>
      <w:r w:rsidR="00BD112F">
        <w:t>popisován,</w:t>
      </w:r>
      <w:r>
        <w:t xml:space="preserve"> je poměr rozhodnutí obsahujících více jak jednu citaci vůči rozhodnutím s právě jednou citací.</w:t>
      </w:r>
      <w:r w:rsidR="00BD112F">
        <w:rPr>
          <w:rStyle w:val="Znakapoznpodarou"/>
        </w:rPr>
        <w:footnoteReference w:id="173"/>
      </w:r>
      <w:r w:rsidR="00C6757A">
        <w:t xml:space="preserve"> </w:t>
      </w:r>
      <w:r>
        <w:t xml:space="preserve">Smejkalová </w:t>
      </w:r>
      <w:r w:rsidR="00BD112F">
        <w:t xml:space="preserve">v monografii </w:t>
      </w:r>
      <w:r>
        <w:t>argumentuje, že významný poměr rozhodnutí obsahujících více citací by mohl naznačovat právě snahu soudců podpořit svoji argumentaci odkazem na tzv. předchozí ustálenou rozhodovací praxi (opět ať již za účelem podpory vlastní argumentace či za účelem vymezení se vůči této praxi).</w:t>
      </w:r>
      <w:r w:rsidR="00BD112F">
        <w:rPr>
          <w:rStyle w:val="Znakapoznpodarou"/>
        </w:rPr>
        <w:footnoteReference w:id="174"/>
      </w:r>
      <w:r>
        <w:t xml:space="preserve"> </w:t>
      </w:r>
      <w:r w:rsidR="000957CD">
        <w:lastRenderedPageBreak/>
        <w:t>Daný</w:t>
      </w:r>
      <w:r>
        <w:t xml:space="preserve"> předpoklad </w:t>
      </w:r>
      <w:r w:rsidR="00BD112F">
        <w:t>pak argumentuje</w:t>
      </w:r>
      <w:r>
        <w:t xml:space="preserve"> poměr</w:t>
      </w:r>
      <w:r w:rsidR="00BD112F">
        <w:t>em</w:t>
      </w:r>
      <w:r>
        <w:t xml:space="preserve"> množství rozhodnutí s více citacemi </w:t>
      </w:r>
      <w:r w:rsidR="00BD112F">
        <w:t>vůči</w:t>
      </w:r>
      <w:r>
        <w:t xml:space="preserve"> rozhodnutí</w:t>
      </w:r>
      <w:r w:rsidR="00BD112F">
        <w:t>m</w:t>
      </w:r>
      <w:r>
        <w:t xml:space="preserve"> obsahující</w:t>
      </w:r>
      <w:r w:rsidR="00BD112F">
        <w:t>m</w:t>
      </w:r>
      <w:r>
        <w:t xml:space="preserve"> alespoň jednu citaci, kter</w:t>
      </w:r>
      <w:r w:rsidR="00BD112F">
        <w:t>ý</w:t>
      </w:r>
      <w:r>
        <w:t xml:space="preserve"> j</w:t>
      </w:r>
      <w:r w:rsidR="00BD112F">
        <w:t>e</w:t>
      </w:r>
      <w:r>
        <w:t xml:space="preserve"> u Ústavního soudu 73,45 %, u Nejvyššího soudu 76,52 % a u Nejvyššího správního soudu 68,38 %. </w:t>
      </w:r>
      <w:r w:rsidR="00BD112F">
        <w:t>Uzavírá, že a</w:t>
      </w:r>
      <w:r>
        <w:t xml:space="preserve">čkoliv je tento kvantitativní ukazatel velmi obecným, jistou tendenci podpořit právní názor </w:t>
      </w:r>
      <w:r w:rsidR="000957CD">
        <w:t>pokud možno</w:t>
      </w:r>
      <w:r>
        <w:t xml:space="preserve"> předchozími rozhodnutími jako ustálenou rozhodovací praxí to naznačuje.</w:t>
      </w:r>
      <w:r>
        <w:rPr>
          <w:rStyle w:val="Znakapoznpodarou"/>
        </w:rPr>
        <w:footnoteReference w:id="175"/>
      </w:r>
    </w:p>
    <w:p w14:paraId="05790695" w14:textId="2268450E" w:rsidR="00371256" w:rsidRDefault="00371256" w:rsidP="00371256">
      <w:pPr>
        <w:pStyle w:val="Dalodstavce"/>
      </w:pPr>
      <w:r>
        <w:t xml:space="preserve">A naopak, význam podílu rozhodnutí obsahujících právě jedinou citaci (jedná se o méně než třetinu rozhodnutí s citací u každého ze tří soudů) podle Smejkalové může být velmi odlišný. Prvním jejím předpokladem, který je však bez hlubší kvalitativní analýzy jednotlivých případů velmi těžké </w:t>
      </w:r>
      <w:r w:rsidR="000957CD">
        <w:t>posoudit</w:t>
      </w:r>
      <w:r>
        <w:t>, je</w:t>
      </w:r>
      <w:r w:rsidR="000957CD">
        <w:t xml:space="preserve"> fakt</w:t>
      </w:r>
      <w:r>
        <w:t xml:space="preserve">, že pokud se soudce opírá o právě jedno konkrétní rozhodnutí, jedná se o rozhodnutí precedentální povahy ve vztahu k danému rozhodnutí (tak, jak je užíváno v common law systémech). Dalším možným vysvětlením je pak </w:t>
      </w:r>
      <w:r w:rsidR="00E60EF8">
        <w:t xml:space="preserve">podle ní </w:t>
      </w:r>
      <w:r w:rsidR="000957CD">
        <w:t>skutečnost</w:t>
      </w:r>
      <w:r>
        <w:t>, že větší množství citací může znamenat spíš náhodnější výběr rozhodnutí soudcem k odkazování a nebo větší komplexnost řešené právní otázky (či více právních otázek).</w:t>
      </w:r>
      <w:r>
        <w:rPr>
          <w:rStyle w:val="Znakapoznpodarou"/>
        </w:rPr>
        <w:footnoteReference w:id="176"/>
      </w:r>
    </w:p>
    <w:p w14:paraId="528F38DF" w14:textId="1A48386B" w:rsidR="00371256" w:rsidRDefault="00371256">
      <w:pPr>
        <w:pStyle w:val="Nadpis3"/>
        <w:numPr>
          <w:ilvl w:val="2"/>
          <w:numId w:val="14"/>
        </w:numPr>
      </w:pPr>
      <w:r>
        <w:t>Vývoj v čase</w:t>
      </w:r>
    </w:p>
    <w:p w14:paraId="11E5E819" w14:textId="1F6E4EA3" w:rsidR="00186AD8" w:rsidRDefault="00371256" w:rsidP="00371256">
      <w:pPr>
        <w:pStyle w:val="Odstavec1"/>
      </w:pPr>
      <w:r w:rsidRPr="00186AD8">
        <w:t>Dalš</w:t>
      </w:r>
      <w:r>
        <w:t xml:space="preserve">ím ukazatelem, </w:t>
      </w:r>
      <w:r w:rsidR="000957CD">
        <w:t>jenž</w:t>
      </w:r>
      <w:r>
        <w:t xml:space="preserve"> je </w:t>
      </w:r>
      <w:r w:rsidR="00186AD8">
        <w:t xml:space="preserve">v referovaném výzkumu </w:t>
      </w:r>
      <w:r>
        <w:t>zkoumán, je časový vývoj citací.</w:t>
      </w:r>
      <w:r w:rsidR="00BC68ED">
        <w:rPr>
          <w:rStyle w:val="Znakapoznpodarou"/>
        </w:rPr>
        <w:footnoteReference w:id="177"/>
      </w:r>
      <w:r>
        <w:t xml:space="preserve"> </w:t>
      </w:r>
      <w:r w:rsidR="000957CD">
        <w:t>To znamená</w:t>
      </w:r>
      <w:r>
        <w:t xml:space="preserve">, že </w:t>
      </w:r>
      <w:r w:rsidR="00B13249">
        <w:t>bylo</w:t>
      </w:r>
      <w:r>
        <w:t xml:space="preserve"> zjišťováno, zda se v průběhu let s časem zvětšuje</w:t>
      </w:r>
      <w:r w:rsidR="000957CD">
        <w:t>,</w:t>
      </w:r>
      <w:r>
        <w:t xml:space="preserve"> či </w:t>
      </w:r>
      <w:r w:rsidR="000957CD">
        <w:t xml:space="preserve">naopak </w:t>
      </w:r>
      <w:r>
        <w:t xml:space="preserve">zmenšuje počet rozhodnutí obsahujících (alespoň jednu) citaci a poměr těchto rozhodnutí vůči rozhodnutím bez citace. </w:t>
      </w:r>
      <w:r w:rsidR="00186AD8">
        <w:t xml:space="preserve">Tato data jsem opět získávala základními statistickými počty z CzCDC a </w:t>
      </w:r>
      <w:r w:rsidR="00186AD8" w:rsidRPr="00186AD8">
        <w:rPr>
          <w:i/>
          <w:iCs/>
        </w:rPr>
        <w:t>Czech Court Citations Dataset</w:t>
      </w:r>
      <w:r w:rsidR="00186AD8">
        <w:t>, a to na základě propojení metadat obsahujících datum publikace a typ publikujícího soudu.</w:t>
      </w:r>
    </w:p>
    <w:p w14:paraId="737AC2DF" w14:textId="22A79402" w:rsidR="00371256" w:rsidRDefault="00371256" w:rsidP="00186AD8">
      <w:pPr>
        <w:pStyle w:val="Dalodstavce"/>
      </w:pPr>
      <w:r>
        <w:t>Tato data jsou představena v následujících grafech zvlášť pro každý ze zkoumaných soudů a pro všechny soudy dohromady. Časový vývoj je samozřejmě limitován časovým ohraničením datasetů užitých v tomto experimentu (a celé této práci), což je rok 1993 až 2018 pro Ústavní a Nejvyšší soud a rok 2003 pro Nejvyšší správní soud (rok vzniku tohoto soudu).</w:t>
      </w:r>
    </w:p>
    <w:p w14:paraId="0F0433F1" w14:textId="1F83FAFD" w:rsidR="00371256" w:rsidRDefault="000957CD" w:rsidP="00371256">
      <w:pPr>
        <w:pStyle w:val="Dalodstavce"/>
      </w:pPr>
      <w:r>
        <w:lastRenderedPageBreak/>
        <w:t>V referované monografii je popisován zřejmý</w:t>
      </w:r>
      <w:r w:rsidR="00371256">
        <w:t xml:space="preserve"> trend vzrůstajícího počtu rozhodnutí obsahujících minimálně jednu citaci a s tím i poměr těchto rozhodnutí vůči rozhodnutím bez obsažené citace.</w:t>
      </w:r>
      <w:r w:rsidR="00BC68ED">
        <w:rPr>
          <w:rStyle w:val="Znakapoznpodarou"/>
        </w:rPr>
        <w:footnoteReference w:id="178"/>
      </w:r>
      <w:r w:rsidR="00371256">
        <w:t xml:space="preserve"> </w:t>
      </w:r>
      <w:r>
        <w:t>Smejkalová</w:t>
      </w:r>
      <w:r w:rsidR="00371256">
        <w:t xml:space="preserve"> z tohoto vývoje usuzuje, že soudci považují citování předchozích rozhodnutí za čím dál důležitější a že se mění vnímání důležitosti citování relevantní předchozí judikatury.</w:t>
      </w:r>
      <w:r w:rsidR="00371256">
        <w:rPr>
          <w:rStyle w:val="Znakapoznpodarou"/>
        </w:rPr>
        <w:footnoteReference w:id="179"/>
      </w:r>
    </w:p>
    <w:p w14:paraId="2F496404" w14:textId="4EAB7E90" w:rsidR="00371256" w:rsidRDefault="00BC68ED" w:rsidP="00371256">
      <w:pPr>
        <w:pStyle w:val="Dalodstavce"/>
      </w:pPr>
      <w:r>
        <w:t>V monografii jsme rozdělili g</w:t>
      </w:r>
      <w:r w:rsidR="00371256">
        <w:t xml:space="preserve">rafy vývoje četnosti citací v dokumentech v čase na dva případy. Prvním je poměr rozhodnutí obsahujících citaci vůči rozhodnutím neobsahujících citaci za všechny roky do daného roku, jedná se tedy o absolutní součet pro všechny roky do daného roku. V druhém případě se jedná o poměr těchto dvou kategorií rozhodnutí vždy jen pro </w:t>
      </w:r>
      <w:r w:rsidR="000957CD">
        <w:t>jeden</w:t>
      </w:r>
      <w:r w:rsidR="00371256">
        <w:t xml:space="preserve"> konkrétní rok. Toto rozdělení nám umož</w:t>
      </w:r>
      <w:r w:rsidR="00B24846">
        <w:t>nilo</w:t>
      </w:r>
      <w:r w:rsidR="00371256">
        <w:t xml:space="preserve"> vnímat postupné zvyšování poměru rozhodnutí obsahujících citaci v kontextu.</w:t>
      </w:r>
      <w:r w:rsidR="00B24846">
        <w:rPr>
          <w:rStyle w:val="Znakapoznpodarou"/>
        </w:rPr>
        <w:footnoteReference w:id="180"/>
      </w:r>
    </w:p>
    <w:p w14:paraId="0EC25DE8" w14:textId="13B43ED5" w:rsidR="00280F9B" w:rsidRDefault="00BF2A85" w:rsidP="008A0629">
      <w:pPr>
        <w:pStyle w:val="Obrzek"/>
      </w:pPr>
      <w:r>
        <w:rPr>
          <w:noProof/>
        </w:rPr>
        <w:drawing>
          <wp:inline distT="0" distB="0" distL="0" distR="0" wp14:anchorId="04DB1B7E" wp14:editId="566C95EE">
            <wp:extent cx="4572000" cy="3314700"/>
            <wp:effectExtent l="0" t="0" r="0" b="0"/>
            <wp:docPr id="8" name="Graf 8">
              <a:extLst xmlns:a="http://schemas.openxmlformats.org/drawingml/2006/main">
                <a:ext uri="{FF2B5EF4-FFF2-40B4-BE49-F238E27FC236}">
                  <a16:creationId xmlns:a16="http://schemas.microsoft.com/office/drawing/2014/main" id="{EA96DC41-6611-2D64-5F63-411C178B22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19955F6" w14:textId="071CB32F" w:rsidR="00280F9B" w:rsidRDefault="00280F9B" w:rsidP="008A0629">
      <w:pPr>
        <w:pStyle w:val="Titulek"/>
      </w:pPr>
      <w:bookmarkStart w:id="41" w:name="_Toc126874169"/>
      <w:r>
        <w:t xml:space="preserve">Obr. </w:t>
      </w:r>
      <w:r>
        <w:rPr>
          <w:noProof/>
        </w:rPr>
        <w:fldChar w:fldCharType="begin"/>
      </w:r>
      <w:r>
        <w:rPr>
          <w:noProof/>
        </w:rPr>
        <w:instrText xml:space="preserve"> SEQ Obr. \* ARABIC </w:instrText>
      </w:r>
      <w:r>
        <w:rPr>
          <w:noProof/>
        </w:rPr>
        <w:fldChar w:fldCharType="separate"/>
      </w:r>
      <w:r>
        <w:rPr>
          <w:noProof/>
        </w:rPr>
        <w:t>1</w:t>
      </w:r>
      <w:r>
        <w:rPr>
          <w:noProof/>
        </w:rPr>
        <w:fldChar w:fldCharType="end"/>
      </w:r>
      <w:r>
        <w:t xml:space="preserve">: </w:t>
      </w:r>
      <w:r w:rsidR="00D31B90">
        <w:t>Vývoj počtu rozhodnutí obsahujících alespoň jednu citaci a neobsahujících žádnou citaci, součet za všechny roky</w:t>
      </w:r>
      <w:bookmarkEnd w:id="41"/>
    </w:p>
    <w:p w14:paraId="5901C06A" w14:textId="30A92621" w:rsidR="00371256" w:rsidRDefault="00371256" w:rsidP="00D31B90">
      <w:pPr>
        <w:pStyle w:val="Dalodstavce"/>
        <w:ind w:firstLine="0"/>
      </w:pPr>
    </w:p>
    <w:p w14:paraId="183D6207" w14:textId="53BDADA7" w:rsidR="00D31B90" w:rsidRDefault="00BF2A85" w:rsidP="008A0629">
      <w:pPr>
        <w:pStyle w:val="Obrzek"/>
      </w:pPr>
      <w:r>
        <w:rPr>
          <w:noProof/>
        </w:rPr>
        <w:drawing>
          <wp:inline distT="0" distB="0" distL="0" distR="0" wp14:anchorId="6FA4CB7D" wp14:editId="1EC0AC7F">
            <wp:extent cx="4572000" cy="3133725"/>
            <wp:effectExtent l="0" t="0" r="0" b="9525"/>
            <wp:docPr id="7" name="Graf 7">
              <a:extLst xmlns:a="http://schemas.openxmlformats.org/drawingml/2006/main">
                <a:ext uri="{FF2B5EF4-FFF2-40B4-BE49-F238E27FC236}">
                  <a16:creationId xmlns:a16="http://schemas.microsoft.com/office/drawing/2014/main" id="{AB3C3B32-0428-38E8-89F1-A192DEB473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5E67380" w14:textId="6B94468E" w:rsidR="00D31B90" w:rsidRDefault="00D31B90" w:rsidP="003E7C04">
      <w:pPr>
        <w:pStyle w:val="Titulekpedpopisem"/>
      </w:pPr>
      <w:bookmarkStart w:id="42" w:name="_Toc126874170"/>
      <w:r>
        <w:t xml:space="preserve">Obr. </w:t>
      </w:r>
      <w:r>
        <w:rPr>
          <w:noProof/>
        </w:rPr>
        <w:fldChar w:fldCharType="begin"/>
      </w:r>
      <w:r>
        <w:rPr>
          <w:noProof/>
        </w:rPr>
        <w:instrText xml:space="preserve"> SEQ Obr. \* ARABIC </w:instrText>
      </w:r>
      <w:r>
        <w:rPr>
          <w:noProof/>
        </w:rPr>
        <w:fldChar w:fldCharType="separate"/>
      </w:r>
      <w:r>
        <w:rPr>
          <w:noProof/>
        </w:rPr>
        <w:t>2</w:t>
      </w:r>
      <w:r>
        <w:rPr>
          <w:noProof/>
        </w:rPr>
        <w:fldChar w:fldCharType="end"/>
      </w:r>
      <w:r>
        <w:t>: Vývoj počtu rozhodnutí obsahujících alespoň jednu citaci a neobsahujících žádnou citaci, vždy pouze za daný rok</w:t>
      </w:r>
      <w:bookmarkEnd w:id="42"/>
    </w:p>
    <w:p w14:paraId="64289FF8" w14:textId="77777777" w:rsidR="00D31B90" w:rsidRDefault="00D31B90" w:rsidP="00D31B90">
      <w:pPr>
        <w:pStyle w:val="Dalodstavce"/>
        <w:ind w:firstLine="0"/>
      </w:pPr>
    </w:p>
    <w:p w14:paraId="00D88C2F" w14:textId="4B36BF9B" w:rsidR="00371256" w:rsidRDefault="00B24846" w:rsidP="00371256">
      <w:pPr>
        <w:pStyle w:val="Dalodstavce"/>
      </w:pPr>
      <w:r>
        <w:t>Smejkalová v monografii popisuje</w:t>
      </w:r>
      <w:r w:rsidR="00371256">
        <w:t xml:space="preserve"> vývoj zvyšujícího se počtu rozhodnutí, které je obsahují citace dalších rozhodnutí i zvyšující se poměr těchto rozhodnutí vůči rozhodnutím bez citace. V 90. letech </w:t>
      </w:r>
      <w:r>
        <w:t>popisuje</w:t>
      </w:r>
      <w:r w:rsidR="00371256">
        <w:t xml:space="preserve"> tento vývoj nejprve </w:t>
      </w:r>
      <w:r>
        <w:t>jako</w:t>
      </w:r>
      <w:r w:rsidR="00371256">
        <w:t xml:space="preserve"> pozvolný. Výrazná změna pak probíhá mezi roky 2003 a 2005, kter</w:t>
      </w:r>
      <w:r w:rsidR="000957CD">
        <w:t>ou</w:t>
      </w:r>
      <w:r w:rsidR="00371256">
        <w:t xml:space="preserve"> je dle </w:t>
      </w:r>
      <w:r w:rsidR="000957CD">
        <w:t>ní</w:t>
      </w:r>
      <w:r w:rsidR="00371256">
        <w:t xml:space="preserve"> </w:t>
      </w:r>
      <w:r w:rsidR="000957CD">
        <w:t xml:space="preserve">možné </w:t>
      </w:r>
      <w:r w:rsidR="00371256">
        <w:t>vysvětl</w:t>
      </w:r>
      <w:r w:rsidR="000957CD">
        <w:t>it</w:t>
      </w:r>
      <w:r w:rsidR="00371256">
        <w:t xml:space="preserve"> vznikem Nejvyššího správního soudu a začátkem jeho </w:t>
      </w:r>
      <w:r w:rsidR="000957CD">
        <w:t>chodu</w:t>
      </w:r>
      <w:r w:rsidR="00371256">
        <w:t>.</w:t>
      </w:r>
      <w:r w:rsidR="00371256">
        <w:rPr>
          <w:rStyle w:val="Znakapoznpodarou"/>
        </w:rPr>
        <w:footnoteReference w:id="181"/>
      </w:r>
      <w:r w:rsidR="00371256">
        <w:t xml:space="preserve"> V posledním roce sledovaného vývoje se pak poměr rozhodnutí bez citace sn</w:t>
      </w:r>
      <w:r>
        <w:t>ížil</w:t>
      </w:r>
      <w:r w:rsidR="00371256">
        <w:t xml:space="preserve"> na pouhých 19,7 %.</w:t>
      </w:r>
      <w:r>
        <w:rPr>
          <w:rStyle w:val="Znakapoznpodarou"/>
        </w:rPr>
        <w:footnoteReference w:id="182"/>
      </w:r>
    </w:p>
    <w:p w14:paraId="0E869875" w14:textId="4DB1F64C" w:rsidR="00371256" w:rsidRDefault="00371256" w:rsidP="00371256">
      <w:pPr>
        <w:pStyle w:val="Dalodstavce"/>
      </w:pPr>
      <w:r>
        <w:t xml:space="preserve">Smejkalová z tohoto vývoje </w:t>
      </w:r>
      <w:r w:rsidR="00B24846">
        <w:t xml:space="preserve">v monografii </w:t>
      </w:r>
      <w:r>
        <w:t xml:space="preserve">usuzuje, že citování přechozích soudních rozhodnutí je považováno za čím dál důležitější a soudci se k němu uchylují čím dál častěji. Předchozí soudní rozhodnutí jsou tedy považována za relevantní pramen práva a jedná se o jistou známku jeho normativní síly při argumentaci v soudním rozhodování. Současně ale dodává, že necitování předchozích soudních rozhodnutí není v českém právním řádu nelegitimním či protiprávním </w:t>
      </w:r>
      <w:r>
        <w:lastRenderedPageBreak/>
        <w:t>rozhodováním. V tomto ohledu j</w:t>
      </w:r>
      <w:r w:rsidR="000957CD">
        <w:t>sou</w:t>
      </w:r>
      <w:r>
        <w:t xml:space="preserve"> důležitým období</w:t>
      </w:r>
      <w:r w:rsidR="000957CD">
        <w:t>m</w:t>
      </w:r>
      <w:r>
        <w:t xml:space="preserve"> 90. l</w:t>
      </w:r>
      <w:r w:rsidR="000957CD">
        <w:t>é</w:t>
      </w:r>
      <w:r>
        <w:t>t</w:t>
      </w:r>
      <w:r w:rsidR="000957CD">
        <w:t>a</w:t>
      </w:r>
      <w:r>
        <w:t xml:space="preserve"> 20. století, </w:t>
      </w:r>
      <w:r w:rsidR="001504C2">
        <w:t>během nichž</w:t>
      </w:r>
      <w:r>
        <w:t xml:space="preserve"> bylo citování předchozích rozhodnutí spíše raritou, nicméně je zde nutné přihlédnout k </w:t>
      </w:r>
      <w:r w:rsidR="001504C2">
        <w:t>faktu</w:t>
      </w:r>
      <w:r>
        <w:t xml:space="preserve">, že zde </w:t>
      </w:r>
      <w:r w:rsidR="001504C2">
        <w:t xml:space="preserve">ještě </w:t>
      </w:r>
      <w:r>
        <w:t>soudy neměly dostatečnou materii, kterou by v rozhodování mohl</w:t>
      </w:r>
      <w:r w:rsidR="001504C2">
        <w:t>y</w:t>
      </w:r>
      <w:r>
        <w:t xml:space="preserve"> citovat. Smejkalová situaci porovnává se studií Fowlera a Jeona, kteří popisují tuto situaci u Nejvyššího soudu USA v 18. a 19. století.</w:t>
      </w:r>
      <w:r>
        <w:rPr>
          <w:rStyle w:val="Znakapoznpodarou"/>
        </w:rPr>
        <w:footnoteReference w:id="183"/>
      </w:r>
      <w:r>
        <w:t xml:space="preserve"> Podobně argumentují i Derlén a Lindholm ve studii zabývající se analýzou rozhodnutí SDEU</w:t>
      </w:r>
      <w:r>
        <w:rPr>
          <w:rStyle w:val="Znakapoznpodarou"/>
        </w:rPr>
        <w:footnoteReference w:id="184"/>
      </w:r>
      <w:r>
        <w:t>, takový vývoj je tedy  v souladu s očekáváním založeným na předchozích studiích.</w:t>
      </w:r>
    </w:p>
    <w:p w14:paraId="49C5EE71" w14:textId="6C54E2BF" w:rsidR="00371256" w:rsidRDefault="00371256">
      <w:pPr>
        <w:pStyle w:val="Nadpis3"/>
        <w:numPr>
          <w:ilvl w:val="2"/>
          <w:numId w:val="14"/>
        </w:numPr>
      </w:pPr>
      <w:r>
        <w:t>Provázanost</w:t>
      </w:r>
    </w:p>
    <w:p w14:paraId="2D81039A" w14:textId="31EC6026" w:rsidR="00371256" w:rsidRPr="005804F9" w:rsidRDefault="00B24846" w:rsidP="005804F9">
      <w:pPr>
        <w:pStyle w:val="Odstavec1"/>
      </w:pPr>
      <w:r>
        <w:t>V referovaném výzkumu byl posledním</w:t>
      </w:r>
      <w:r w:rsidR="00371256">
        <w:t xml:space="preserve"> statistickým ukazatelem poměr citací vlastních rozhodnutí vůči citacím rozhodnutí ostatních soudů. </w:t>
      </w:r>
      <w:r w:rsidR="00575008">
        <w:t>Tento ukazatel je v něm označen v souladu s předchozími studiemi jako</w:t>
      </w:r>
      <w:r w:rsidR="00371256">
        <w:t xml:space="preserve"> tzv. provázanost citací mezi trojicí soudů navzájem, tedy zjištění, zda a jak moc každý z těchto tří soudů cituje rozhodnutí jiného z této trojice soudů.</w:t>
      </w:r>
      <w:r w:rsidR="00575008">
        <w:rPr>
          <w:rStyle w:val="Znakapoznpodarou"/>
        </w:rPr>
        <w:footnoteReference w:id="185"/>
      </w:r>
      <w:r w:rsidR="00371256">
        <w:t xml:space="preserve"> </w:t>
      </w:r>
      <w:r>
        <w:t>Jedná se opět o statistický přehled</w:t>
      </w:r>
      <w:r w:rsidR="00575008">
        <w:t xml:space="preserve">, který jsem počítala ze zmiňovaných datasetů na základě metadatového určení „odkud a kam“ konkrétní citace vede, tedy od rozhodnutí kterého ze soudů k rozhodnutí kterého ze soudů. </w:t>
      </w:r>
      <w:r w:rsidR="001504C2">
        <w:t>Dané</w:t>
      </w:r>
      <w:r w:rsidR="00371256">
        <w:t xml:space="preserve"> údaje </w:t>
      </w:r>
      <w:r w:rsidR="00575008">
        <w:t>byly pak</w:t>
      </w:r>
      <w:r w:rsidR="00371256">
        <w:t xml:space="preserve"> prezentovány percentuálně </w:t>
      </w:r>
      <w:r w:rsidR="001504C2">
        <w:t xml:space="preserve">jako </w:t>
      </w:r>
      <w:r w:rsidR="00371256">
        <w:t xml:space="preserve">poměry citací pro každý ze soudů </w:t>
      </w:r>
      <w:r w:rsidR="00575008">
        <w:t xml:space="preserve">a tak jsou prezentovány i </w:t>
      </w:r>
      <w:r w:rsidR="00371256">
        <w:t>v následující tabulce.</w:t>
      </w:r>
    </w:p>
    <w:p w14:paraId="04AABC6A" w14:textId="59B3B828" w:rsidR="005804F9" w:rsidRDefault="005804F9" w:rsidP="00953CD9">
      <w:pPr>
        <w:pStyle w:val="Titulektabulky"/>
      </w:pPr>
      <w:bookmarkStart w:id="43" w:name="_Toc126874209"/>
      <w:r>
        <w:t xml:space="preserve">Tab. </w:t>
      </w:r>
      <w:r>
        <w:rPr>
          <w:noProof/>
        </w:rPr>
        <w:fldChar w:fldCharType="begin"/>
      </w:r>
      <w:r>
        <w:rPr>
          <w:noProof/>
        </w:rPr>
        <w:instrText xml:space="preserve"> SEQ Tab. \* ARABIC </w:instrText>
      </w:r>
      <w:r>
        <w:rPr>
          <w:noProof/>
        </w:rPr>
        <w:fldChar w:fldCharType="separate"/>
      </w:r>
      <w:r>
        <w:rPr>
          <w:noProof/>
        </w:rPr>
        <w:t>5</w:t>
      </w:r>
      <w:r>
        <w:rPr>
          <w:noProof/>
        </w:rPr>
        <w:fldChar w:fldCharType="end"/>
      </w:r>
      <w:r>
        <w:t>: Počty a poměry vzájemných citací mezi soudy</w:t>
      </w:r>
      <w:bookmarkEnd w:id="43"/>
    </w:p>
    <w:tbl>
      <w:tblPr>
        <w:tblStyle w:val="ZPTabulka"/>
        <w:tblW w:w="0" w:type="auto"/>
        <w:tblLook w:val="04A0" w:firstRow="1" w:lastRow="0" w:firstColumn="1" w:lastColumn="0" w:noHBand="0" w:noVBand="1"/>
      </w:tblPr>
      <w:tblGrid>
        <w:gridCol w:w="2455"/>
        <w:gridCol w:w="2455"/>
        <w:gridCol w:w="2456"/>
      </w:tblGrid>
      <w:tr w:rsidR="005804F9" w14:paraId="3CEB1172" w14:textId="77777777" w:rsidTr="005804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7D7C806" w14:textId="38934807" w:rsidR="005804F9" w:rsidRPr="00155C38" w:rsidRDefault="005804F9" w:rsidP="00EE22D1">
            <w:pPr>
              <w:jc w:val="center"/>
              <w:rPr>
                <w:sz w:val="20"/>
                <w:szCs w:val="20"/>
                <w:lang w:eastAsia="sk-SK"/>
              </w:rPr>
            </w:pPr>
            <w:r w:rsidRPr="00155C38">
              <w:rPr>
                <w:sz w:val="20"/>
                <w:szCs w:val="20"/>
                <w:lang w:eastAsia="sk-SK"/>
              </w:rPr>
              <w:t>Kdo cituje</w:t>
            </w:r>
          </w:p>
        </w:tc>
        <w:tc>
          <w:tcPr>
            <w:tcW w:w="2455" w:type="dxa"/>
          </w:tcPr>
          <w:p w14:paraId="7C214F97" w14:textId="5B30CC03" w:rsidR="005804F9" w:rsidRPr="00155C38" w:rsidRDefault="005804F9"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155C38">
              <w:rPr>
                <w:sz w:val="20"/>
                <w:szCs w:val="20"/>
                <w:lang w:eastAsia="sk-SK"/>
              </w:rPr>
              <w:t>Počet citací</w:t>
            </w:r>
          </w:p>
        </w:tc>
        <w:tc>
          <w:tcPr>
            <w:tcW w:w="2456" w:type="dxa"/>
          </w:tcPr>
          <w:p w14:paraId="24F743A7" w14:textId="4D9579D0" w:rsidR="005804F9" w:rsidRPr="00155C38" w:rsidRDefault="005804F9"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155C38">
              <w:rPr>
                <w:sz w:val="20"/>
                <w:szCs w:val="20"/>
                <w:lang w:eastAsia="sk-SK"/>
              </w:rPr>
              <w:t>Poměr z celkového počtu citací soudu</w:t>
            </w:r>
          </w:p>
        </w:tc>
      </w:tr>
      <w:tr w:rsidR="005804F9" w14:paraId="39C68E62" w14:textId="77777777" w:rsidTr="0058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21090999" w14:textId="7E2E99BC" w:rsidR="005804F9" w:rsidRPr="00155C38" w:rsidRDefault="00526405" w:rsidP="00EE22D1">
            <w:pPr>
              <w:jc w:val="center"/>
              <w:rPr>
                <w:sz w:val="20"/>
                <w:szCs w:val="20"/>
                <w:lang w:eastAsia="sk-SK"/>
              </w:rPr>
            </w:pPr>
            <w:r w:rsidRPr="00155C38">
              <w:rPr>
                <w:sz w:val="20"/>
                <w:szCs w:val="20"/>
                <w:lang w:eastAsia="sk-SK"/>
              </w:rPr>
              <w:t>ÚS cituje ÚS</w:t>
            </w:r>
          </w:p>
        </w:tc>
        <w:tc>
          <w:tcPr>
            <w:tcW w:w="2455" w:type="dxa"/>
          </w:tcPr>
          <w:p w14:paraId="72C1FB7C" w14:textId="577508C8"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137 308</w:t>
            </w:r>
          </w:p>
        </w:tc>
        <w:tc>
          <w:tcPr>
            <w:tcW w:w="2456" w:type="dxa"/>
          </w:tcPr>
          <w:p w14:paraId="16D9BA23" w14:textId="206C9591"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70,64 %</w:t>
            </w:r>
          </w:p>
        </w:tc>
      </w:tr>
      <w:tr w:rsidR="005804F9" w14:paraId="66A85BE2" w14:textId="77777777" w:rsidTr="005804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11510BE3" w14:textId="4AAF165C" w:rsidR="005804F9" w:rsidRPr="00155C38" w:rsidRDefault="00526405" w:rsidP="00EE22D1">
            <w:pPr>
              <w:jc w:val="center"/>
              <w:rPr>
                <w:sz w:val="20"/>
                <w:szCs w:val="20"/>
                <w:lang w:eastAsia="sk-SK"/>
              </w:rPr>
            </w:pPr>
            <w:r w:rsidRPr="00155C38">
              <w:rPr>
                <w:sz w:val="20"/>
                <w:szCs w:val="20"/>
                <w:lang w:eastAsia="sk-SK"/>
              </w:rPr>
              <w:t>ÚS cituje NS</w:t>
            </w:r>
          </w:p>
        </w:tc>
        <w:tc>
          <w:tcPr>
            <w:tcW w:w="2455" w:type="dxa"/>
          </w:tcPr>
          <w:p w14:paraId="6D41C579" w14:textId="4FE001E1"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8 486</w:t>
            </w:r>
          </w:p>
        </w:tc>
        <w:tc>
          <w:tcPr>
            <w:tcW w:w="2456" w:type="dxa"/>
          </w:tcPr>
          <w:p w14:paraId="0F41B423" w14:textId="42CEF1F6"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4,37 %</w:t>
            </w:r>
          </w:p>
        </w:tc>
      </w:tr>
      <w:tr w:rsidR="005804F9" w14:paraId="18D053C0" w14:textId="77777777" w:rsidTr="0058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63D9DDA4" w14:textId="75F9FC62" w:rsidR="005804F9" w:rsidRPr="00155C38" w:rsidRDefault="00526405" w:rsidP="00EE22D1">
            <w:pPr>
              <w:jc w:val="center"/>
              <w:rPr>
                <w:sz w:val="20"/>
                <w:szCs w:val="20"/>
                <w:lang w:eastAsia="sk-SK"/>
              </w:rPr>
            </w:pPr>
            <w:r w:rsidRPr="00155C38">
              <w:rPr>
                <w:sz w:val="20"/>
                <w:szCs w:val="20"/>
                <w:lang w:eastAsia="sk-SK"/>
              </w:rPr>
              <w:t>ÚS cituje NSS</w:t>
            </w:r>
          </w:p>
        </w:tc>
        <w:tc>
          <w:tcPr>
            <w:tcW w:w="2455" w:type="dxa"/>
          </w:tcPr>
          <w:p w14:paraId="3818D60A" w14:textId="506C7845"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2 877</w:t>
            </w:r>
          </w:p>
        </w:tc>
        <w:tc>
          <w:tcPr>
            <w:tcW w:w="2456" w:type="dxa"/>
          </w:tcPr>
          <w:p w14:paraId="2BD801F8" w14:textId="3B4DD748"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1,48 %</w:t>
            </w:r>
          </w:p>
        </w:tc>
      </w:tr>
      <w:tr w:rsidR="005804F9" w14:paraId="283F89E1" w14:textId="77777777" w:rsidTr="005804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B299943" w14:textId="605F526B" w:rsidR="005804F9" w:rsidRPr="00155C38" w:rsidRDefault="00526405" w:rsidP="00EE22D1">
            <w:pPr>
              <w:jc w:val="center"/>
              <w:rPr>
                <w:sz w:val="20"/>
                <w:szCs w:val="20"/>
                <w:lang w:eastAsia="sk-SK"/>
              </w:rPr>
            </w:pPr>
            <w:r w:rsidRPr="00155C38">
              <w:rPr>
                <w:sz w:val="20"/>
                <w:szCs w:val="20"/>
                <w:lang w:eastAsia="sk-SK"/>
              </w:rPr>
              <w:t>ÚS cituje ostatní</w:t>
            </w:r>
          </w:p>
        </w:tc>
        <w:tc>
          <w:tcPr>
            <w:tcW w:w="2455" w:type="dxa"/>
          </w:tcPr>
          <w:p w14:paraId="55E94EC5" w14:textId="03C5068C"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45 689</w:t>
            </w:r>
          </w:p>
        </w:tc>
        <w:tc>
          <w:tcPr>
            <w:tcW w:w="2456" w:type="dxa"/>
          </w:tcPr>
          <w:p w14:paraId="727FB494" w14:textId="75B8426E"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23,51 %</w:t>
            </w:r>
          </w:p>
        </w:tc>
      </w:tr>
      <w:tr w:rsidR="005804F9" w14:paraId="4266B685" w14:textId="77777777" w:rsidTr="0058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289936CF" w14:textId="62453B5C" w:rsidR="005804F9" w:rsidRPr="00155C38" w:rsidRDefault="00526405" w:rsidP="00EE22D1">
            <w:pPr>
              <w:jc w:val="center"/>
              <w:rPr>
                <w:sz w:val="20"/>
                <w:szCs w:val="20"/>
                <w:lang w:eastAsia="sk-SK"/>
              </w:rPr>
            </w:pPr>
            <w:r w:rsidRPr="00155C38">
              <w:rPr>
                <w:sz w:val="20"/>
                <w:szCs w:val="20"/>
                <w:lang w:eastAsia="sk-SK"/>
              </w:rPr>
              <w:t>NS cituje NS</w:t>
            </w:r>
          </w:p>
        </w:tc>
        <w:tc>
          <w:tcPr>
            <w:tcW w:w="2455" w:type="dxa"/>
          </w:tcPr>
          <w:p w14:paraId="18D87446" w14:textId="3B49B78C"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153 242</w:t>
            </w:r>
          </w:p>
        </w:tc>
        <w:tc>
          <w:tcPr>
            <w:tcW w:w="2456" w:type="dxa"/>
          </w:tcPr>
          <w:p w14:paraId="42F16970" w14:textId="14265B79"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44,16 %</w:t>
            </w:r>
          </w:p>
        </w:tc>
      </w:tr>
      <w:tr w:rsidR="005804F9" w14:paraId="2C4B4BE5" w14:textId="77777777" w:rsidTr="005804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7974D512" w14:textId="561077A7" w:rsidR="005804F9" w:rsidRPr="00155C38" w:rsidRDefault="00526405" w:rsidP="00EE22D1">
            <w:pPr>
              <w:jc w:val="center"/>
              <w:rPr>
                <w:sz w:val="20"/>
                <w:szCs w:val="20"/>
                <w:lang w:eastAsia="sk-SK"/>
              </w:rPr>
            </w:pPr>
            <w:r w:rsidRPr="00155C38">
              <w:rPr>
                <w:sz w:val="20"/>
                <w:szCs w:val="20"/>
                <w:lang w:eastAsia="sk-SK"/>
              </w:rPr>
              <w:lastRenderedPageBreak/>
              <w:t>NS cituje ÚS</w:t>
            </w:r>
          </w:p>
        </w:tc>
        <w:tc>
          <w:tcPr>
            <w:tcW w:w="2455" w:type="dxa"/>
          </w:tcPr>
          <w:p w14:paraId="121EFBB1" w14:textId="21D37D92"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80 658</w:t>
            </w:r>
          </w:p>
        </w:tc>
        <w:tc>
          <w:tcPr>
            <w:tcW w:w="2456" w:type="dxa"/>
          </w:tcPr>
          <w:p w14:paraId="49AA7B5C" w14:textId="69DB372A"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23,24 %</w:t>
            </w:r>
          </w:p>
        </w:tc>
      </w:tr>
      <w:tr w:rsidR="005804F9" w14:paraId="1663EA09" w14:textId="77777777" w:rsidTr="0058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5FAB5101" w14:textId="1FA5F3BD" w:rsidR="005804F9" w:rsidRPr="00155C38" w:rsidRDefault="00526405" w:rsidP="00EE22D1">
            <w:pPr>
              <w:jc w:val="center"/>
              <w:rPr>
                <w:sz w:val="20"/>
                <w:szCs w:val="20"/>
                <w:lang w:eastAsia="sk-SK"/>
              </w:rPr>
            </w:pPr>
            <w:r w:rsidRPr="00155C38">
              <w:rPr>
                <w:sz w:val="20"/>
                <w:szCs w:val="20"/>
                <w:lang w:eastAsia="sk-SK"/>
              </w:rPr>
              <w:t>NS cituje NSS</w:t>
            </w:r>
          </w:p>
        </w:tc>
        <w:tc>
          <w:tcPr>
            <w:tcW w:w="2455" w:type="dxa"/>
          </w:tcPr>
          <w:p w14:paraId="4A4F71C6" w14:textId="3109FCBF"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804</w:t>
            </w:r>
          </w:p>
        </w:tc>
        <w:tc>
          <w:tcPr>
            <w:tcW w:w="2456" w:type="dxa"/>
          </w:tcPr>
          <w:p w14:paraId="64CC8DAC" w14:textId="36BD3FC6"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0,23 %</w:t>
            </w:r>
          </w:p>
        </w:tc>
      </w:tr>
      <w:tr w:rsidR="005804F9" w14:paraId="7644BBD1" w14:textId="77777777" w:rsidTr="005804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121619FD" w14:textId="119EF0FD" w:rsidR="005804F9" w:rsidRPr="00155C38" w:rsidRDefault="00526405" w:rsidP="00EE22D1">
            <w:pPr>
              <w:jc w:val="center"/>
              <w:rPr>
                <w:sz w:val="20"/>
                <w:szCs w:val="20"/>
                <w:lang w:eastAsia="sk-SK"/>
              </w:rPr>
            </w:pPr>
            <w:r w:rsidRPr="00155C38">
              <w:rPr>
                <w:sz w:val="20"/>
                <w:szCs w:val="20"/>
                <w:lang w:eastAsia="sk-SK"/>
              </w:rPr>
              <w:t>NS cituje ostatní</w:t>
            </w:r>
          </w:p>
        </w:tc>
        <w:tc>
          <w:tcPr>
            <w:tcW w:w="2455" w:type="dxa"/>
          </w:tcPr>
          <w:p w14:paraId="74EFB3A8" w14:textId="1DF8CFC5"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112 287</w:t>
            </w:r>
          </w:p>
        </w:tc>
        <w:tc>
          <w:tcPr>
            <w:tcW w:w="2456" w:type="dxa"/>
          </w:tcPr>
          <w:p w14:paraId="2ACC2F71" w14:textId="5D5C0462"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32,36 %</w:t>
            </w:r>
          </w:p>
        </w:tc>
      </w:tr>
      <w:tr w:rsidR="005804F9" w14:paraId="792951B0" w14:textId="77777777" w:rsidTr="0058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45E642DA" w14:textId="76DCE77E" w:rsidR="005804F9" w:rsidRPr="00155C38" w:rsidRDefault="00526405" w:rsidP="00EE22D1">
            <w:pPr>
              <w:jc w:val="center"/>
              <w:rPr>
                <w:sz w:val="20"/>
                <w:szCs w:val="20"/>
                <w:lang w:eastAsia="sk-SK"/>
              </w:rPr>
            </w:pPr>
            <w:r w:rsidRPr="00155C38">
              <w:rPr>
                <w:sz w:val="20"/>
                <w:szCs w:val="20"/>
                <w:lang w:eastAsia="sk-SK"/>
              </w:rPr>
              <w:t>NSS cituje NSS</w:t>
            </w:r>
          </w:p>
        </w:tc>
        <w:tc>
          <w:tcPr>
            <w:tcW w:w="2455" w:type="dxa"/>
          </w:tcPr>
          <w:p w14:paraId="2D9F7DD6" w14:textId="78D9C215"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90 217</w:t>
            </w:r>
          </w:p>
        </w:tc>
        <w:tc>
          <w:tcPr>
            <w:tcW w:w="2456" w:type="dxa"/>
          </w:tcPr>
          <w:p w14:paraId="5AAB5002" w14:textId="2166BE73"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71,02 %</w:t>
            </w:r>
          </w:p>
        </w:tc>
      </w:tr>
      <w:tr w:rsidR="005804F9" w14:paraId="31FEBDA8" w14:textId="77777777" w:rsidTr="005804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412FBB88" w14:textId="76E65E4D" w:rsidR="005804F9" w:rsidRPr="00155C38" w:rsidRDefault="00526405" w:rsidP="00EE22D1">
            <w:pPr>
              <w:jc w:val="center"/>
              <w:rPr>
                <w:sz w:val="20"/>
                <w:szCs w:val="20"/>
                <w:lang w:eastAsia="sk-SK"/>
              </w:rPr>
            </w:pPr>
            <w:r w:rsidRPr="00155C38">
              <w:rPr>
                <w:sz w:val="20"/>
                <w:szCs w:val="20"/>
                <w:lang w:eastAsia="sk-SK"/>
              </w:rPr>
              <w:t>NSS cituje ÚS</w:t>
            </w:r>
          </w:p>
        </w:tc>
        <w:tc>
          <w:tcPr>
            <w:tcW w:w="2455" w:type="dxa"/>
          </w:tcPr>
          <w:p w14:paraId="5F3A2E24" w14:textId="4F5ECB13"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14 756</w:t>
            </w:r>
          </w:p>
        </w:tc>
        <w:tc>
          <w:tcPr>
            <w:tcW w:w="2456" w:type="dxa"/>
          </w:tcPr>
          <w:p w14:paraId="5608FDD5" w14:textId="1273A965" w:rsidR="005804F9"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11,62 %</w:t>
            </w:r>
          </w:p>
        </w:tc>
      </w:tr>
      <w:tr w:rsidR="005804F9" w14:paraId="61C66094" w14:textId="77777777" w:rsidTr="00580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14BE9161" w14:textId="5200B4BA" w:rsidR="005804F9" w:rsidRPr="00155C38" w:rsidRDefault="00526405" w:rsidP="00EE22D1">
            <w:pPr>
              <w:jc w:val="center"/>
              <w:rPr>
                <w:sz w:val="20"/>
                <w:szCs w:val="20"/>
                <w:lang w:eastAsia="sk-SK"/>
              </w:rPr>
            </w:pPr>
            <w:r w:rsidRPr="00155C38">
              <w:rPr>
                <w:sz w:val="20"/>
                <w:szCs w:val="20"/>
                <w:lang w:eastAsia="sk-SK"/>
              </w:rPr>
              <w:t>NSS cituje NS</w:t>
            </w:r>
          </w:p>
        </w:tc>
        <w:tc>
          <w:tcPr>
            <w:tcW w:w="2455" w:type="dxa"/>
          </w:tcPr>
          <w:p w14:paraId="6DDBE451" w14:textId="6BA2489B"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1 342</w:t>
            </w:r>
          </w:p>
        </w:tc>
        <w:tc>
          <w:tcPr>
            <w:tcW w:w="2456" w:type="dxa"/>
          </w:tcPr>
          <w:p w14:paraId="27D2EC77" w14:textId="66E1D225" w:rsidR="005804F9" w:rsidRPr="00155C38" w:rsidRDefault="0052640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155C38">
              <w:rPr>
                <w:sz w:val="20"/>
                <w:szCs w:val="20"/>
                <w:lang w:eastAsia="sk-SK"/>
              </w:rPr>
              <w:t>1,06 %</w:t>
            </w:r>
          </w:p>
        </w:tc>
      </w:tr>
      <w:tr w:rsidR="00526405" w14:paraId="782B94E7" w14:textId="77777777" w:rsidTr="005804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555288E3" w14:textId="5C59E68B" w:rsidR="00526405" w:rsidRPr="00155C38" w:rsidRDefault="00526405" w:rsidP="00EE22D1">
            <w:pPr>
              <w:jc w:val="center"/>
              <w:rPr>
                <w:sz w:val="20"/>
                <w:szCs w:val="20"/>
                <w:lang w:eastAsia="sk-SK"/>
              </w:rPr>
            </w:pPr>
            <w:r w:rsidRPr="00155C38">
              <w:rPr>
                <w:sz w:val="20"/>
                <w:szCs w:val="20"/>
                <w:lang w:eastAsia="sk-SK"/>
              </w:rPr>
              <w:t>NSS cituje ostatní</w:t>
            </w:r>
          </w:p>
        </w:tc>
        <w:tc>
          <w:tcPr>
            <w:tcW w:w="2455" w:type="dxa"/>
          </w:tcPr>
          <w:p w14:paraId="5A5A54D7" w14:textId="1F62E73F" w:rsidR="00526405"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20 709</w:t>
            </w:r>
          </w:p>
        </w:tc>
        <w:tc>
          <w:tcPr>
            <w:tcW w:w="2456" w:type="dxa"/>
          </w:tcPr>
          <w:p w14:paraId="567596EB" w14:textId="5CEA4A65" w:rsidR="00526405" w:rsidRPr="00155C38" w:rsidRDefault="00526405"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155C38">
              <w:rPr>
                <w:sz w:val="20"/>
                <w:szCs w:val="20"/>
                <w:lang w:eastAsia="sk-SK"/>
              </w:rPr>
              <w:t>16,30 %</w:t>
            </w:r>
          </w:p>
        </w:tc>
      </w:tr>
    </w:tbl>
    <w:p w14:paraId="250AD6D2" w14:textId="77777777" w:rsidR="005804F9" w:rsidRPr="00EE22D1" w:rsidRDefault="005804F9" w:rsidP="00EE22D1">
      <w:pPr>
        <w:jc w:val="center"/>
        <w:rPr>
          <w:lang w:eastAsia="sk-SK"/>
        </w:rPr>
      </w:pPr>
    </w:p>
    <w:p w14:paraId="70DB3E9B" w14:textId="77777777" w:rsidR="005804F9" w:rsidRDefault="005804F9" w:rsidP="005804F9">
      <w:pPr>
        <w:pStyle w:val="Dalodstavce"/>
        <w:ind w:firstLine="0"/>
      </w:pPr>
    </w:p>
    <w:p w14:paraId="4973F666" w14:textId="6A97D720" w:rsidR="00371256" w:rsidRDefault="002D5D66" w:rsidP="00371256">
      <w:pPr>
        <w:pStyle w:val="Dalodstavce"/>
      </w:pPr>
      <w:r>
        <w:t>V referované monografii je uvedeno</w:t>
      </w:r>
      <w:r w:rsidR="00371256">
        <w:t>, že Nejvyšší soud cituj</w:t>
      </w:r>
      <w:r w:rsidR="00575008">
        <w:t>e</w:t>
      </w:r>
      <w:r w:rsidR="00371256">
        <w:t xml:space="preserve"> svoji vlastní judikaturu v 44,16 % případů, častěji tedy cituje rozhodnutí jiných soudů. Ústavní soud je citován v 23,24 % a Nejvyšší správní soud pouze v 0,23 % případů. </w:t>
      </w:r>
      <w:r w:rsidR="007D205C">
        <w:t xml:space="preserve">Dále </w:t>
      </w:r>
      <w:r>
        <w:t>je uvedeno</w:t>
      </w:r>
      <w:r w:rsidR="007D205C">
        <w:t>, že v</w:t>
      </w:r>
      <w:r w:rsidR="00371256">
        <w:t>ýrazná je zde kategorie citací rozhodnutí všech ostatních soudů, která tvoří 32,36 % případů, tedy bezmála třetinu veškerých citací obsažených v rozhodnutích Nejvyššího soudu. Tato kategorie zahrnuje rozhodnutí jak obecných nižších, tak mezinárodních či zahraničních soudů.</w:t>
      </w:r>
      <w:r w:rsidR="007D205C">
        <w:rPr>
          <w:rStyle w:val="Znakapoznpodarou"/>
        </w:rPr>
        <w:footnoteReference w:id="186"/>
      </w:r>
    </w:p>
    <w:p w14:paraId="00C07D87" w14:textId="3C1F993F" w:rsidR="00371256" w:rsidRDefault="007D205C" w:rsidP="00371256">
      <w:pPr>
        <w:pStyle w:val="Dalodstavce"/>
      </w:pPr>
      <w:r>
        <w:t xml:space="preserve">Dále </w:t>
      </w:r>
      <w:r w:rsidR="002D5D66">
        <w:t>je popisováno</w:t>
      </w:r>
      <w:r>
        <w:t>, že v</w:t>
      </w:r>
      <w:r w:rsidR="00371256">
        <w:t xml:space="preserve"> případě Nejvyššího správního soudu se jedná o vlastní rozhodnutí v 71,02 % případů, což je současně největší podíl citací vlastních rozhodnutí ze všech tří soudů. </w:t>
      </w:r>
      <w:r w:rsidR="002D5D66">
        <w:t>Smejkalová tuto</w:t>
      </w:r>
      <w:r w:rsidR="00371256">
        <w:t xml:space="preserve"> situaci </w:t>
      </w:r>
      <w:r>
        <w:t xml:space="preserve">vysvětluje </w:t>
      </w:r>
      <w:r w:rsidR="00371256">
        <w:t>specifičností odvětví správního práva, jehož případy jsou odlišné od „obecnosti“ a šíře případů řešených v rámci civilního soudnictví (a tato teze je podpořena i faktem, že je tento soud nejméně citován dalšími dvěma soudy).</w:t>
      </w:r>
      <w:r w:rsidR="00371256">
        <w:rPr>
          <w:rStyle w:val="Znakapoznpodarou"/>
        </w:rPr>
        <w:footnoteReference w:id="187"/>
      </w:r>
      <w:r w:rsidR="00371256">
        <w:t xml:space="preserve"> Druhou nejčastější kategorií jsou rozhodnutí nižších, mezinárodních a zahraničních soudů v 16,3 % případů a dále rozhodnutí Ústavního soudu v 11,62 % případů. Nejvyšší soud je citován v 1 % případů. Z těchto dat </w:t>
      </w:r>
      <w:r w:rsidR="00653298">
        <w:t>vyvozuje</w:t>
      </w:r>
      <w:r w:rsidR="00371256">
        <w:t>, že i přes výraznou oddělenost správního soudnictví v rámci tohoto citačního datasetu jsou výrazně citována rozhodnutí Ústavního soudu</w:t>
      </w:r>
      <w:r w:rsidR="00653298">
        <w:t xml:space="preserve"> a</w:t>
      </w:r>
      <w:r w:rsidR="00371256">
        <w:t xml:space="preserve"> předpokládá, že pravděpodobně z nějakých obecných principiálních důvodů.</w:t>
      </w:r>
      <w:r w:rsidR="00371256">
        <w:rPr>
          <w:rStyle w:val="Znakapoznpodarou"/>
        </w:rPr>
        <w:footnoteReference w:id="188"/>
      </w:r>
    </w:p>
    <w:p w14:paraId="739C48AE" w14:textId="7EB9278A" w:rsidR="00371256" w:rsidRDefault="00371256" w:rsidP="00371256">
      <w:pPr>
        <w:pStyle w:val="Dalodstavce"/>
      </w:pPr>
      <w:r>
        <w:t>Ústavní soud cituje nejčastěji svoje vlastní rozhodnutí a to v 70,64</w:t>
      </w:r>
      <w:r w:rsidR="0027700E">
        <w:t> </w:t>
      </w:r>
      <w:r>
        <w:t xml:space="preserve">% případů, dále cituje rozhodnutí obecných, zahraničních a mezinárodních </w:t>
      </w:r>
      <w:r>
        <w:lastRenderedPageBreak/>
        <w:t>soudů v 23,51 % případů, rozhodnutí Nejvyššího soudu v pouhých 4,37</w:t>
      </w:r>
      <w:r w:rsidR="0027700E">
        <w:t> </w:t>
      </w:r>
      <w:r>
        <w:t>% případů a Nejvyššího správního v 1,48 % případů.</w:t>
      </w:r>
      <w:r w:rsidR="00A456A0">
        <w:rPr>
          <w:rStyle w:val="Znakapoznpodarou"/>
        </w:rPr>
        <w:footnoteReference w:id="189"/>
      </w:r>
    </w:p>
    <w:p w14:paraId="4D9D3498" w14:textId="3DD06424" w:rsidR="00371256" w:rsidRDefault="007D205C" w:rsidP="00371256">
      <w:pPr>
        <w:pStyle w:val="Dalodstavce"/>
      </w:pPr>
      <w:r>
        <w:t>V monografii Smejkalová shrnuje, že</w:t>
      </w:r>
      <w:r w:rsidR="00371256">
        <w:t xml:space="preserve"> Ústavní a Nejvyšší správní soud mají velký podíl citací vlastních rozhodnutí, což je pravděpodobně dáno tematickým oddělením případů řešených před těmito soudy. Nejvyšší a Ústavní soud zase v poměrně velké části citují rozhodnutí jiných českých, zahraničních či mezinárodních soudů.</w:t>
      </w:r>
      <w:r w:rsidR="00A456A0">
        <w:rPr>
          <w:rStyle w:val="Znakapoznpodarou"/>
        </w:rPr>
        <w:footnoteReference w:id="190"/>
      </w:r>
    </w:p>
    <w:p w14:paraId="22F79A7D" w14:textId="6995FF1D" w:rsidR="00371256" w:rsidRDefault="00A456A0" w:rsidP="00371256">
      <w:pPr>
        <w:pStyle w:val="Dalodstavce"/>
      </w:pPr>
      <w:r>
        <w:t>Dále upozorňuje na to</w:t>
      </w:r>
      <w:r w:rsidR="00371256">
        <w:t xml:space="preserve">, že citační vzorce Nejvyššího soudu se od ostatních dvou odlišují nejvíce. Oproti citacím vlastních rozhodnutí tento soud z většiny cituje rozhodnutí Ústavního soudu a rozhodnutí ostatních obecných, zahraničních a mezinárodních soudů. </w:t>
      </w:r>
      <w:r>
        <w:t>U</w:t>
      </w:r>
      <w:r w:rsidR="00371256">
        <w:t>rčitý vliv na tuto odlišnost může i mít i jeden z limitů tohoto výzkumu, vztahující se k neúplnosti datasetu rozhodnutí, který byl použit. Oproti ostatním dvěma soudům pochází rozhodnutí z jiného zdroje a dataset je nejméně kompletní, což může mít vliv na statistiku extrahovaných citací z tohoto datasetu.</w:t>
      </w:r>
      <w:r w:rsidR="00371256">
        <w:rPr>
          <w:rStyle w:val="Znakapoznpodarou"/>
        </w:rPr>
        <w:footnoteReference w:id="191"/>
      </w:r>
    </w:p>
    <w:p w14:paraId="1E0FFE59" w14:textId="7EA10DFB" w:rsidR="00371256" w:rsidRDefault="00371256" w:rsidP="00371256">
      <w:pPr>
        <w:pStyle w:val="Dalodstavce"/>
      </w:pPr>
      <w:r>
        <w:t xml:space="preserve">Proto, aby mohly být zjištěny důvody takové situace, </w:t>
      </w:r>
      <w:r w:rsidR="00DD2EF5">
        <w:t>jsem</w:t>
      </w:r>
      <w:r>
        <w:t xml:space="preserve"> </w:t>
      </w:r>
      <w:r w:rsidR="00A456A0">
        <w:t xml:space="preserve">v rámci </w:t>
      </w:r>
      <w:r w:rsidR="00653298">
        <w:t xml:space="preserve">tohoto </w:t>
      </w:r>
      <w:r w:rsidR="00A456A0">
        <w:t xml:space="preserve">výzkumu </w:t>
      </w:r>
      <w:r>
        <w:t xml:space="preserve">u citací Nejvyššího soudu nadále </w:t>
      </w:r>
      <w:r w:rsidR="00DD2EF5">
        <w:t>analyzovala</w:t>
      </w:r>
      <w:r>
        <w:t xml:space="preserve"> kategori</w:t>
      </w:r>
      <w:r w:rsidR="00DD2EF5">
        <w:t>i</w:t>
      </w:r>
      <w:r>
        <w:t xml:space="preserve"> citací rozhodnutí ostatních obecných, zahraničních a mezinárodních soudů a </w:t>
      </w:r>
      <w:r w:rsidR="00DD2EF5">
        <w:t>zjistila jsem</w:t>
      </w:r>
      <w:r>
        <w:t xml:space="preserve">, že 80 % těchto citací tvoří odkazy na rozhodnutí nižších soudů. </w:t>
      </w:r>
      <w:r w:rsidR="00DD2EF5">
        <w:t>Smejkalová dále tuto situaci interpretuje</w:t>
      </w:r>
      <w:r>
        <w:t xml:space="preserve"> specifickou rolí Nejvyššího soudu v rámci soudní soustavy, která je definována v zákoně č. 6/2002 Sb., o soudech a soudcích</w:t>
      </w:r>
      <w:r>
        <w:rPr>
          <w:rStyle w:val="Znakapoznpodarou"/>
        </w:rPr>
        <w:footnoteReference w:id="192"/>
      </w:r>
      <w:r>
        <w:t xml:space="preserve">, </w:t>
      </w:r>
      <w:r w:rsidR="001504C2">
        <w:t>jíž</w:t>
      </w:r>
      <w:r>
        <w:t xml:space="preserve"> je rozhodování o mimořádných opravných prostředcích a sjednocování rozhodovací praxe nižších soudů</w:t>
      </w:r>
      <w:r>
        <w:rPr>
          <w:rStyle w:val="Znakapoznpodarou"/>
        </w:rPr>
        <w:footnoteReference w:id="193"/>
      </w:r>
      <w:r>
        <w:t xml:space="preserve">. </w:t>
      </w:r>
      <w:r w:rsidR="00653298">
        <w:t>Dále k tomu</w:t>
      </w:r>
      <w:r>
        <w:t xml:space="preserve"> uvádí, že právě sjednocování rozhodovací praxe nižších soudů v civilně a trestně právním soudnictví je pravděpodobně příčinou velkého podílu citací rozhodnutí těchto soudů mezi rozhodnutími Nejvyššího soudu.</w:t>
      </w:r>
      <w:r>
        <w:rPr>
          <w:rStyle w:val="Znakapoznpodarou"/>
        </w:rPr>
        <w:footnoteReference w:id="194"/>
      </w:r>
    </w:p>
    <w:p w14:paraId="07F477FF" w14:textId="1DA8EFB5" w:rsidR="00371256" w:rsidRDefault="00371256">
      <w:pPr>
        <w:pStyle w:val="Nadpis2"/>
        <w:numPr>
          <w:ilvl w:val="1"/>
          <w:numId w:val="14"/>
        </w:numPr>
      </w:pPr>
      <w:bookmarkStart w:id="44" w:name="_Toc126909351"/>
      <w:r>
        <w:lastRenderedPageBreak/>
        <w:t>Síťové proměnné a jejich význam</w:t>
      </w:r>
      <w:bookmarkEnd w:id="44"/>
    </w:p>
    <w:p w14:paraId="7500C7CB" w14:textId="62ADCE58" w:rsidR="00371256" w:rsidRDefault="00371256" w:rsidP="00371256">
      <w:pPr>
        <w:pStyle w:val="Odstavec1"/>
      </w:pPr>
      <w:r>
        <w:t xml:space="preserve">V předchozí podkapitole byly </w:t>
      </w:r>
      <w:r w:rsidR="006E589F">
        <w:t xml:space="preserve">v souladu s provedeným výzkumem </w:t>
      </w:r>
      <w:r>
        <w:t xml:space="preserve">představeny základní statistické charakteristiky datasetu citací soudních rozhodnutí, </w:t>
      </w:r>
      <w:r w:rsidR="001504C2">
        <w:t>jejímiž jsou</w:t>
      </w:r>
      <w:r>
        <w:t xml:space="preserve"> jejich četnost, vývoj četnosti v čase a provázanost</w:t>
      </w:r>
      <w:r w:rsidR="001504C2">
        <w:t xml:space="preserve">, </w:t>
      </w:r>
      <w:r>
        <w:t>následně byl význam těchto charakteristik popsán. V </w:t>
      </w:r>
      <w:r w:rsidR="001504C2">
        <w:t>aktuální</w:t>
      </w:r>
      <w:r>
        <w:t xml:space="preserve"> podkapitole </w:t>
      </w:r>
      <w:r w:rsidR="006E589F">
        <w:t>budou dále představeny některé síťové proměnné, které byly vybrány pro analýzu v rámci uvedeného výzkumu</w:t>
      </w:r>
      <w:r>
        <w:t xml:space="preserve">. </w:t>
      </w:r>
      <w:r w:rsidR="006E589F">
        <w:t>Základní</w:t>
      </w:r>
      <w:r>
        <w:t xml:space="preserve"> síť </w:t>
      </w:r>
      <w:r w:rsidR="006E589F">
        <w:t>zde tvořila</w:t>
      </w:r>
      <w:r>
        <w:t xml:space="preserve"> jednotlivá soudní rozhodnutí </w:t>
      </w:r>
      <w:r w:rsidR="001504C2">
        <w:t>reprezentující</w:t>
      </w:r>
      <w:r>
        <w:t xml:space="preserve"> tzv. uzly či vrcholy sítě a citace </w:t>
      </w:r>
      <w:r w:rsidR="006E589F">
        <w:t>byly</w:t>
      </w:r>
      <w:r>
        <w:t xml:space="preserve"> vztahy mezi nimi </w:t>
      </w:r>
      <w:r w:rsidR="001504C2">
        <w:t>coby</w:t>
      </w:r>
      <w:r>
        <w:t xml:space="preserve"> tzv. hrany. Tato síť </w:t>
      </w:r>
      <w:r w:rsidR="006E589F">
        <w:t>byla</w:t>
      </w:r>
      <w:r>
        <w:t xml:space="preserve"> orientovaná, protože citační vazba (hrana) vede vždy od pozdějšího rozhodnutí k dřívějšímu.</w:t>
      </w:r>
    </w:p>
    <w:p w14:paraId="5B65F2FE" w14:textId="5B5B7BF4" w:rsidR="00371256" w:rsidRDefault="006E589F" w:rsidP="006E589F">
      <w:pPr>
        <w:pStyle w:val="Dalodstavce"/>
      </w:pPr>
      <w:r>
        <w:t>K výpočtu síťových proměnných jsem zde použila standardní síťové algoritmy v dostupných síťových knihovních Pythonu</w:t>
      </w:r>
      <w:r>
        <w:rPr>
          <w:rStyle w:val="Znakapoznpodarou"/>
        </w:rPr>
        <w:footnoteReference w:id="195"/>
      </w:r>
      <w:r>
        <w:t>, pomocí kterých byla zpracovávána data z </w:t>
      </w:r>
      <w:r w:rsidRPr="006E589F">
        <w:rPr>
          <w:i/>
          <w:iCs/>
        </w:rPr>
        <w:t>Czech Court Citations Dataset</w:t>
      </w:r>
      <w:r>
        <w:t>. Jednalo se o získání</w:t>
      </w:r>
      <w:r w:rsidR="00371256">
        <w:t xml:space="preserve"> počt</w:t>
      </w:r>
      <w:r>
        <w:t>u</w:t>
      </w:r>
      <w:r w:rsidR="00371256">
        <w:t xml:space="preserve"> vazeb či hran přiřazených jednotlivým uzlům, neboli počet citací, které spojují konkrétní rozhodnutí s ostatními rozhodnutími v síti. Taková hodnota pro jeden uzel (jedno rozhodnutí) se nazývá stupněm uzlu či jeho propojeností</w:t>
      </w:r>
      <w:r>
        <w:rPr>
          <w:rStyle w:val="Znakapoznpodarou"/>
        </w:rPr>
        <w:footnoteReference w:id="196"/>
      </w:r>
      <w:r w:rsidR="00371256">
        <w:t>, stupeň uzlu může být dále vstupní</w:t>
      </w:r>
      <w:r>
        <w:rPr>
          <w:rStyle w:val="Znakapoznpodarou"/>
        </w:rPr>
        <w:footnoteReference w:id="197"/>
      </w:r>
      <w:r w:rsidR="00371256">
        <w:t xml:space="preserve"> anebo výstupní</w:t>
      </w:r>
      <w:r>
        <w:rPr>
          <w:rStyle w:val="Znakapoznpodarou"/>
        </w:rPr>
        <w:footnoteReference w:id="198"/>
      </w:r>
      <w:r w:rsidR="00371256">
        <w:t>.</w:t>
      </w:r>
      <w:r w:rsidR="00371256">
        <w:rPr>
          <w:rStyle w:val="Znakapoznpodarou"/>
        </w:rPr>
        <w:footnoteReference w:id="199"/>
      </w:r>
    </w:p>
    <w:p w14:paraId="7873A9C1" w14:textId="5EEBEE21" w:rsidR="00371256" w:rsidRDefault="00371256">
      <w:pPr>
        <w:pStyle w:val="Nadpis3"/>
        <w:numPr>
          <w:ilvl w:val="2"/>
          <w:numId w:val="14"/>
        </w:numPr>
      </w:pPr>
      <w:r>
        <w:t>Hustota sítě</w:t>
      </w:r>
    </w:p>
    <w:p w14:paraId="1C1B5D67" w14:textId="4421CA72" w:rsidR="00371256" w:rsidRDefault="00675C96" w:rsidP="00371256">
      <w:pPr>
        <w:pStyle w:val="Odstavec1"/>
      </w:pPr>
      <w:r>
        <w:t xml:space="preserve">Nejprve jsem </w:t>
      </w:r>
      <w:r w:rsidR="00862821">
        <w:t xml:space="preserve">v rámci referovaného výzkumu </w:t>
      </w:r>
      <w:r>
        <w:t>počítala tzv. hustotu</w:t>
      </w:r>
      <w:r w:rsidR="00862821">
        <w:t xml:space="preserve"> sítě,</w:t>
      </w:r>
      <w:r w:rsidR="00371256">
        <w:t xml:space="preserve"> tedy počet spojení mezi jednotlivými uzly v síti. </w:t>
      </w:r>
      <w:r w:rsidR="001504C2">
        <w:t>H</w:t>
      </w:r>
      <w:r w:rsidR="00371256">
        <w:t xml:space="preserve">ustota, neboli stupeň propojenosti rozhodnutí s ostatními rozhodnutími, se počítá jako celkový počet spojení (hran) v síti </w:t>
      </w:r>
      <w:r w:rsidR="001504C2">
        <w:t>lomeno</w:t>
      </w:r>
      <w:r w:rsidR="00371256">
        <w:t xml:space="preserve"> celkovým počtem všech možných spojení (hran) v síti.</w:t>
      </w:r>
      <w:r w:rsidR="00371256">
        <w:rPr>
          <w:rStyle w:val="Znakapoznpodarou"/>
        </w:rPr>
        <w:footnoteReference w:id="200"/>
      </w:r>
      <w:r w:rsidR="00371256">
        <w:t xml:space="preserve"> </w:t>
      </w:r>
      <w:r w:rsidR="00862821">
        <w:t>Smejkalová k tomuto ukazateli uvádí, že v</w:t>
      </w:r>
      <w:r w:rsidR="00371256">
        <w:t xml:space="preserve">e </w:t>
      </w:r>
      <w:r w:rsidR="00371256">
        <w:lastRenderedPageBreak/>
        <w:t>studiích síťové analýzy v právu se tento ukazatel používá například ke zjištění vlivu konkrétních (precedentálních) rozhodnutí na zbytek sítě.</w:t>
      </w:r>
      <w:r w:rsidR="00371256">
        <w:rPr>
          <w:rStyle w:val="Znakapoznpodarou"/>
        </w:rPr>
        <w:footnoteReference w:id="201"/>
      </w:r>
      <w:r w:rsidR="00371256">
        <w:t xml:space="preserve"> Avšak je nutné dodat, že hustota dle definice jejího výpočtu je závislá na celkové velikosti sítě, to znamená i při stejném průměrném počtu citací bude při zvětšující se velikosti sítě hustoty růst exponenciálně.</w:t>
      </w:r>
      <w:r w:rsidR="00371256">
        <w:rPr>
          <w:rStyle w:val="Znakapoznpodarou"/>
        </w:rPr>
        <w:footnoteReference w:id="202"/>
      </w:r>
    </w:p>
    <w:p w14:paraId="59252DE1" w14:textId="281D86CB" w:rsidR="00371256" w:rsidRDefault="00371256" w:rsidP="00371256">
      <w:pPr>
        <w:pStyle w:val="Dalodstavce"/>
      </w:pPr>
      <w:r>
        <w:t xml:space="preserve">Nejprve </w:t>
      </w:r>
      <w:r w:rsidR="00AD0E42">
        <w:t>bylo ukázáno</w:t>
      </w:r>
      <w:r>
        <w:t xml:space="preserve">, kolik rozhodnutí je v popisované síti zcela izolováno, </w:t>
      </w:r>
      <w:r w:rsidR="001504C2">
        <w:t>tzn.</w:t>
      </w:r>
      <w:r>
        <w:t xml:space="preserve"> se zbytkem sítě je nespojuje ani jedna vstupní či výstupní citace a konkrétní čísla jsou v následující tabulce, celkově se jedná o </w:t>
      </w:r>
      <w:r w:rsidR="001504C2">
        <w:t>zhruba</w:t>
      </w:r>
      <w:r>
        <w:t xml:space="preserve"> čtvrtinu všech uzlů (pro srovnání výše bylo uvedeno, že </w:t>
      </w:r>
      <w:r w:rsidR="001504C2">
        <w:t xml:space="preserve">přibližně </w:t>
      </w:r>
      <w:r>
        <w:t>třetina rozhodnutí necituje žádné rozhodnutí, nicméně některá jiná budoucí rozhodnutí mohou citovat tato rozhodnutí).</w:t>
      </w:r>
      <w:r>
        <w:rPr>
          <w:rStyle w:val="Znakapoznpodarou"/>
        </w:rPr>
        <w:footnoteReference w:id="203"/>
      </w:r>
    </w:p>
    <w:p w14:paraId="1B8EAB33" w14:textId="7569EFEB" w:rsidR="00166809" w:rsidRDefault="00166809" w:rsidP="00953CD9">
      <w:pPr>
        <w:pStyle w:val="Titulektabulky"/>
      </w:pPr>
      <w:bookmarkStart w:id="45" w:name="_Toc126874210"/>
      <w:r>
        <w:t xml:space="preserve">Tab. </w:t>
      </w:r>
      <w:r>
        <w:rPr>
          <w:noProof/>
        </w:rPr>
        <w:fldChar w:fldCharType="begin"/>
      </w:r>
      <w:r>
        <w:rPr>
          <w:noProof/>
        </w:rPr>
        <w:instrText xml:space="preserve"> SEQ Tab. \* ARABIC </w:instrText>
      </w:r>
      <w:r>
        <w:rPr>
          <w:noProof/>
        </w:rPr>
        <w:fldChar w:fldCharType="separate"/>
      </w:r>
      <w:r>
        <w:rPr>
          <w:noProof/>
        </w:rPr>
        <w:t>6</w:t>
      </w:r>
      <w:r>
        <w:rPr>
          <w:noProof/>
        </w:rPr>
        <w:fldChar w:fldCharType="end"/>
      </w:r>
      <w:r>
        <w:t>: Počty izolovaných rozhodnutí</w:t>
      </w:r>
      <w:bookmarkEnd w:id="45"/>
    </w:p>
    <w:tbl>
      <w:tblPr>
        <w:tblStyle w:val="ZPTabulka"/>
        <w:tblW w:w="0" w:type="auto"/>
        <w:tblLook w:val="04A0" w:firstRow="1" w:lastRow="0" w:firstColumn="1" w:lastColumn="0" w:noHBand="0" w:noVBand="1"/>
      </w:tblPr>
      <w:tblGrid>
        <w:gridCol w:w="2455"/>
        <w:gridCol w:w="2455"/>
        <w:gridCol w:w="2456"/>
      </w:tblGrid>
      <w:tr w:rsidR="00166809" w14:paraId="7C2E678F" w14:textId="77777777" w:rsidTr="00166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4C4131C0" w14:textId="000D31C8" w:rsidR="00166809" w:rsidRDefault="00166809" w:rsidP="00953CD9">
            <w:pPr>
              <w:pStyle w:val="Titulektabulky"/>
            </w:pPr>
            <w:r>
              <w:t>Soud</w:t>
            </w:r>
          </w:p>
        </w:tc>
        <w:tc>
          <w:tcPr>
            <w:tcW w:w="2455" w:type="dxa"/>
          </w:tcPr>
          <w:p w14:paraId="7C1E7833" w14:textId="6F9F61B1" w:rsidR="00166809" w:rsidRDefault="00166809" w:rsidP="00953CD9">
            <w:pPr>
              <w:pStyle w:val="Titulektabulky"/>
              <w:cnfStyle w:val="100000000000" w:firstRow="1" w:lastRow="0" w:firstColumn="0" w:lastColumn="0" w:oddVBand="0" w:evenVBand="0" w:oddHBand="0" w:evenHBand="0" w:firstRowFirstColumn="0" w:firstRowLastColumn="0" w:lastRowFirstColumn="0" w:lastRowLastColumn="0"/>
            </w:pPr>
            <w:r>
              <w:t>Počet izolovaných rozhodnutí</w:t>
            </w:r>
          </w:p>
        </w:tc>
        <w:tc>
          <w:tcPr>
            <w:tcW w:w="2456" w:type="dxa"/>
          </w:tcPr>
          <w:p w14:paraId="37F63A7C" w14:textId="661226BF" w:rsidR="00166809" w:rsidRDefault="00166809" w:rsidP="00953CD9">
            <w:pPr>
              <w:pStyle w:val="Titulektabulky"/>
              <w:cnfStyle w:val="100000000000" w:firstRow="1" w:lastRow="0" w:firstColumn="0" w:lastColumn="0" w:oddVBand="0" w:evenVBand="0" w:oddHBand="0" w:evenHBand="0" w:firstRowFirstColumn="0" w:firstRowLastColumn="0" w:lastRowFirstColumn="0" w:lastRowLastColumn="0"/>
            </w:pPr>
            <w:r>
              <w:t>Poměr k celkovému počtu rozhodnutí</w:t>
            </w:r>
          </w:p>
        </w:tc>
      </w:tr>
      <w:tr w:rsidR="00166809" w14:paraId="4DAA824D" w14:textId="77777777" w:rsidTr="00166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1B47C1DA" w14:textId="24FA7F70" w:rsidR="00166809" w:rsidRDefault="00166809" w:rsidP="00953CD9">
            <w:pPr>
              <w:pStyle w:val="Titulektabulky"/>
            </w:pPr>
            <w:r>
              <w:t>Ústavní soud</w:t>
            </w:r>
          </w:p>
        </w:tc>
        <w:tc>
          <w:tcPr>
            <w:tcW w:w="2455" w:type="dxa"/>
          </w:tcPr>
          <w:p w14:paraId="2AE48710" w14:textId="678C5F3A" w:rsidR="00166809" w:rsidRDefault="00166809" w:rsidP="00953CD9">
            <w:pPr>
              <w:pStyle w:val="Titulektabulky"/>
              <w:cnfStyle w:val="000000100000" w:firstRow="0" w:lastRow="0" w:firstColumn="0" w:lastColumn="0" w:oddVBand="0" w:evenVBand="0" w:oddHBand="1" w:evenHBand="0" w:firstRowFirstColumn="0" w:firstRowLastColumn="0" w:lastRowFirstColumn="0" w:lastRowLastColumn="0"/>
            </w:pPr>
            <w:r>
              <w:t>25 275</w:t>
            </w:r>
          </w:p>
        </w:tc>
        <w:tc>
          <w:tcPr>
            <w:tcW w:w="2456" w:type="dxa"/>
          </w:tcPr>
          <w:p w14:paraId="1C1E3380" w14:textId="11D6BDAB" w:rsidR="00166809" w:rsidRDefault="00166809" w:rsidP="00953CD9">
            <w:pPr>
              <w:pStyle w:val="Titulektabulky"/>
              <w:cnfStyle w:val="000000100000" w:firstRow="0" w:lastRow="0" w:firstColumn="0" w:lastColumn="0" w:oddVBand="0" w:evenVBand="0" w:oddHBand="1" w:evenHBand="0" w:firstRowFirstColumn="0" w:firstRowLastColumn="0" w:lastRowFirstColumn="0" w:lastRowLastColumn="0"/>
            </w:pPr>
            <w:r>
              <w:t>34,58 %</w:t>
            </w:r>
          </w:p>
        </w:tc>
      </w:tr>
      <w:tr w:rsidR="00166809" w14:paraId="654CF3AB" w14:textId="77777777" w:rsidTr="001668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2155A4C8" w14:textId="363448AE" w:rsidR="00166809" w:rsidRDefault="00166809" w:rsidP="00953CD9">
            <w:pPr>
              <w:pStyle w:val="Titulektabulky"/>
            </w:pPr>
            <w:r>
              <w:t>Nejvyšší soud</w:t>
            </w:r>
          </w:p>
        </w:tc>
        <w:tc>
          <w:tcPr>
            <w:tcW w:w="2455" w:type="dxa"/>
          </w:tcPr>
          <w:p w14:paraId="6D9F5A34" w14:textId="32008608" w:rsidR="00166809" w:rsidRDefault="00166809" w:rsidP="00953CD9">
            <w:pPr>
              <w:pStyle w:val="Titulektabulky"/>
              <w:cnfStyle w:val="000000010000" w:firstRow="0" w:lastRow="0" w:firstColumn="0" w:lastColumn="0" w:oddVBand="0" w:evenVBand="0" w:oddHBand="0" w:evenHBand="1" w:firstRowFirstColumn="0" w:firstRowLastColumn="0" w:lastRowFirstColumn="0" w:lastRowLastColumn="0"/>
            </w:pPr>
            <w:r>
              <w:t>28 117</w:t>
            </w:r>
          </w:p>
        </w:tc>
        <w:tc>
          <w:tcPr>
            <w:tcW w:w="2456" w:type="dxa"/>
          </w:tcPr>
          <w:p w14:paraId="15547D05" w14:textId="10120CF6" w:rsidR="00166809" w:rsidRDefault="00166809" w:rsidP="00953CD9">
            <w:pPr>
              <w:pStyle w:val="Titulektabulky"/>
              <w:cnfStyle w:val="000000010000" w:firstRow="0" w:lastRow="0" w:firstColumn="0" w:lastColumn="0" w:oddVBand="0" w:evenVBand="0" w:oddHBand="0" w:evenHBand="1" w:firstRowFirstColumn="0" w:firstRowLastColumn="0" w:lastRowFirstColumn="0" w:lastRowLastColumn="0"/>
            </w:pPr>
            <w:r>
              <w:t>25,11 %</w:t>
            </w:r>
          </w:p>
        </w:tc>
      </w:tr>
      <w:tr w:rsidR="00166809" w14:paraId="0B9CD00F" w14:textId="77777777" w:rsidTr="00166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542CD291" w14:textId="5D0C5410" w:rsidR="00166809" w:rsidRDefault="00166809" w:rsidP="00953CD9">
            <w:pPr>
              <w:pStyle w:val="Titulektabulky"/>
            </w:pPr>
            <w:r>
              <w:t>Nejvyšší správní soud</w:t>
            </w:r>
          </w:p>
        </w:tc>
        <w:tc>
          <w:tcPr>
            <w:tcW w:w="2455" w:type="dxa"/>
          </w:tcPr>
          <w:p w14:paraId="5696F0A5" w14:textId="56DEC909" w:rsidR="00166809" w:rsidRDefault="00166809" w:rsidP="00953CD9">
            <w:pPr>
              <w:pStyle w:val="Titulektabulky"/>
              <w:cnfStyle w:val="000000100000" w:firstRow="0" w:lastRow="0" w:firstColumn="0" w:lastColumn="0" w:oddVBand="0" w:evenVBand="0" w:oddHBand="1" w:evenHBand="0" w:firstRowFirstColumn="0" w:firstRowLastColumn="0" w:lastRowFirstColumn="0" w:lastRowLastColumn="0"/>
            </w:pPr>
            <w:r>
              <w:t xml:space="preserve">13 307 </w:t>
            </w:r>
          </w:p>
        </w:tc>
        <w:tc>
          <w:tcPr>
            <w:tcW w:w="2456" w:type="dxa"/>
          </w:tcPr>
          <w:p w14:paraId="779AE053" w14:textId="12424220" w:rsidR="00166809" w:rsidRDefault="00166809" w:rsidP="00953CD9">
            <w:pPr>
              <w:pStyle w:val="Titulektabulky"/>
              <w:cnfStyle w:val="000000100000" w:firstRow="0" w:lastRow="0" w:firstColumn="0" w:lastColumn="0" w:oddVBand="0" w:evenVBand="0" w:oddHBand="1" w:evenHBand="0" w:firstRowFirstColumn="0" w:firstRowLastColumn="0" w:lastRowFirstColumn="0" w:lastRowLastColumn="0"/>
            </w:pPr>
            <w:r>
              <w:t>25,27 %</w:t>
            </w:r>
          </w:p>
        </w:tc>
      </w:tr>
      <w:tr w:rsidR="00166809" w14:paraId="5CD7F8B7" w14:textId="77777777" w:rsidTr="001668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19E68553" w14:textId="745DAEF4" w:rsidR="00166809" w:rsidRDefault="00166809" w:rsidP="00953CD9">
            <w:pPr>
              <w:pStyle w:val="Titulektabulky"/>
            </w:pPr>
            <w:r>
              <w:t>Celkově</w:t>
            </w:r>
          </w:p>
        </w:tc>
        <w:tc>
          <w:tcPr>
            <w:tcW w:w="2455" w:type="dxa"/>
          </w:tcPr>
          <w:p w14:paraId="3B958BA2" w14:textId="4E5143C4" w:rsidR="00166809" w:rsidRDefault="00166809" w:rsidP="00953CD9">
            <w:pPr>
              <w:pStyle w:val="Titulektabulky"/>
              <w:cnfStyle w:val="000000010000" w:firstRow="0" w:lastRow="0" w:firstColumn="0" w:lastColumn="0" w:oddVBand="0" w:evenVBand="0" w:oddHBand="0" w:evenHBand="1" w:firstRowFirstColumn="0" w:firstRowLastColumn="0" w:lastRowFirstColumn="0" w:lastRowLastColumn="0"/>
            </w:pPr>
            <w:r>
              <w:t>66 699</w:t>
            </w:r>
          </w:p>
        </w:tc>
        <w:tc>
          <w:tcPr>
            <w:tcW w:w="2456" w:type="dxa"/>
          </w:tcPr>
          <w:p w14:paraId="731A8E74" w14:textId="3F5D47CA" w:rsidR="00166809" w:rsidRDefault="00166809" w:rsidP="00953CD9">
            <w:pPr>
              <w:pStyle w:val="Titulektabulky"/>
              <w:cnfStyle w:val="000000010000" w:firstRow="0" w:lastRow="0" w:firstColumn="0" w:lastColumn="0" w:oddVBand="0" w:evenVBand="0" w:oddHBand="0" w:evenHBand="1" w:firstRowFirstColumn="0" w:firstRowLastColumn="0" w:lastRowFirstColumn="0" w:lastRowLastColumn="0"/>
            </w:pPr>
            <w:r>
              <w:t>28,06 %</w:t>
            </w:r>
          </w:p>
        </w:tc>
      </w:tr>
    </w:tbl>
    <w:p w14:paraId="4B4A7714" w14:textId="77777777" w:rsidR="00166809" w:rsidRPr="00EE22D1" w:rsidRDefault="00166809" w:rsidP="002726FE">
      <w:pPr>
        <w:rPr>
          <w:lang w:eastAsia="sk-SK"/>
        </w:rPr>
      </w:pPr>
    </w:p>
    <w:p w14:paraId="27B93757" w14:textId="77777777" w:rsidR="00371256" w:rsidRDefault="00371256" w:rsidP="00166809">
      <w:pPr>
        <w:pStyle w:val="Dalodstavce"/>
        <w:ind w:firstLine="0"/>
      </w:pPr>
    </w:p>
    <w:p w14:paraId="1B9912E0" w14:textId="0D9DEEC8" w:rsidR="00371256" w:rsidRPr="002726FE" w:rsidRDefault="00AD0E42" w:rsidP="002726FE">
      <w:pPr>
        <w:pStyle w:val="Dalodstavce"/>
      </w:pPr>
      <w:r>
        <w:lastRenderedPageBreak/>
        <w:t>Smejkalová zdůrazňuje, že h</w:t>
      </w:r>
      <w:r w:rsidR="00371256">
        <w:t>ustot</w:t>
      </w:r>
      <w:r w:rsidR="001504C2">
        <w:t>a</w:t>
      </w:r>
      <w:r w:rsidR="00371256">
        <w:t xml:space="preserve"> sítě je nutné interpretovat v rámci limitů její definice.</w:t>
      </w:r>
      <w:r w:rsidR="00371256">
        <w:rPr>
          <w:rStyle w:val="Znakapoznpodarou"/>
        </w:rPr>
        <w:footnoteReference w:id="204"/>
      </w:r>
      <w:r w:rsidR="00371256">
        <w:t xml:space="preserve"> </w:t>
      </w:r>
      <w:r>
        <w:t>Referuj</w:t>
      </w:r>
      <w:r w:rsidR="00CA3962">
        <w:t>eme</w:t>
      </w:r>
      <w:r>
        <w:t xml:space="preserve"> ke studii </w:t>
      </w:r>
      <w:r w:rsidR="00371256">
        <w:t>Derlén</w:t>
      </w:r>
      <w:r>
        <w:t>a</w:t>
      </w:r>
      <w:r w:rsidR="00371256">
        <w:t xml:space="preserve"> a Lindholm</w:t>
      </w:r>
      <w:r>
        <w:t>a, kteří</w:t>
      </w:r>
      <w:r w:rsidR="00371256">
        <w:t xml:space="preserve"> předpokládají, že malá hustota sítě </w:t>
      </w:r>
      <w:r w:rsidR="001504C2">
        <w:t>reprezentuje nízký počet</w:t>
      </w:r>
      <w:r w:rsidR="00371256">
        <w:t xml:space="preserve"> důležitých rozhodnutí v síti.</w:t>
      </w:r>
      <w:r w:rsidR="00371256">
        <w:rPr>
          <w:rStyle w:val="Znakapoznpodarou"/>
        </w:rPr>
        <w:footnoteReference w:id="205"/>
      </w:r>
      <w:r w:rsidR="00371256">
        <w:t xml:space="preserve"> Hustota sítě tvořené soudními rozhodnutími Nejvyššího, Nejvyššího správního a Ústavního soudu je v následující tabulce. Smejkalová srovnává hustoty sítí českých soudů s hustotami sítí ze studií od Derléna a Lindholma (SDEU) a Fowlera a Jeona (Nejvyšší soud USA). Dle porovnání </w:t>
      </w:r>
      <w:r w:rsidR="003C7478">
        <w:t>uvádí</w:t>
      </w:r>
      <w:r w:rsidR="00371256">
        <w:t xml:space="preserve">, že hustota sítě českých soudů je výrazně menší než další dvě porovnávané citační sítě. Důvodů tohoto stavu může být podle Smejkalové hned několik, zejména se bude jednat pravděpodobně o rozdíl ve velikosti sítí, důležitou roli ale určitě bude hrát i tzv. stáří sítě, tedy </w:t>
      </w:r>
      <w:r w:rsidR="001504C2">
        <w:t>kdy</w:t>
      </w:r>
      <w:r w:rsidR="00371256">
        <w:t xml:space="preserve"> </w:t>
      </w:r>
      <w:r w:rsidR="001504C2">
        <w:t>byla</w:t>
      </w:r>
      <w:r w:rsidR="00371256">
        <w:t xml:space="preserve"> soudní rozhodnutí obsažená v</w:t>
      </w:r>
      <w:r w:rsidR="001504C2">
        <w:t> </w:t>
      </w:r>
      <w:r w:rsidR="00371256">
        <w:t>síti</w:t>
      </w:r>
      <w:r w:rsidR="001504C2">
        <w:t xml:space="preserve"> pu</w:t>
      </w:r>
      <w:r w:rsidR="00CA3962">
        <w:t>b</w:t>
      </w:r>
      <w:r w:rsidR="001504C2">
        <w:t>likována</w:t>
      </w:r>
      <w:r w:rsidR="00371256">
        <w:t>. Čím dlouhodobější vývoj soudního rozhodování totiž sledujeme, tím je pravděpodobnější, že vzniklo více vzájemných citací mezi rozhodnutími.</w:t>
      </w:r>
      <w:r w:rsidR="00371256">
        <w:rPr>
          <w:rStyle w:val="Znakapoznpodarou"/>
        </w:rPr>
        <w:footnoteReference w:id="206"/>
      </w:r>
    </w:p>
    <w:p w14:paraId="6C47FD9E" w14:textId="147B5D74" w:rsidR="002726FE" w:rsidRDefault="002726FE" w:rsidP="00953CD9">
      <w:pPr>
        <w:pStyle w:val="Titulektabulky"/>
      </w:pPr>
      <w:bookmarkStart w:id="46" w:name="_Toc126874211"/>
      <w:r>
        <w:t xml:space="preserve">Tab. </w:t>
      </w:r>
      <w:r>
        <w:rPr>
          <w:noProof/>
        </w:rPr>
        <w:fldChar w:fldCharType="begin"/>
      </w:r>
      <w:r>
        <w:rPr>
          <w:noProof/>
        </w:rPr>
        <w:instrText xml:space="preserve"> SEQ Tab. \* ARABIC </w:instrText>
      </w:r>
      <w:r>
        <w:rPr>
          <w:noProof/>
        </w:rPr>
        <w:fldChar w:fldCharType="separate"/>
      </w:r>
      <w:r>
        <w:rPr>
          <w:noProof/>
        </w:rPr>
        <w:t>7</w:t>
      </w:r>
      <w:r>
        <w:rPr>
          <w:noProof/>
        </w:rPr>
        <w:fldChar w:fldCharType="end"/>
      </w:r>
      <w:r>
        <w:t>: Komparace hustot sítí</w:t>
      </w:r>
      <w:bookmarkEnd w:id="46"/>
    </w:p>
    <w:tbl>
      <w:tblPr>
        <w:tblStyle w:val="ZPTabulka"/>
        <w:tblW w:w="0" w:type="auto"/>
        <w:tblLook w:val="04A0" w:firstRow="1" w:lastRow="0" w:firstColumn="1" w:lastColumn="0" w:noHBand="0" w:noVBand="1"/>
      </w:tblPr>
      <w:tblGrid>
        <w:gridCol w:w="3683"/>
        <w:gridCol w:w="3683"/>
      </w:tblGrid>
      <w:tr w:rsidR="00CA3962" w14:paraId="0D3A69B1" w14:textId="77777777" w:rsidTr="00CA39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44EDB624" w14:textId="40F646D0" w:rsidR="00CA3962" w:rsidRPr="00CA3962" w:rsidRDefault="00CA3962" w:rsidP="00CA3962">
            <w:pPr>
              <w:pStyle w:val="Titulektabulky"/>
              <w:rPr>
                <w:b/>
              </w:rPr>
            </w:pPr>
            <w:r>
              <w:t>Soud</w:t>
            </w:r>
          </w:p>
        </w:tc>
        <w:tc>
          <w:tcPr>
            <w:tcW w:w="3683" w:type="dxa"/>
          </w:tcPr>
          <w:p w14:paraId="6E715799" w14:textId="1EAD9A31" w:rsidR="00CA3962" w:rsidRDefault="00CA3962" w:rsidP="00953CD9">
            <w:pPr>
              <w:pStyle w:val="Titulektabulky"/>
              <w:cnfStyle w:val="100000000000" w:firstRow="1" w:lastRow="0" w:firstColumn="0" w:lastColumn="0" w:oddVBand="0" w:evenVBand="0" w:oddHBand="0" w:evenHBand="0" w:firstRowFirstColumn="0" w:firstRowLastColumn="0" w:lastRowFirstColumn="0" w:lastRowLastColumn="0"/>
            </w:pPr>
            <w:r>
              <w:t>Hustota sítě</w:t>
            </w:r>
          </w:p>
        </w:tc>
      </w:tr>
      <w:tr w:rsidR="00CA3962" w14:paraId="2423EB61" w14:textId="77777777" w:rsidTr="00CA39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14F56E5D" w14:textId="6613A415" w:rsidR="00CA3962" w:rsidRDefault="00CA3962" w:rsidP="00953CD9">
            <w:pPr>
              <w:pStyle w:val="Titulektabulky"/>
            </w:pPr>
            <w:r>
              <w:t>ÚS, NS a NSS</w:t>
            </w:r>
          </w:p>
        </w:tc>
        <w:tc>
          <w:tcPr>
            <w:tcW w:w="3683" w:type="dxa"/>
          </w:tcPr>
          <w:p w14:paraId="2697AF11" w14:textId="61922841" w:rsidR="00CA3962" w:rsidRDefault="00CA3962" w:rsidP="00953CD9">
            <w:pPr>
              <w:pStyle w:val="Titulektabulky"/>
              <w:cnfStyle w:val="000000100000" w:firstRow="0" w:lastRow="0" w:firstColumn="0" w:lastColumn="0" w:oddVBand="0" w:evenVBand="0" w:oddHBand="1" w:evenHBand="0" w:firstRowFirstColumn="0" w:firstRowLastColumn="0" w:lastRowFirstColumn="0" w:lastRowLastColumn="0"/>
            </w:pPr>
            <w:r>
              <w:t>0,022 x 10</w:t>
            </w:r>
            <w:r w:rsidRPr="00CA3962">
              <w:rPr>
                <w:vertAlign w:val="superscript"/>
              </w:rPr>
              <w:t>-3</w:t>
            </w:r>
          </w:p>
        </w:tc>
      </w:tr>
      <w:tr w:rsidR="00CA3962" w14:paraId="3B7733C6" w14:textId="77777777" w:rsidTr="00CA39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1109B7AA" w14:textId="58CA5876" w:rsidR="00CA3962" w:rsidRDefault="00CA3962" w:rsidP="00953CD9">
            <w:pPr>
              <w:pStyle w:val="Titulektabulky"/>
            </w:pPr>
            <w:r>
              <w:t>SDEU</w:t>
            </w:r>
            <w:r w:rsidR="00BE472A">
              <w:rPr>
                <w:rStyle w:val="Znakapoznpodarou"/>
              </w:rPr>
              <w:footnoteReference w:id="207"/>
            </w:r>
          </w:p>
        </w:tc>
        <w:tc>
          <w:tcPr>
            <w:tcW w:w="3683" w:type="dxa"/>
          </w:tcPr>
          <w:p w14:paraId="3CD7BCEA" w14:textId="36EB4A79" w:rsidR="00CA3962" w:rsidRDefault="00CA3962" w:rsidP="00953CD9">
            <w:pPr>
              <w:pStyle w:val="Titulektabulky"/>
              <w:cnfStyle w:val="000000010000" w:firstRow="0" w:lastRow="0" w:firstColumn="0" w:lastColumn="0" w:oddVBand="0" w:evenVBand="0" w:oddHBand="0" w:evenHBand="1" w:firstRowFirstColumn="0" w:firstRowLastColumn="0" w:lastRowFirstColumn="0" w:lastRowLastColumn="0"/>
            </w:pPr>
            <w:r>
              <w:t>0,96 x 10</w:t>
            </w:r>
            <w:r w:rsidRPr="00CA3962">
              <w:rPr>
                <w:vertAlign w:val="superscript"/>
              </w:rPr>
              <w:t>-3</w:t>
            </w:r>
          </w:p>
        </w:tc>
      </w:tr>
      <w:tr w:rsidR="00CA3962" w14:paraId="3D9C115F" w14:textId="77777777" w:rsidTr="00CA39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1FBB4B22" w14:textId="778AFFA0" w:rsidR="00CA3962" w:rsidRDefault="00CA3962" w:rsidP="00953CD9">
            <w:pPr>
              <w:pStyle w:val="Titulektabulky"/>
            </w:pPr>
            <w:r>
              <w:t>Nejvyšší soud USA</w:t>
            </w:r>
            <w:r w:rsidR="00BE472A">
              <w:rPr>
                <w:rStyle w:val="Znakapoznpodarou"/>
              </w:rPr>
              <w:footnoteReference w:id="208"/>
            </w:r>
          </w:p>
        </w:tc>
        <w:tc>
          <w:tcPr>
            <w:tcW w:w="3683" w:type="dxa"/>
          </w:tcPr>
          <w:p w14:paraId="6F3E219A" w14:textId="713BC525" w:rsidR="00CA3962" w:rsidRDefault="00CA3962" w:rsidP="00953CD9">
            <w:pPr>
              <w:pStyle w:val="Titulektabulky"/>
              <w:cnfStyle w:val="000000100000" w:firstRow="0" w:lastRow="0" w:firstColumn="0" w:lastColumn="0" w:oddVBand="0" w:evenVBand="0" w:oddHBand="1" w:evenHBand="0" w:firstRowFirstColumn="0" w:firstRowLastColumn="0" w:lastRowFirstColumn="0" w:lastRowLastColumn="0"/>
            </w:pPr>
            <w:r>
              <w:t>0,48 x 10</w:t>
            </w:r>
            <w:r w:rsidRPr="00CA3962">
              <w:rPr>
                <w:vertAlign w:val="superscript"/>
              </w:rPr>
              <w:t>-3</w:t>
            </w:r>
          </w:p>
        </w:tc>
      </w:tr>
    </w:tbl>
    <w:p w14:paraId="7A304872" w14:textId="338FAB6A" w:rsidR="007D6325" w:rsidRPr="002726FE" w:rsidRDefault="007D6325" w:rsidP="002726FE">
      <w:pPr>
        <w:pStyle w:val="Dalodstavce"/>
        <w:ind w:firstLine="0"/>
      </w:pPr>
    </w:p>
    <w:p w14:paraId="29AFCCAA" w14:textId="6FC934ED" w:rsidR="007D6325" w:rsidRDefault="007D6325">
      <w:pPr>
        <w:pStyle w:val="Nadpis3"/>
        <w:numPr>
          <w:ilvl w:val="2"/>
          <w:numId w:val="14"/>
        </w:numPr>
      </w:pPr>
      <w:r>
        <w:lastRenderedPageBreak/>
        <w:t>Distribuce stupňů</w:t>
      </w:r>
    </w:p>
    <w:p w14:paraId="15006156" w14:textId="09883D73" w:rsidR="007D6325" w:rsidRDefault="0096580A" w:rsidP="007D6325">
      <w:pPr>
        <w:pStyle w:val="Odstavec1"/>
      </w:pPr>
      <w:r>
        <w:t>V referovaném výzkumu nás dále zajímalo r</w:t>
      </w:r>
      <w:r w:rsidR="007D6325">
        <w:t>ozložení vstupních a výstupních stupňů uzlů v</w:t>
      </w:r>
      <w:r>
        <w:t> </w:t>
      </w:r>
      <w:r w:rsidR="007D6325">
        <w:t>síti</w:t>
      </w:r>
      <w:r>
        <w:t xml:space="preserve">, nebo-li </w:t>
      </w:r>
      <w:r w:rsidR="007D6325">
        <w:t>distribuce</w:t>
      </w:r>
      <w:r>
        <w:t xml:space="preserve"> stupňů.</w:t>
      </w:r>
      <w:r w:rsidR="007D6325">
        <w:t xml:space="preserve"> </w:t>
      </w:r>
      <w:r>
        <w:t>Ta</w:t>
      </w:r>
      <w:r w:rsidR="007D6325">
        <w:t xml:space="preserve"> znamená, jak rovnoměrné je rozmístění citací v síti. </w:t>
      </w:r>
      <w:r>
        <w:t xml:space="preserve">Distribuci jsem zde počítala jako </w:t>
      </w:r>
      <w:r w:rsidR="007D6325">
        <w:t>variac</w:t>
      </w:r>
      <w:r>
        <w:t>i</w:t>
      </w:r>
      <w:r w:rsidR="007D6325">
        <w:t xml:space="preserve"> celkovém počtu vstupních a výstupních citací, tedy počtu spojení připadajících na jeden uzel.</w:t>
      </w:r>
      <w:r w:rsidR="007D6325">
        <w:rPr>
          <w:rStyle w:val="Znakapoznpodarou"/>
        </w:rPr>
        <w:footnoteReference w:id="209"/>
      </w:r>
      <w:r>
        <w:t xml:space="preserve"> </w:t>
      </w:r>
    </w:p>
    <w:p w14:paraId="5DF9FE97" w14:textId="2F043162" w:rsidR="007D6325" w:rsidRDefault="0096580A" w:rsidP="007D6325">
      <w:pPr>
        <w:pStyle w:val="Dalodstavce"/>
      </w:pPr>
      <w:r>
        <w:t xml:space="preserve">Smejkalová zde uvádí motivaci k výpočtu tohoto ukazatele následující. </w:t>
      </w:r>
      <w:r w:rsidR="007D6325">
        <w:t>Náhodné rozložení spojení mezi uzly by vedlo k rovnoměrnému rozložení a naopak, existence „hustějších“ míst (neboli shluků) a prázdnějších či izolovaných míst by napovídala nenáhodné distribuci citací.</w:t>
      </w:r>
      <w:r w:rsidR="007D6325">
        <w:rPr>
          <w:rStyle w:val="Znakapoznpodarou"/>
        </w:rPr>
        <w:footnoteReference w:id="210"/>
      </w:r>
      <w:r w:rsidR="007D6325">
        <w:t xml:space="preserve"> Jak uvádí </w:t>
      </w:r>
      <w:r>
        <w:t>dále,</w:t>
      </w:r>
      <w:r w:rsidR="007D6325">
        <w:rPr>
          <w:rStyle w:val="Znakapoznpodarou"/>
        </w:rPr>
        <w:footnoteReference w:id="211"/>
      </w:r>
      <w:r w:rsidR="007D6325">
        <w:t xml:space="preserve"> to je i závěr, </w:t>
      </w:r>
      <w:r w:rsidR="00DD2719">
        <w:t>k jakému</w:t>
      </w:r>
      <w:r w:rsidR="007D6325">
        <w:t xml:space="preserve"> došli v referovaných studiích Derlén a Lindholm, kteří analyzovali síť SDEU, i Fowler s Jeonem, </w:t>
      </w:r>
      <w:r w:rsidR="00DD2719">
        <w:t>ti</w:t>
      </w:r>
      <w:r w:rsidR="007D6325">
        <w:t xml:space="preserve"> analyzovali síť rozhodnutí Nejvyššího soudu USA. Obě tyto sítě obsahují menší část rozhodnutí, </w:t>
      </w:r>
      <w:r w:rsidR="00DD2719">
        <w:t>jež</w:t>
      </w:r>
      <w:r w:rsidR="007D6325">
        <w:t xml:space="preserve"> mají výrazně vyšší hodnoty výstupních a/nebo vstupních stupňů a většinu ostatních rozhodnutí, která bude mít tyto hodnoty výrazně nižší.</w:t>
      </w:r>
      <w:r w:rsidR="007D6325">
        <w:rPr>
          <w:rStyle w:val="Znakapoznpodarou"/>
        </w:rPr>
        <w:footnoteReference w:id="212"/>
      </w:r>
      <w:r>
        <w:t xml:space="preserve"> </w:t>
      </w:r>
      <w:hyperlink w:anchor="Xfbbe8b292439c3e69b484bac8f426dbc29dd888"/>
      <w:r w:rsidR="007D6325">
        <w:t xml:space="preserve">Nenáhodné citování předchozích rozhodnutí dle Derléna a Lindholma znamená až precedentální užití předchozí judikatury v případě SDEU, ve kterém </w:t>
      </w:r>
      <w:r w:rsidR="00DD2719">
        <w:t xml:space="preserve">lze </w:t>
      </w:r>
      <w:r w:rsidR="007D6325">
        <w:t>dle autorů pozorovat určitou metodu.</w:t>
      </w:r>
      <w:r w:rsidR="007D6325">
        <w:rPr>
          <w:rStyle w:val="Znakapoznpodarou"/>
        </w:rPr>
        <w:footnoteReference w:id="213"/>
      </w:r>
    </w:p>
    <w:p w14:paraId="3300BC5D" w14:textId="3E31A20E" w:rsidR="00AC5C74" w:rsidRDefault="0096580A" w:rsidP="00AC5C74">
      <w:pPr>
        <w:pStyle w:val="Dalodstavce"/>
      </w:pPr>
      <w:r>
        <w:t>R</w:t>
      </w:r>
      <w:r w:rsidR="007D6325">
        <w:t>ozložení počtu rozhodnutí s určitým výstupním a vstupním stupněm pro Ústavní soud, Nejvyšší a Nejvyšší správní soud</w:t>
      </w:r>
      <w:r>
        <w:t xml:space="preserve"> tak, jak bylo analyzováno v monografii, je uvedeno níže</w:t>
      </w:r>
      <w:r w:rsidR="007D6325">
        <w:t xml:space="preserve">. </w:t>
      </w:r>
      <w:r>
        <w:t xml:space="preserve">Smejkalová </w:t>
      </w:r>
      <w:r w:rsidR="0083009B">
        <w:t xml:space="preserve">v ní </w:t>
      </w:r>
      <w:r>
        <w:t xml:space="preserve">upozorňuje na </w:t>
      </w:r>
      <w:r w:rsidR="007D6325">
        <w:t xml:space="preserve">podobný vzorec – minimum rozhodnutí s vysokým výstupním nebo </w:t>
      </w:r>
      <w:r w:rsidR="007D6325">
        <w:lastRenderedPageBreak/>
        <w:t>vstupním stupněm oproti velkému množství rozhodnutí s nulovým či velmi nízkým stupněm.</w:t>
      </w:r>
      <w:r w:rsidR="0083009B">
        <w:rPr>
          <w:rStyle w:val="Znakapoznpodarou"/>
        </w:rPr>
        <w:footnoteReference w:id="214"/>
      </w:r>
      <w:r w:rsidR="007D6325">
        <w:t xml:space="preserve"> Pro </w:t>
      </w:r>
      <w:r>
        <w:t>srovnání</w:t>
      </w:r>
      <w:r w:rsidR="007D6325">
        <w:t xml:space="preserve"> </w:t>
      </w:r>
      <w:r w:rsidR="0083009B">
        <w:t xml:space="preserve">dále </w:t>
      </w:r>
      <w:r>
        <w:t>uvedla</w:t>
      </w:r>
      <w:r w:rsidR="007D6325">
        <w:t xml:space="preserve"> obě kategorie – distribuce výstupních i vstupních stupňů – </w:t>
      </w:r>
      <w:r w:rsidR="0083009B">
        <w:t>publikované ve</w:t>
      </w:r>
      <w:r w:rsidR="007D6325">
        <w:t xml:space="preserve"> studiích citací SDEU</w:t>
      </w:r>
      <w:r w:rsidR="007D6325">
        <w:rPr>
          <w:rStyle w:val="Znakapoznpodarou"/>
        </w:rPr>
        <w:footnoteReference w:id="215"/>
      </w:r>
      <w:r w:rsidR="007D6325">
        <w:t xml:space="preserve"> a Nejvyššího soudu USA</w:t>
      </w:r>
      <w:r w:rsidR="007D6325">
        <w:rPr>
          <w:rStyle w:val="Znakapoznpodarou"/>
        </w:rPr>
        <w:footnoteReference w:id="216"/>
      </w:r>
      <w:r>
        <w:t>, které proto uvádím i zde</w:t>
      </w:r>
      <w:r w:rsidR="007D3CC7">
        <w:t xml:space="preserve"> ve stejném měřítku</w:t>
      </w:r>
      <w:r w:rsidR="007D6325">
        <w:t xml:space="preserve">. </w:t>
      </w:r>
      <w:r>
        <w:t>I zde Smejkalová upozorňuje na</w:t>
      </w:r>
      <w:r w:rsidR="007D6325">
        <w:t xml:space="preserve"> velmi podobný vzorec distribuce počtu vstupních i výstupních citací jako </w:t>
      </w:r>
      <w:r w:rsidR="0083009B">
        <w:t>u</w:t>
      </w:r>
      <w:r w:rsidR="007D6325">
        <w:t> porovnávaných zahraničních soud</w:t>
      </w:r>
      <w:r w:rsidR="0083009B">
        <w:t>ů</w:t>
      </w:r>
      <w:r w:rsidR="007D6325">
        <w:t xml:space="preserve">, a to i přes výrazný rozdíl ve velikosti i hustotě sítí (viz předchozí podkapitola). </w:t>
      </w:r>
      <w:r w:rsidR="0083009B">
        <w:t>Smejkalová tedy uzavírá</w:t>
      </w:r>
      <w:r w:rsidR="007D6325">
        <w:t>, že i v této citační síti lze pozorovat metodu v citování předchozích rozhodnutí.</w:t>
      </w:r>
      <w:r w:rsidR="007D6325">
        <w:rPr>
          <w:rStyle w:val="Znakapoznpodarou"/>
        </w:rPr>
        <w:footnoteReference w:id="217"/>
      </w:r>
    </w:p>
    <w:p w14:paraId="59DD6C7F" w14:textId="7CA51CD6" w:rsidR="00AC5C74" w:rsidRDefault="00AC5C74" w:rsidP="008A0629">
      <w:pPr>
        <w:pStyle w:val="Obrzek"/>
      </w:pPr>
      <w:r>
        <w:rPr>
          <w:noProof/>
        </w:rPr>
        <w:drawing>
          <wp:inline distT="0" distB="0" distL="0" distR="0" wp14:anchorId="4387278A" wp14:editId="341248F8">
            <wp:extent cx="4677410" cy="2808605"/>
            <wp:effectExtent l="0" t="0" r="8890" b="10795"/>
            <wp:docPr id="11" name="Graf 11">
              <a:extLst xmlns:a="http://schemas.openxmlformats.org/drawingml/2006/main">
                <a:ext uri="{FF2B5EF4-FFF2-40B4-BE49-F238E27FC236}">
                  <a16:creationId xmlns:a16="http://schemas.microsoft.com/office/drawing/2014/main" id="{C3EF5A45-256F-260E-BC52-F266D232CF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E982B17" w14:textId="69560AB8" w:rsidR="00AC5C74" w:rsidRDefault="00AC5C74" w:rsidP="008A0629">
      <w:pPr>
        <w:pStyle w:val="Titulek"/>
      </w:pPr>
      <w:bookmarkStart w:id="47" w:name="_Toc126874171"/>
      <w:r>
        <w:t xml:space="preserve">Obr. </w:t>
      </w:r>
      <w:r>
        <w:rPr>
          <w:noProof/>
        </w:rPr>
        <w:fldChar w:fldCharType="begin"/>
      </w:r>
      <w:r>
        <w:rPr>
          <w:noProof/>
        </w:rPr>
        <w:instrText xml:space="preserve"> SEQ Obr. \* ARABIC </w:instrText>
      </w:r>
      <w:r>
        <w:rPr>
          <w:noProof/>
        </w:rPr>
        <w:fldChar w:fldCharType="separate"/>
      </w:r>
      <w:r>
        <w:rPr>
          <w:noProof/>
        </w:rPr>
        <w:t>3</w:t>
      </w:r>
      <w:r>
        <w:rPr>
          <w:noProof/>
        </w:rPr>
        <w:fldChar w:fldCharType="end"/>
      </w:r>
      <w:r>
        <w:t>: Distribuce výstupních citací – Ústavní soud</w:t>
      </w:r>
      <w:bookmarkEnd w:id="47"/>
    </w:p>
    <w:p w14:paraId="15A23D98" w14:textId="77777777" w:rsidR="00AC5C74" w:rsidRPr="00EE22D1" w:rsidRDefault="00AC5C74" w:rsidP="00AC5C74">
      <w:pPr>
        <w:rPr>
          <w:lang w:eastAsia="sk-SK"/>
        </w:rPr>
      </w:pPr>
    </w:p>
    <w:p w14:paraId="6D5DBBC0" w14:textId="27F0EBA9" w:rsidR="00AC5C74" w:rsidRDefault="00AC5C74" w:rsidP="008A0629">
      <w:pPr>
        <w:pStyle w:val="Obrzek"/>
      </w:pPr>
      <w:r>
        <w:rPr>
          <w:noProof/>
        </w:rPr>
        <w:lastRenderedPageBreak/>
        <w:drawing>
          <wp:inline distT="0" distB="0" distL="0" distR="0" wp14:anchorId="7437AA20" wp14:editId="168672B5">
            <wp:extent cx="4572000" cy="2743200"/>
            <wp:effectExtent l="0" t="0" r="0" b="0"/>
            <wp:docPr id="13" name="Graf 13">
              <a:extLst xmlns:a="http://schemas.openxmlformats.org/drawingml/2006/main">
                <a:ext uri="{FF2B5EF4-FFF2-40B4-BE49-F238E27FC236}">
                  <a16:creationId xmlns:a16="http://schemas.microsoft.com/office/drawing/2014/main" id="{AA24675B-3E59-E7F0-6EE4-1888994DA9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FF8B3E7" w14:textId="4EFA2B49" w:rsidR="00AC5C74" w:rsidRDefault="00AC5C74" w:rsidP="008A0629">
      <w:pPr>
        <w:pStyle w:val="Titulek"/>
      </w:pPr>
      <w:bookmarkStart w:id="48" w:name="_Toc126874172"/>
      <w:r>
        <w:t xml:space="preserve">Obr. </w:t>
      </w:r>
      <w:r>
        <w:rPr>
          <w:noProof/>
        </w:rPr>
        <w:fldChar w:fldCharType="begin"/>
      </w:r>
      <w:r>
        <w:rPr>
          <w:noProof/>
        </w:rPr>
        <w:instrText xml:space="preserve"> SEQ Obr. \* ARABIC </w:instrText>
      </w:r>
      <w:r>
        <w:rPr>
          <w:noProof/>
        </w:rPr>
        <w:fldChar w:fldCharType="separate"/>
      </w:r>
      <w:r>
        <w:rPr>
          <w:noProof/>
        </w:rPr>
        <w:t>4</w:t>
      </w:r>
      <w:r>
        <w:rPr>
          <w:noProof/>
        </w:rPr>
        <w:fldChar w:fldCharType="end"/>
      </w:r>
      <w:r>
        <w:t>: Distribuce výstupních citací – Nejvyšší soud</w:t>
      </w:r>
      <w:bookmarkEnd w:id="48"/>
    </w:p>
    <w:p w14:paraId="5CCF0CDB" w14:textId="2AE5AD49" w:rsidR="00AC5C74" w:rsidRDefault="007D3CC7" w:rsidP="008A0629">
      <w:pPr>
        <w:pStyle w:val="Obrzek"/>
      </w:pPr>
      <w:r>
        <w:rPr>
          <w:noProof/>
        </w:rPr>
        <w:drawing>
          <wp:inline distT="0" distB="0" distL="0" distR="0" wp14:anchorId="06C57359" wp14:editId="5FE6C03F">
            <wp:extent cx="4572000" cy="2743200"/>
            <wp:effectExtent l="0" t="0" r="0" b="0"/>
            <wp:docPr id="15" name="Graf 15">
              <a:extLst xmlns:a="http://schemas.openxmlformats.org/drawingml/2006/main">
                <a:ext uri="{FF2B5EF4-FFF2-40B4-BE49-F238E27FC236}">
                  <a16:creationId xmlns:a16="http://schemas.microsoft.com/office/drawing/2014/main" id="{22684DE1-B4E8-0348-CF57-B1E17C4C2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E2D22F9" w14:textId="1C291FD8" w:rsidR="00AC5C74" w:rsidRDefault="00AC5C74" w:rsidP="008A0629">
      <w:pPr>
        <w:pStyle w:val="Titulek"/>
      </w:pPr>
      <w:bookmarkStart w:id="49" w:name="_Toc126874173"/>
      <w:r>
        <w:t xml:space="preserve">Obr. </w:t>
      </w:r>
      <w:r>
        <w:rPr>
          <w:noProof/>
        </w:rPr>
        <w:fldChar w:fldCharType="begin"/>
      </w:r>
      <w:r>
        <w:rPr>
          <w:noProof/>
        </w:rPr>
        <w:instrText xml:space="preserve"> SEQ Obr. \* ARABIC </w:instrText>
      </w:r>
      <w:r>
        <w:rPr>
          <w:noProof/>
        </w:rPr>
        <w:fldChar w:fldCharType="separate"/>
      </w:r>
      <w:r>
        <w:rPr>
          <w:noProof/>
        </w:rPr>
        <w:t>5</w:t>
      </w:r>
      <w:r>
        <w:rPr>
          <w:noProof/>
        </w:rPr>
        <w:fldChar w:fldCharType="end"/>
      </w:r>
      <w:r>
        <w:t>: Distribuce výstupních citací – Nejvyšší správní soud</w:t>
      </w:r>
      <w:bookmarkEnd w:id="49"/>
    </w:p>
    <w:p w14:paraId="4BAC30AA" w14:textId="21738984" w:rsidR="00AC5C74" w:rsidRDefault="00AC5C74" w:rsidP="00AC5C74">
      <w:pPr>
        <w:pStyle w:val="Dalodstavce"/>
        <w:ind w:firstLine="0"/>
      </w:pPr>
    </w:p>
    <w:p w14:paraId="1AD967A0" w14:textId="5655712F" w:rsidR="007D3CC7" w:rsidRDefault="007D3CC7" w:rsidP="008A0629">
      <w:pPr>
        <w:pStyle w:val="Obrzek"/>
      </w:pPr>
      <w:r>
        <w:rPr>
          <w:noProof/>
        </w:rPr>
        <w:lastRenderedPageBreak/>
        <w:drawing>
          <wp:inline distT="0" distB="0" distL="0" distR="0" wp14:anchorId="1C864D84" wp14:editId="67588715">
            <wp:extent cx="4572000" cy="2743200"/>
            <wp:effectExtent l="0" t="0" r="0" b="0"/>
            <wp:docPr id="17" name="Graf 17">
              <a:extLst xmlns:a="http://schemas.openxmlformats.org/drawingml/2006/main">
                <a:ext uri="{FF2B5EF4-FFF2-40B4-BE49-F238E27FC236}">
                  <a16:creationId xmlns:a16="http://schemas.microsoft.com/office/drawing/2014/main" id="{B695DE67-5326-20B8-9E2C-8AC4DAADA4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1693048" w14:textId="49F7C5E8" w:rsidR="007D3CC7" w:rsidRDefault="007D3CC7" w:rsidP="008A0629">
      <w:pPr>
        <w:pStyle w:val="Titulek"/>
      </w:pPr>
      <w:bookmarkStart w:id="50" w:name="_Toc126874174"/>
      <w:r>
        <w:t xml:space="preserve">Obr. </w:t>
      </w:r>
      <w:r>
        <w:rPr>
          <w:noProof/>
        </w:rPr>
        <w:fldChar w:fldCharType="begin"/>
      </w:r>
      <w:r>
        <w:rPr>
          <w:noProof/>
        </w:rPr>
        <w:instrText xml:space="preserve"> SEQ Obr. \* ARABIC </w:instrText>
      </w:r>
      <w:r>
        <w:rPr>
          <w:noProof/>
        </w:rPr>
        <w:fldChar w:fldCharType="separate"/>
      </w:r>
      <w:r>
        <w:rPr>
          <w:noProof/>
        </w:rPr>
        <w:t>6</w:t>
      </w:r>
      <w:r>
        <w:rPr>
          <w:noProof/>
        </w:rPr>
        <w:fldChar w:fldCharType="end"/>
      </w:r>
      <w:r>
        <w:t>: Distribuce vstupního stupně – Ústavní soud</w:t>
      </w:r>
      <w:bookmarkEnd w:id="50"/>
    </w:p>
    <w:p w14:paraId="41704320" w14:textId="77777777" w:rsidR="007D3CC7" w:rsidRPr="007D3CC7" w:rsidRDefault="007D3CC7" w:rsidP="007D3CC7">
      <w:pPr>
        <w:pStyle w:val="Odstavec1"/>
        <w:rPr>
          <w:lang w:eastAsia="sk-SK"/>
        </w:rPr>
      </w:pPr>
    </w:p>
    <w:p w14:paraId="29BE5FAF" w14:textId="04CBDF80" w:rsidR="007D3CC7" w:rsidRDefault="007D3CC7" w:rsidP="008A0629">
      <w:pPr>
        <w:pStyle w:val="Obrzek"/>
      </w:pPr>
      <w:r>
        <w:rPr>
          <w:noProof/>
        </w:rPr>
        <w:drawing>
          <wp:inline distT="0" distB="0" distL="0" distR="0" wp14:anchorId="599A5A3F" wp14:editId="118503FF">
            <wp:extent cx="4572000" cy="2743200"/>
            <wp:effectExtent l="0" t="0" r="0" b="0"/>
            <wp:docPr id="19" name="Graf 19">
              <a:extLst xmlns:a="http://schemas.openxmlformats.org/drawingml/2006/main">
                <a:ext uri="{FF2B5EF4-FFF2-40B4-BE49-F238E27FC236}">
                  <a16:creationId xmlns:a16="http://schemas.microsoft.com/office/drawing/2014/main" id="{1841DB79-63E5-6D28-7069-9ACECD42EB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7699152" w14:textId="241DCC55" w:rsidR="007D3CC7" w:rsidRDefault="007D3CC7" w:rsidP="008A0629">
      <w:pPr>
        <w:pStyle w:val="Titulek"/>
      </w:pPr>
      <w:bookmarkStart w:id="51" w:name="_Toc126874175"/>
      <w:r>
        <w:t xml:space="preserve">Obr. </w:t>
      </w:r>
      <w:r>
        <w:rPr>
          <w:noProof/>
        </w:rPr>
        <w:fldChar w:fldCharType="begin"/>
      </w:r>
      <w:r>
        <w:rPr>
          <w:noProof/>
        </w:rPr>
        <w:instrText xml:space="preserve"> SEQ Obr. \* ARABIC </w:instrText>
      </w:r>
      <w:r>
        <w:rPr>
          <w:noProof/>
        </w:rPr>
        <w:fldChar w:fldCharType="separate"/>
      </w:r>
      <w:r>
        <w:rPr>
          <w:noProof/>
        </w:rPr>
        <w:t>7</w:t>
      </w:r>
      <w:r>
        <w:rPr>
          <w:noProof/>
        </w:rPr>
        <w:fldChar w:fldCharType="end"/>
      </w:r>
      <w:r>
        <w:t>: Distribuce vstupního stupně – Nejvyšší soud</w:t>
      </w:r>
      <w:bookmarkEnd w:id="51"/>
    </w:p>
    <w:p w14:paraId="686F4D77" w14:textId="5FD94467" w:rsidR="00AC5C74" w:rsidRDefault="00AC5C74" w:rsidP="00AC5C74">
      <w:pPr>
        <w:pStyle w:val="Dalodstavce"/>
        <w:ind w:firstLine="0"/>
      </w:pPr>
    </w:p>
    <w:p w14:paraId="0644D35D" w14:textId="0BC2CE89" w:rsidR="007D3CC7" w:rsidRDefault="007D3CC7" w:rsidP="008A0629">
      <w:pPr>
        <w:pStyle w:val="Obrzek"/>
      </w:pPr>
      <w:r>
        <w:rPr>
          <w:noProof/>
        </w:rPr>
        <w:lastRenderedPageBreak/>
        <w:drawing>
          <wp:inline distT="0" distB="0" distL="0" distR="0" wp14:anchorId="0234974C" wp14:editId="369CF575">
            <wp:extent cx="4572000" cy="2743200"/>
            <wp:effectExtent l="0" t="0" r="0" b="0"/>
            <wp:docPr id="21" name="Graf 21">
              <a:extLst xmlns:a="http://schemas.openxmlformats.org/drawingml/2006/main">
                <a:ext uri="{FF2B5EF4-FFF2-40B4-BE49-F238E27FC236}">
                  <a16:creationId xmlns:a16="http://schemas.microsoft.com/office/drawing/2014/main" id="{0615AAF6-4C00-0E31-D398-7753DF1923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96D5475" w14:textId="1B9AC803" w:rsidR="007D3CC7" w:rsidRDefault="007D3CC7" w:rsidP="008A0629">
      <w:pPr>
        <w:pStyle w:val="Titulek"/>
      </w:pPr>
      <w:bookmarkStart w:id="52" w:name="_Toc126874176"/>
      <w:r>
        <w:t xml:space="preserve">Obr. </w:t>
      </w:r>
      <w:r>
        <w:rPr>
          <w:noProof/>
        </w:rPr>
        <w:fldChar w:fldCharType="begin"/>
      </w:r>
      <w:r>
        <w:rPr>
          <w:noProof/>
        </w:rPr>
        <w:instrText xml:space="preserve"> SEQ Obr. \* ARABIC </w:instrText>
      </w:r>
      <w:r>
        <w:rPr>
          <w:noProof/>
        </w:rPr>
        <w:fldChar w:fldCharType="separate"/>
      </w:r>
      <w:r>
        <w:rPr>
          <w:noProof/>
        </w:rPr>
        <w:t>8</w:t>
      </w:r>
      <w:r>
        <w:rPr>
          <w:noProof/>
        </w:rPr>
        <w:fldChar w:fldCharType="end"/>
      </w:r>
      <w:r>
        <w:t>: Distribuce vstupního stupně – Nejvyšší správní soud</w:t>
      </w:r>
      <w:bookmarkEnd w:id="52"/>
    </w:p>
    <w:p w14:paraId="2D2210E4" w14:textId="116DDECF" w:rsidR="007D3CC7" w:rsidRDefault="007D3CC7" w:rsidP="00AC5C74">
      <w:pPr>
        <w:pStyle w:val="Dalodstavce"/>
        <w:ind w:firstLine="0"/>
      </w:pPr>
    </w:p>
    <w:p w14:paraId="1936AA92" w14:textId="098699B2" w:rsidR="00C22E66" w:rsidRDefault="00C22E66" w:rsidP="008A0629">
      <w:pPr>
        <w:pStyle w:val="Obrzek"/>
      </w:pPr>
      <w:r>
        <w:rPr>
          <w:noProof/>
        </w:rPr>
        <w:drawing>
          <wp:inline distT="0" distB="0" distL="0" distR="0" wp14:anchorId="0CD084E6" wp14:editId="44571111">
            <wp:extent cx="4677410" cy="2352040"/>
            <wp:effectExtent l="0" t="0" r="889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77410" cy="2352040"/>
                    </a:xfrm>
                    <a:prstGeom prst="rect">
                      <a:avLst/>
                    </a:prstGeom>
                  </pic:spPr>
                </pic:pic>
              </a:graphicData>
            </a:graphic>
          </wp:inline>
        </w:drawing>
      </w:r>
    </w:p>
    <w:p w14:paraId="613A63ED" w14:textId="56F1985F" w:rsidR="00C22E66" w:rsidRDefault="00C22E66" w:rsidP="008A0629">
      <w:pPr>
        <w:pStyle w:val="Titulek"/>
      </w:pPr>
      <w:bookmarkStart w:id="53" w:name="_Toc126874177"/>
      <w:r>
        <w:t xml:space="preserve">Obr. </w:t>
      </w:r>
      <w:r>
        <w:rPr>
          <w:noProof/>
        </w:rPr>
        <w:fldChar w:fldCharType="begin"/>
      </w:r>
      <w:r>
        <w:rPr>
          <w:noProof/>
        </w:rPr>
        <w:instrText xml:space="preserve"> SEQ Obr. \* ARABIC </w:instrText>
      </w:r>
      <w:r>
        <w:rPr>
          <w:noProof/>
        </w:rPr>
        <w:fldChar w:fldCharType="separate"/>
      </w:r>
      <w:r>
        <w:rPr>
          <w:noProof/>
        </w:rPr>
        <w:t>9</w:t>
      </w:r>
      <w:r>
        <w:rPr>
          <w:noProof/>
        </w:rPr>
        <w:fldChar w:fldCharType="end"/>
      </w:r>
      <w:r>
        <w:t>: Distribuce vstupního a výstupního stupně - SDEU</w:t>
      </w:r>
      <w:r>
        <w:rPr>
          <w:rStyle w:val="Znakapoznpodarou"/>
        </w:rPr>
        <w:footnoteReference w:id="218"/>
      </w:r>
      <w:bookmarkEnd w:id="53"/>
    </w:p>
    <w:p w14:paraId="3F095370" w14:textId="1111749A" w:rsidR="00C22E66" w:rsidRDefault="00C22E66" w:rsidP="00AC5C74">
      <w:pPr>
        <w:pStyle w:val="Dalodstavce"/>
        <w:ind w:firstLine="0"/>
      </w:pPr>
    </w:p>
    <w:p w14:paraId="6DB64426" w14:textId="2752CD67" w:rsidR="00C22E66" w:rsidRDefault="006474F7" w:rsidP="008A0629">
      <w:pPr>
        <w:pStyle w:val="Obrzek"/>
      </w:pPr>
      <w:r>
        <w:rPr>
          <w:noProof/>
        </w:rPr>
        <w:lastRenderedPageBreak/>
        <w:drawing>
          <wp:inline distT="0" distB="0" distL="0" distR="0" wp14:anchorId="5623939C" wp14:editId="00A6F69B">
            <wp:extent cx="4677410" cy="2386330"/>
            <wp:effectExtent l="0" t="0" r="889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77410" cy="2386330"/>
                    </a:xfrm>
                    <a:prstGeom prst="rect">
                      <a:avLst/>
                    </a:prstGeom>
                  </pic:spPr>
                </pic:pic>
              </a:graphicData>
            </a:graphic>
          </wp:inline>
        </w:drawing>
      </w:r>
    </w:p>
    <w:p w14:paraId="04616530" w14:textId="2E8C59B5" w:rsidR="00C22E66" w:rsidRDefault="00C22E66" w:rsidP="008A0629">
      <w:pPr>
        <w:pStyle w:val="Titulek"/>
      </w:pPr>
      <w:bookmarkStart w:id="54" w:name="_Toc126874178"/>
      <w:r>
        <w:t xml:space="preserve">Obr. </w:t>
      </w:r>
      <w:r>
        <w:rPr>
          <w:noProof/>
        </w:rPr>
        <w:fldChar w:fldCharType="begin"/>
      </w:r>
      <w:r>
        <w:rPr>
          <w:noProof/>
        </w:rPr>
        <w:instrText xml:space="preserve"> SEQ Obr. \* ARABIC </w:instrText>
      </w:r>
      <w:r>
        <w:rPr>
          <w:noProof/>
        </w:rPr>
        <w:fldChar w:fldCharType="separate"/>
      </w:r>
      <w:r>
        <w:rPr>
          <w:noProof/>
        </w:rPr>
        <w:t>10</w:t>
      </w:r>
      <w:r>
        <w:rPr>
          <w:noProof/>
        </w:rPr>
        <w:fldChar w:fldCharType="end"/>
      </w:r>
      <w:r>
        <w:t>: Distribuce vstupního a výstupního stupně – Nejvyšší soud USA</w:t>
      </w:r>
      <w:r>
        <w:rPr>
          <w:rStyle w:val="Znakapoznpodarou"/>
        </w:rPr>
        <w:footnoteReference w:id="219"/>
      </w:r>
      <w:bookmarkEnd w:id="54"/>
    </w:p>
    <w:p w14:paraId="65B2F802" w14:textId="77777777" w:rsidR="00C22E66" w:rsidRDefault="00C22E66" w:rsidP="00AC5C74">
      <w:pPr>
        <w:pStyle w:val="Dalodstavce"/>
        <w:ind w:firstLine="0"/>
      </w:pPr>
    </w:p>
    <w:p w14:paraId="604EBFAF" w14:textId="4E12513C" w:rsidR="007D6325" w:rsidRDefault="007D6325">
      <w:pPr>
        <w:pStyle w:val="Nadpis3"/>
        <w:numPr>
          <w:ilvl w:val="2"/>
          <w:numId w:val="14"/>
        </w:numPr>
      </w:pPr>
      <w:r>
        <w:t>Výstupní stupeň</w:t>
      </w:r>
    </w:p>
    <w:p w14:paraId="2FC33AE6" w14:textId="486CE89D" w:rsidR="007D6325" w:rsidRDefault="007D6325" w:rsidP="007D6325">
      <w:pPr>
        <w:pStyle w:val="Odstavec1"/>
      </w:pPr>
      <w:r>
        <w:t xml:space="preserve">Výstupní stupeň uzlu je součet všech spojení, vedoucích od daného uzlu k ostatním uzlům v síti, </w:t>
      </w:r>
      <w:r w:rsidR="00743616">
        <w:t>v kontextu tohoto výzkumu</w:t>
      </w:r>
      <w:r>
        <w:t xml:space="preserve"> se jedn</w:t>
      </w:r>
      <w:r w:rsidR="00743616">
        <w:t>alo</w:t>
      </w:r>
      <w:r>
        <w:t xml:space="preserve"> o součet rozhodnutí, které dané rozhodnutí cituje (počet citací v daném rozhodnutí obsažených). </w:t>
      </w:r>
      <w:r w:rsidR="00743616">
        <w:t>Nejprve jsem tedy sumarizovala počet citací v jednotlivých rozhodnutích z CzCDC a na základě tohoto statistického přehledu jsem pak dopočítala další zde představené ukazatele.</w:t>
      </w:r>
      <w:r w:rsidR="000F1756">
        <w:t xml:space="preserve"> Základním konkrétním výstupem, na kterém je tato podkapitola postavena, bylo tedy uvedení počtu rozhodnutí, která mají vždy daný výstupní stupeň.</w:t>
      </w:r>
      <w:r w:rsidR="00743616">
        <w:t xml:space="preserve"> V referované monografii jsme j</w:t>
      </w:r>
      <w:r>
        <w:t xml:space="preserve">ednotlivé výstupní stupně uzlů v síti </w:t>
      </w:r>
      <w:r w:rsidR="00743616">
        <w:t>analyzovali</w:t>
      </w:r>
      <w:r>
        <w:t xml:space="preserve"> z hlediska jejich souhrnné četnosti v rámci sítě, což přin</w:t>
      </w:r>
      <w:r w:rsidR="00743616">
        <w:t>eslo</w:t>
      </w:r>
      <w:r>
        <w:t xml:space="preserve"> komplexnější přehled o tom, jak často soudci ve svých rozhodnutích citují jiná soudní rozhodnutí. V tomto ohledu pak b</w:t>
      </w:r>
      <w:r w:rsidR="00743616">
        <w:t>yl</w:t>
      </w:r>
      <w:r>
        <w:t xml:space="preserve"> analyzován i vývoj četnosti v čase a dále průměrný výstupní stupeň a jeho vývoj v čase.</w:t>
      </w:r>
      <w:r>
        <w:rPr>
          <w:rStyle w:val="Znakapoznpodarou"/>
        </w:rPr>
        <w:footnoteReference w:id="220"/>
      </w:r>
    </w:p>
    <w:p w14:paraId="5B89D26C" w14:textId="625A2269" w:rsidR="007D6325" w:rsidRDefault="007D6325" w:rsidP="00743616">
      <w:pPr>
        <w:pStyle w:val="Dalodstavce"/>
      </w:pPr>
      <w:r>
        <w:t xml:space="preserve">Nejprve </w:t>
      </w:r>
      <w:r w:rsidR="00743616">
        <w:t>byly</w:t>
      </w:r>
      <w:r>
        <w:t xml:space="preserve"> představeny grafy vývoje celkového počtu citací v rozhodnutích pro jednotlivé soudy po rocích</w:t>
      </w:r>
      <w:r w:rsidR="00743616">
        <w:t>, které uvádím i zde</w:t>
      </w:r>
      <w:r>
        <w:t>.</w:t>
      </w:r>
    </w:p>
    <w:p w14:paraId="632AF527" w14:textId="01690458" w:rsidR="00E457DF" w:rsidRDefault="00E457DF" w:rsidP="008A0629">
      <w:pPr>
        <w:pStyle w:val="Obrzek"/>
      </w:pPr>
      <w:r>
        <w:rPr>
          <w:noProof/>
        </w:rPr>
        <w:lastRenderedPageBreak/>
        <w:drawing>
          <wp:inline distT="0" distB="0" distL="0" distR="0" wp14:anchorId="59511F56" wp14:editId="182C01CF">
            <wp:extent cx="4572000" cy="2743200"/>
            <wp:effectExtent l="0" t="0" r="0" b="0"/>
            <wp:docPr id="27" name="Graf 27">
              <a:extLst xmlns:a="http://schemas.openxmlformats.org/drawingml/2006/main">
                <a:ext uri="{FF2B5EF4-FFF2-40B4-BE49-F238E27FC236}">
                  <a16:creationId xmlns:a16="http://schemas.microsoft.com/office/drawing/2014/main" id="{321C359F-BD51-4B74-8BEE-6A1360FE24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20BCD29" w14:textId="69C812B0" w:rsidR="00E457DF" w:rsidRDefault="00E457DF" w:rsidP="008A0629">
      <w:pPr>
        <w:pStyle w:val="Titulek"/>
      </w:pPr>
      <w:bookmarkStart w:id="55" w:name="_Toc126874179"/>
      <w:r>
        <w:t xml:space="preserve">Obr. </w:t>
      </w:r>
      <w:r>
        <w:rPr>
          <w:noProof/>
        </w:rPr>
        <w:fldChar w:fldCharType="begin"/>
      </w:r>
      <w:r>
        <w:rPr>
          <w:noProof/>
        </w:rPr>
        <w:instrText xml:space="preserve"> SEQ Obr. \* ARABIC </w:instrText>
      </w:r>
      <w:r>
        <w:rPr>
          <w:noProof/>
        </w:rPr>
        <w:fldChar w:fldCharType="separate"/>
      </w:r>
      <w:r>
        <w:rPr>
          <w:noProof/>
        </w:rPr>
        <w:t>11</w:t>
      </w:r>
      <w:r>
        <w:rPr>
          <w:noProof/>
        </w:rPr>
        <w:fldChar w:fldCharType="end"/>
      </w:r>
      <w:r>
        <w:t>: Vývoj počtu rozhodnutí obsahujících alespoň jednu citaci a neobsahujících žádnou citaci – Ústavní soud</w:t>
      </w:r>
      <w:bookmarkEnd w:id="55"/>
    </w:p>
    <w:p w14:paraId="3B81CD98" w14:textId="77777777" w:rsidR="00E457DF" w:rsidRPr="00E457DF" w:rsidRDefault="00E457DF" w:rsidP="00E457DF">
      <w:pPr>
        <w:pStyle w:val="Odstavec1"/>
        <w:rPr>
          <w:lang w:eastAsia="sk-SK"/>
        </w:rPr>
      </w:pPr>
    </w:p>
    <w:p w14:paraId="25C43D85" w14:textId="64B0AC0F" w:rsidR="00E457DF" w:rsidRDefault="00EA0E6C" w:rsidP="008A0629">
      <w:pPr>
        <w:pStyle w:val="Obrzek"/>
      </w:pPr>
      <w:r>
        <w:rPr>
          <w:noProof/>
        </w:rPr>
        <w:drawing>
          <wp:inline distT="0" distB="0" distL="0" distR="0" wp14:anchorId="47A82E8C" wp14:editId="1A0E926B">
            <wp:extent cx="4572000" cy="2743200"/>
            <wp:effectExtent l="0" t="0" r="0" b="0"/>
            <wp:docPr id="29" name="Graf 29">
              <a:extLst xmlns:a="http://schemas.openxmlformats.org/drawingml/2006/main">
                <a:ext uri="{FF2B5EF4-FFF2-40B4-BE49-F238E27FC236}">
                  <a16:creationId xmlns:a16="http://schemas.microsoft.com/office/drawing/2014/main" id="{AF254918-B022-7017-618C-67F716B23A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478E70A" w14:textId="790DC59B" w:rsidR="00E457DF" w:rsidRDefault="00E457DF" w:rsidP="008A0629">
      <w:pPr>
        <w:pStyle w:val="Titulek"/>
      </w:pPr>
      <w:bookmarkStart w:id="56" w:name="_Toc126874180"/>
      <w:r>
        <w:t xml:space="preserve">Obr. </w:t>
      </w:r>
      <w:r>
        <w:rPr>
          <w:noProof/>
        </w:rPr>
        <w:fldChar w:fldCharType="begin"/>
      </w:r>
      <w:r>
        <w:rPr>
          <w:noProof/>
        </w:rPr>
        <w:instrText xml:space="preserve"> SEQ Obr. \* ARABIC </w:instrText>
      </w:r>
      <w:r>
        <w:rPr>
          <w:noProof/>
        </w:rPr>
        <w:fldChar w:fldCharType="separate"/>
      </w:r>
      <w:r>
        <w:rPr>
          <w:noProof/>
        </w:rPr>
        <w:t>12</w:t>
      </w:r>
      <w:r>
        <w:rPr>
          <w:noProof/>
        </w:rPr>
        <w:fldChar w:fldCharType="end"/>
      </w:r>
      <w:r>
        <w:t>: Vývoj počtu rozhodnutí obsahujících alespoň jednu citaci a neobsahujících žádnou citaci – Nejvyšší soud</w:t>
      </w:r>
      <w:bookmarkEnd w:id="56"/>
    </w:p>
    <w:p w14:paraId="515A56AB" w14:textId="6EEAE526" w:rsidR="007D6325" w:rsidRDefault="007D6325" w:rsidP="007D6325">
      <w:pPr>
        <w:pStyle w:val="Dalodstavce"/>
      </w:pPr>
    </w:p>
    <w:p w14:paraId="451238C9" w14:textId="4FFC45BF" w:rsidR="00106C44" w:rsidRDefault="00106C44" w:rsidP="008A0629">
      <w:pPr>
        <w:pStyle w:val="Obrzek"/>
      </w:pPr>
      <w:r>
        <w:rPr>
          <w:noProof/>
        </w:rPr>
        <w:lastRenderedPageBreak/>
        <w:drawing>
          <wp:inline distT="0" distB="0" distL="0" distR="0" wp14:anchorId="034124BB" wp14:editId="752ABB59">
            <wp:extent cx="4572000" cy="2743200"/>
            <wp:effectExtent l="0" t="0" r="0" b="0"/>
            <wp:docPr id="31" name="Graf 31">
              <a:extLst xmlns:a="http://schemas.openxmlformats.org/drawingml/2006/main">
                <a:ext uri="{FF2B5EF4-FFF2-40B4-BE49-F238E27FC236}">
                  <a16:creationId xmlns:a16="http://schemas.microsoft.com/office/drawing/2014/main" id="{86321CB6-D53C-9A51-B97B-E924C23EBA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7195D4B" w14:textId="03F7175F" w:rsidR="00106C44" w:rsidRDefault="00106C44" w:rsidP="008A0629">
      <w:pPr>
        <w:pStyle w:val="Titulek"/>
      </w:pPr>
      <w:bookmarkStart w:id="57" w:name="_Toc126874181"/>
      <w:r>
        <w:t xml:space="preserve">Obr. </w:t>
      </w:r>
      <w:r>
        <w:rPr>
          <w:noProof/>
        </w:rPr>
        <w:fldChar w:fldCharType="begin"/>
      </w:r>
      <w:r>
        <w:rPr>
          <w:noProof/>
        </w:rPr>
        <w:instrText xml:space="preserve"> SEQ Obr. \* ARABIC </w:instrText>
      </w:r>
      <w:r>
        <w:rPr>
          <w:noProof/>
        </w:rPr>
        <w:fldChar w:fldCharType="separate"/>
      </w:r>
      <w:r>
        <w:rPr>
          <w:noProof/>
        </w:rPr>
        <w:t>13</w:t>
      </w:r>
      <w:r>
        <w:rPr>
          <w:noProof/>
        </w:rPr>
        <w:fldChar w:fldCharType="end"/>
      </w:r>
      <w:r>
        <w:t>: Vývoj počtu rozhodnutí obsahujících alespoň jednu citaci a neobsahujících žádnou citaci – Nejvyšší správní soud</w:t>
      </w:r>
      <w:bookmarkEnd w:id="57"/>
    </w:p>
    <w:p w14:paraId="113ACF10" w14:textId="77777777" w:rsidR="00743616" w:rsidRDefault="00743616" w:rsidP="00106C44">
      <w:pPr>
        <w:pStyle w:val="Dalodstavce"/>
        <w:ind w:firstLine="0"/>
      </w:pPr>
    </w:p>
    <w:p w14:paraId="78CFBCB3" w14:textId="378C7FCE" w:rsidR="007D6325" w:rsidRDefault="00743616" w:rsidP="007D6325">
      <w:pPr>
        <w:pStyle w:val="Dalodstavce"/>
      </w:pPr>
      <w:r>
        <w:t>Smejkalová je popisuje tak</w:t>
      </w:r>
      <w:r w:rsidR="007D6325">
        <w:t>, že se poměr rozhodnutí citujících alespoň jedno předchozí rozhodnutí s respektem k několika výkyvům dlouhodobě pomalu snižuje. Současně se zvyšuje i celkový počet citací ve všech rozhodnutích jednotlivých soudů v daném roce.</w:t>
      </w:r>
      <w:r>
        <w:t xml:space="preserve"> Dále popisuje i vývoj u jednotlivých soudů.</w:t>
      </w:r>
    </w:p>
    <w:p w14:paraId="548727EC" w14:textId="30D5C267" w:rsidR="007D6325" w:rsidRDefault="007D6325" w:rsidP="007D6325">
      <w:pPr>
        <w:pStyle w:val="Dalodstavce"/>
      </w:pPr>
      <w:r>
        <w:t xml:space="preserve">V případě Ústavního soudu </w:t>
      </w:r>
      <w:r w:rsidR="00743616">
        <w:t>pozoruje</w:t>
      </w:r>
      <w:r>
        <w:t xml:space="preserve"> postupný nárůst podílu rozhodnutí obsahujících citaci, výkyvy v absolutním počtu citací pak kopírují výkyvy v počtu vydaných rozhodnutí. Nejvyšší podíl publikovaných rozhodnutí obsahujících citaci pak byl v roce 2015, kdy to bylo 75,96 %, v posledním sledovaném celém roce se jednalo o 73,51 %.</w:t>
      </w:r>
    </w:p>
    <w:p w14:paraId="60135D2D" w14:textId="7D9A7E98" w:rsidR="007D6325" w:rsidRDefault="007D6325" w:rsidP="007D6325">
      <w:pPr>
        <w:pStyle w:val="Dalodstavce"/>
      </w:pPr>
      <w:r>
        <w:t xml:space="preserve">U Nejvyššího soudu </w:t>
      </w:r>
      <w:r w:rsidR="00743616">
        <w:t>upozorňuje na</w:t>
      </w:r>
      <w:r>
        <w:t xml:space="preserve"> podobnou tendenci vzrůstajícího počtu rozhodnutí obsahujících citaci i vzrůstající</w:t>
      </w:r>
      <w:r w:rsidR="00743616">
        <w:t>ho</w:t>
      </w:r>
      <w:r>
        <w:t xml:space="preserve"> poč</w:t>
      </w:r>
      <w:r w:rsidR="00743616">
        <w:t>tu</w:t>
      </w:r>
      <w:r>
        <w:t xml:space="preserve"> citací celkově během sledovaných let, s obdobným výkyvem jako u soudu Ústavního. Podíl rozhodnutí obsahujících citaci v posledním sledovaném roce je však vyšší než u Ústavního soudu a jedná se o 86,63 %.</w:t>
      </w:r>
    </w:p>
    <w:p w14:paraId="61EA7C62" w14:textId="212F24D4" w:rsidR="007D6325" w:rsidRDefault="00743616" w:rsidP="007D6325">
      <w:pPr>
        <w:pStyle w:val="Dalodstavce"/>
      </w:pPr>
      <w:r>
        <w:t xml:space="preserve">V případě Nejvyššího správního soudu zmiňuje, že vývoj citací </w:t>
      </w:r>
      <w:r w:rsidR="007D6325">
        <w:t xml:space="preserve">se od ostatních dvou soudů odlišuje nejvíce. Jedná se o rychlejší nárůst podílu rozhodnutí obsahujících citaci než u předchozích dvou soudů, současně je nutné brát v úvahu, že soud vznikl v roce 2003 a sledované období je </w:t>
      </w:r>
      <w:r w:rsidR="00DD2719">
        <w:t xml:space="preserve">proto </w:t>
      </w:r>
      <w:r w:rsidR="007D6325">
        <w:t xml:space="preserve">kratší. Současně během prvních let existence skokově narostl počet rozhodnutí citujících předchozí a poté už byl nárůst jen velmi </w:t>
      </w:r>
      <w:r w:rsidR="007D6325">
        <w:lastRenderedPageBreak/>
        <w:t xml:space="preserve">pozvolný. Smejkalová uvádí, že důvodů tohoto stavu může být několik. Předpokládá, že vlivem bude zejména </w:t>
      </w:r>
      <w:r w:rsidR="00DD2719">
        <w:t>skutečnost</w:t>
      </w:r>
      <w:r w:rsidR="007D6325">
        <w:t xml:space="preserve">, že Nejvyšší správní soud v době svého vzniku již vstupoval do určité citační kultury dalších dvou soudů, </w:t>
      </w:r>
      <w:r w:rsidR="00DD2719">
        <w:t>jež</w:t>
      </w:r>
      <w:r w:rsidR="007D6325">
        <w:t xml:space="preserve"> byla vytvářena od roku 1993.</w:t>
      </w:r>
      <w:r w:rsidR="007D6325">
        <w:rPr>
          <w:rStyle w:val="Znakapoznpodarou"/>
        </w:rPr>
        <w:footnoteReference w:id="221"/>
      </w:r>
      <w:r w:rsidR="007D6325">
        <w:t xml:space="preserve"> Současně </w:t>
      </w:r>
      <w:r>
        <w:t xml:space="preserve">uvádí, že </w:t>
      </w:r>
      <w:r w:rsidR="007D6325">
        <w:t>byl vznik tohoto nejmladšího soudu doprovázen diskuzí nad jeho rolí, která byla od začátku inspirována i zahraniční praxí a kulturou respektu ke kontinuální rozhodovací činnosti soudů vyšších instancí a jejich interpretaci práva.</w:t>
      </w:r>
      <w:r w:rsidR="007D6325">
        <w:rPr>
          <w:rStyle w:val="Znakapoznpodarou"/>
        </w:rPr>
        <w:footnoteReference w:id="222"/>
      </w:r>
    </w:p>
    <w:p w14:paraId="7BB2B129" w14:textId="3432B9A0" w:rsidR="007D6325" w:rsidRDefault="007D6325" w:rsidP="007D6325">
      <w:pPr>
        <w:pStyle w:val="Dalodstavce"/>
      </w:pPr>
      <w:r>
        <w:t>Další proměnn</w:t>
      </w:r>
      <w:r w:rsidR="00C94991">
        <w:t>á</w:t>
      </w:r>
      <w:r>
        <w:t xml:space="preserve">, která byla </w:t>
      </w:r>
      <w:r w:rsidR="00C94991">
        <w:t xml:space="preserve">v tomto výzkumu </w:t>
      </w:r>
      <w:r>
        <w:t xml:space="preserve">zkoumána, je průměrný počet citací, </w:t>
      </w:r>
      <w:r w:rsidR="00DD2719">
        <w:t>jež</w:t>
      </w:r>
      <w:r>
        <w:t xml:space="preserve"> obsahuje jedno rozhodnutí a vývoj tohoto čísla v čase. </w:t>
      </w:r>
      <w:r w:rsidR="00C94991">
        <w:t>Smejkalová uvádí jako i</w:t>
      </w:r>
      <w:r>
        <w:t>nspirac</w:t>
      </w:r>
      <w:r w:rsidR="00C94991">
        <w:t>i</w:t>
      </w:r>
      <w:r>
        <w:t xml:space="preserve"> </w:t>
      </w:r>
      <w:r w:rsidR="00C94991">
        <w:t>studii</w:t>
      </w:r>
      <w:r>
        <w:t xml:space="preserve"> Derléna a Lindholma, kteří používají tuto proměnnou k popisu vývoje citačního prostředí v čase.</w:t>
      </w:r>
      <w:r>
        <w:rPr>
          <w:rStyle w:val="Znakapoznpodarou"/>
        </w:rPr>
        <w:footnoteReference w:id="223"/>
      </w:r>
      <w:r>
        <w:t xml:space="preserve"> Nicméně, </w:t>
      </w:r>
      <w:r w:rsidR="00D64E9B">
        <w:t xml:space="preserve">jak uvádí dále, </w:t>
      </w:r>
      <w:r>
        <w:t>i tento ukazatel má svoje limity. Jedním z nich je fakt, že se zvyšujícím se počtem citací v čase se zvyšuje paleta rozhodnutí k citování, to znamená</w:t>
      </w:r>
      <w:r w:rsidR="00DD2719">
        <w:t>, že</w:t>
      </w:r>
      <w:r>
        <w:t xml:space="preserve"> se ještě více zvyšuje citovanost. </w:t>
      </w:r>
      <w:r w:rsidR="00F672D1">
        <w:t>Dále je v</w:t>
      </w:r>
      <w:r>
        <w:t>ývoj průměrného počtu rozhodnutí závislý i na počtu publikovaných rozhodnutí.</w:t>
      </w:r>
      <w:r w:rsidR="00D64E9B">
        <w:rPr>
          <w:rStyle w:val="Znakapoznpodarou"/>
        </w:rPr>
        <w:footnoteReference w:id="224"/>
      </w:r>
    </w:p>
    <w:p w14:paraId="114371E0" w14:textId="1C9A508B" w:rsidR="007D6325" w:rsidRDefault="007D6325" w:rsidP="007D6325">
      <w:pPr>
        <w:pStyle w:val="Dalodstavce"/>
      </w:pPr>
      <w:r>
        <w:t>Tyto ukazatele jsou uvedeny v následujících grafech, kde jsou uvedeny průměrné a mediánové hodnoty počtu citací, kter</w:t>
      </w:r>
      <w:r w:rsidR="00DD2719">
        <w:t>é</w:t>
      </w:r>
      <w:r>
        <w:t xml:space="preserve"> obsahují rozhodnutí publikovaná v daném roce. Průměrný i mediánový počet citovaných rozhodnutí v jednom rozhodnutí se postupně zvyšuje u všech tří soudů. </w:t>
      </w:r>
      <w:r w:rsidR="005A71DF">
        <w:t>Smejkalová z toho vyvozuje</w:t>
      </w:r>
      <w:r>
        <w:t>, že vzrůstá povědomí soudců o předchozí judikatuře a o důležitosti či vhodnosti jejího citování.</w:t>
      </w:r>
      <w:r w:rsidR="005A71DF">
        <w:rPr>
          <w:rStyle w:val="Znakapoznpodarou"/>
        </w:rPr>
        <w:footnoteReference w:id="225"/>
      </w:r>
    </w:p>
    <w:p w14:paraId="63745B24" w14:textId="24DC38BE" w:rsidR="007D6325" w:rsidRDefault="000F1756" w:rsidP="007D6325">
      <w:pPr>
        <w:pStyle w:val="Dalodstavce"/>
      </w:pPr>
      <w:r>
        <w:t>Jak dále uvádí v referované monografii, u</w:t>
      </w:r>
      <w:r w:rsidR="007D6325">
        <w:t xml:space="preserve"> Ústavního soudu </w:t>
      </w:r>
      <w:r>
        <w:t>lze</w:t>
      </w:r>
      <w:r w:rsidR="007D6325">
        <w:t xml:space="preserve"> pozorovat vývoj počtu citovaných rozhodnutí z průměrného jednoho v prvních letech existence na šest citovaných rozhodnutí v jednom rozhodnutí v posledním sledovaném roce 2018. Podobný vývoj lze pozorovat u soudu Nejvyššího, kde </w:t>
      </w:r>
      <w:r w:rsidR="00DD2719">
        <w:t xml:space="preserve">se </w:t>
      </w:r>
      <w:r w:rsidR="007D6325">
        <w:t xml:space="preserve">z jednoho až dvou citovaných rozhodnutí průměr zvyšuje až na 6,56 citovaných rozhodnutí v posledním roce. U </w:t>
      </w:r>
      <w:r w:rsidR="007D6325">
        <w:lastRenderedPageBreak/>
        <w:t>Nejvyššího správního soudu pozorujeme nejnižší průměrný počet citovaných rozhodnutí v posledním roce a to 4,47. T</w:t>
      </w:r>
      <w:r>
        <w:t>uto</w:t>
      </w:r>
      <w:r w:rsidR="007D6325">
        <w:t xml:space="preserve"> hodnot</w:t>
      </w:r>
      <w:r>
        <w:t>u</w:t>
      </w:r>
      <w:r w:rsidR="007D6325">
        <w:t xml:space="preserve">, která se vymyká trendu </w:t>
      </w:r>
      <w:r w:rsidR="00DD2719">
        <w:t>dané</w:t>
      </w:r>
      <w:r w:rsidR="007D6325">
        <w:t xml:space="preserve"> trojice soudů, </w:t>
      </w:r>
      <w:r>
        <w:t>vysvětluje</w:t>
      </w:r>
      <w:r w:rsidR="007D6325">
        <w:t xml:space="preserve"> právě limitem tohoto ukazatele, </w:t>
      </w:r>
      <w:r w:rsidR="00DD2719">
        <w:t>jímž</w:t>
      </w:r>
      <w:r w:rsidR="007D6325">
        <w:t xml:space="preserve"> je vliv množství předchozích rozhodnutí, které soud může citovat. Vzhledem k tomu, že z předchozích zjištění vyplývá, že Nejvyšší správní soud cituje zejména svoje soudní rozhodnutí, tím, že jich bylo do posledního sledovaného roku publikováno nejméně, mají soudci „nejužší paletu“ rozhodnutí pro citování.</w:t>
      </w:r>
      <w:r w:rsidR="007D6325">
        <w:rPr>
          <w:rStyle w:val="Znakapoznpodarou"/>
        </w:rPr>
        <w:footnoteReference w:id="226"/>
      </w:r>
    </w:p>
    <w:p w14:paraId="697756FD" w14:textId="3B164043" w:rsidR="003437DE" w:rsidRDefault="00FC2759" w:rsidP="008A0629">
      <w:pPr>
        <w:pStyle w:val="Obrzek"/>
      </w:pPr>
      <w:r>
        <w:rPr>
          <w:noProof/>
        </w:rPr>
        <w:drawing>
          <wp:inline distT="0" distB="0" distL="0" distR="0" wp14:anchorId="522EF669" wp14:editId="6EAFF1BC">
            <wp:extent cx="4572000" cy="2743200"/>
            <wp:effectExtent l="0" t="0" r="0" b="0"/>
            <wp:docPr id="33" name="Graf 33">
              <a:extLst xmlns:a="http://schemas.openxmlformats.org/drawingml/2006/main">
                <a:ext uri="{FF2B5EF4-FFF2-40B4-BE49-F238E27FC236}">
                  <a16:creationId xmlns:a16="http://schemas.microsoft.com/office/drawing/2014/main" id="{20DB6462-B5F3-146F-7E1D-8847F771E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5460A8A" w14:textId="4D245100" w:rsidR="007D6325" w:rsidRPr="00FC2759" w:rsidRDefault="003437DE" w:rsidP="00FC2759">
      <w:pPr>
        <w:pStyle w:val="Titulek"/>
      </w:pPr>
      <w:bookmarkStart w:id="58" w:name="_Toc126874182"/>
      <w:r>
        <w:t xml:space="preserve">Obr. </w:t>
      </w:r>
      <w:r>
        <w:rPr>
          <w:noProof/>
        </w:rPr>
        <w:fldChar w:fldCharType="begin"/>
      </w:r>
      <w:r>
        <w:rPr>
          <w:noProof/>
        </w:rPr>
        <w:instrText xml:space="preserve"> SEQ Obr. \* ARABIC </w:instrText>
      </w:r>
      <w:r>
        <w:rPr>
          <w:noProof/>
        </w:rPr>
        <w:fldChar w:fldCharType="separate"/>
      </w:r>
      <w:r>
        <w:rPr>
          <w:noProof/>
        </w:rPr>
        <w:t>14</w:t>
      </w:r>
      <w:r>
        <w:rPr>
          <w:noProof/>
        </w:rPr>
        <w:fldChar w:fldCharType="end"/>
      </w:r>
      <w:r>
        <w:t>: Průměr a medián výstupních stupňů – Ústavní soud</w:t>
      </w:r>
      <w:bookmarkEnd w:id="58"/>
    </w:p>
    <w:p w14:paraId="3E182A1B" w14:textId="7FD8975E" w:rsidR="00FC2759" w:rsidRDefault="00FC2759" w:rsidP="008A0629">
      <w:pPr>
        <w:pStyle w:val="Obrzek"/>
      </w:pPr>
      <w:r>
        <w:rPr>
          <w:noProof/>
        </w:rPr>
        <w:lastRenderedPageBreak/>
        <w:drawing>
          <wp:inline distT="0" distB="0" distL="0" distR="0" wp14:anchorId="6F172FF8" wp14:editId="679841B7">
            <wp:extent cx="4572000" cy="2743200"/>
            <wp:effectExtent l="0" t="0" r="0" b="0"/>
            <wp:docPr id="35" name="Graf 35">
              <a:extLst xmlns:a="http://schemas.openxmlformats.org/drawingml/2006/main">
                <a:ext uri="{FF2B5EF4-FFF2-40B4-BE49-F238E27FC236}">
                  <a16:creationId xmlns:a16="http://schemas.microsoft.com/office/drawing/2014/main" id="{620160D5-044A-49D4-B1EE-CD5C54429C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0141AC3" w14:textId="1DC5B1BA" w:rsidR="00FC2759" w:rsidRDefault="00FC2759" w:rsidP="008A0629">
      <w:pPr>
        <w:pStyle w:val="Titulek"/>
      </w:pPr>
      <w:bookmarkStart w:id="59" w:name="_Toc126874183"/>
      <w:r>
        <w:t xml:space="preserve">Obr. </w:t>
      </w:r>
      <w:r>
        <w:rPr>
          <w:noProof/>
        </w:rPr>
        <w:fldChar w:fldCharType="begin"/>
      </w:r>
      <w:r>
        <w:rPr>
          <w:noProof/>
        </w:rPr>
        <w:instrText xml:space="preserve"> SEQ Obr. \* ARABIC </w:instrText>
      </w:r>
      <w:r>
        <w:rPr>
          <w:noProof/>
        </w:rPr>
        <w:fldChar w:fldCharType="separate"/>
      </w:r>
      <w:r>
        <w:rPr>
          <w:noProof/>
        </w:rPr>
        <w:t>15</w:t>
      </w:r>
      <w:r>
        <w:rPr>
          <w:noProof/>
        </w:rPr>
        <w:fldChar w:fldCharType="end"/>
      </w:r>
      <w:r>
        <w:t>: Průměr a medián výstupních stupňů – Nejvyšší soud</w:t>
      </w:r>
      <w:bookmarkEnd w:id="59"/>
    </w:p>
    <w:p w14:paraId="443FFBEB" w14:textId="77777777" w:rsidR="00FC2759" w:rsidRPr="00FC2759" w:rsidRDefault="00FC2759" w:rsidP="00FC2759">
      <w:pPr>
        <w:pStyle w:val="Odstavec1"/>
        <w:rPr>
          <w:lang w:eastAsia="sk-SK"/>
        </w:rPr>
      </w:pPr>
    </w:p>
    <w:p w14:paraId="7E94942B" w14:textId="022987E7" w:rsidR="00FC2759" w:rsidRDefault="00FC2759" w:rsidP="008A0629">
      <w:pPr>
        <w:pStyle w:val="Obrzek"/>
      </w:pPr>
      <w:r>
        <w:rPr>
          <w:noProof/>
        </w:rPr>
        <w:drawing>
          <wp:inline distT="0" distB="0" distL="0" distR="0" wp14:anchorId="5FEC2574" wp14:editId="0165AC76">
            <wp:extent cx="4572000" cy="2743200"/>
            <wp:effectExtent l="0" t="0" r="0" b="0"/>
            <wp:docPr id="37" name="Graf 37">
              <a:extLst xmlns:a="http://schemas.openxmlformats.org/drawingml/2006/main">
                <a:ext uri="{FF2B5EF4-FFF2-40B4-BE49-F238E27FC236}">
                  <a16:creationId xmlns:a16="http://schemas.microsoft.com/office/drawing/2014/main" id="{BCCF44FF-6CC6-041D-4963-B9B154D70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50541D0" w14:textId="14B34FC6" w:rsidR="00FC2759" w:rsidRDefault="00FC2759" w:rsidP="008A0629">
      <w:pPr>
        <w:pStyle w:val="Titulek"/>
      </w:pPr>
      <w:bookmarkStart w:id="60" w:name="_Toc126874184"/>
      <w:r>
        <w:t xml:space="preserve">Obr. </w:t>
      </w:r>
      <w:r>
        <w:rPr>
          <w:noProof/>
        </w:rPr>
        <w:fldChar w:fldCharType="begin"/>
      </w:r>
      <w:r>
        <w:rPr>
          <w:noProof/>
        </w:rPr>
        <w:instrText xml:space="preserve"> SEQ Obr. \* ARABIC </w:instrText>
      </w:r>
      <w:r>
        <w:rPr>
          <w:noProof/>
        </w:rPr>
        <w:fldChar w:fldCharType="separate"/>
      </w:r>
      <w:r>
        <w:rPr>
          <w:noProof/>
        </w:rPr>
        <w:t>16</w:t>
      </w:r>
      <w:r>
        <w:rPr>
          <w:noProof/>
        </w:rPr>
        <w:fldChar w:fldCharType="end"/>
      </w:r>
      <w:r>
        <w:t>: Průměr a medián výstupních stupňů – Nejvyšší správní soud</w:t>
      </w:r>
      <w:bookmarkEnd w:id="60"/>
    </w:p>
    <w:p w14:paraId="22C883A2" w14:textId="77777777" w:rsidR="007D6325" w:rsidRDefault="007D6325" w:rsidP="007D6325">
      <w:pPr>
        <w:pStyle w:val="Dalodstavce"/>
      </w:pPr>
    </w:p>
    <w:p w14:paraId="6D62406C" w14:textId="1867CBA0" w:rsidR="007D6325" w:rsidRDefault="007D6325" w:rsidP="007D6325">
      <w:pPr>
        <w:pStyle w:val="Dalodstavce"/>
      </w:pPr>
      <w:r>
        <w:t xml:space="preserve">Standardním limitem interpretace průměrné hodnoty ve statistice je velmi nízká senzitivita vůči extrémním hodnotám v datasetu. </w:t>
      </w:r>
      <w:r w:rsidR="000F1756">
        <w:t>Smejkalová na tomto místě zmiňuje</w:t>
      </w:r>
      <w:r>
        <w:t xml:space="preserve"> výrazný rozptyl hodnot citací obsažených v jednotlivých rozhodnutích, </w:t>
      </w:r>
      <w:r w:rsidR="000F1756">
        <w:t>který pak popisuje</w:t>
      </w:r>
      <w:r>
        <w:t xml:space="preserve"> pro každý soud zvlášť. </w:t>
      </w:r>
      <w:r>
        <w:lastRenderedPageBreak/>
        <w:t xml:space="preserve">Tyto hodnoty </w:t>
      </w:r>
      <w:r w:rsidR="000F1756">
        <w:t>byly získány</w:t>
      </w:r>
      <w:r>
        <w:t xml:space="preserve"> z distribuce výstupních stupňů jednotlivých rozhodnutí, jednoduše</w:t>
      </w:r>
      <w:r w:rsidR="00DD2719">
        <w:t xml:space="preserve"> řečeno</w:t>
      </w:r>
      <w:r>
        <w:t>, kolik rozhodnutí obsahuje právě daný počet citací.</w:t>
      </w:r>
    </w:p>
    <w:p w14:paraId="6D4E58A8" w14:textId="750768B9" w:rsidR="007D6325" w:rsidRDefault="007D6325" w:rsidP="007D6325">
      <w:pPr>
        <w:pStyle w:val="Dalodstavce"/>
      </w:pPr>
      <w:r>
        <w:t>U Ústavního soudu</w:t>
      </w:r>
      <w:r w:rsidR="000F1756">
        <w:t>, jak uvádí v monografii,</w:t>
      </w:r>
      <w:r>
        <w:t xml:space="preserve"> je rozdělení zhruba následující – pouze 6 rozhodnutí obsahuje více jak 100 citací, 794 rozhodnutí obsahuje více než 20 citací. Dále výrazná většina rozhodnutí obsahujících alespoň jednu citaci (91,32 %) obsahuje mezi 1 a 10 citacemi. Pro doplnění je rozhodnutí Ústavního soudu s nejvyšším výstupním stupněm rozhodnutí sp. zn. Pl. ÚS 10/13</w:t>
      </w:r>
      <w:r>
        <w:rPr>
          <w:rStyle w:val="Znakapoznpodarou"/>
        </w:rPr>
        <w:footnoteReference w:id="227"/>
      </w:r>
      <w:r>
        <w:t xml:space="preserve"> s 186 obsaženými citacemi.</w:t>
      </w:r>
      <w:r w:rsidR="000F1756">
        <w:rPr>
          <w:rStyle w:val="Znakapoznpodarou"/>
        </w:rPr>
        <w:footnoteReference w:id="228"/>
      </w:r>
    </w:p>
    <w:p w14:paraId="71AC14BF" w14:textId="32F69007" w:rsidR="007D6325" w:rsidRDefault="007D6325" w:rsidP="007D6325">
      <w:pPr>
        <w:pStyle w:val="Dalodstavce"/>
      </w:pPr>
      <w:r>
        <w:t>U Nejvyššího soudu je rozhodnutí s nejvyšším stupněm rozhodnutí sp. zn. Cpjn 206/2010</w:t>
      </w:r>
      <w:r>
        <w:rPr>
          <w:rStyle w:val="Znakapoznpodarou"/>
        </w:rPr>
        <w:footnoteReference w:id="229"/>
      </w:r>
      <w:r>
        <w:t>, jehož výstupní stupeň je 98. Více jak 20 obsažených citací má 1137 rozhodnutí Nejvyššího soudu. I zde je výrazná většina rozhodnutí obsahujících alespoň jednu citaci v rozmezí mezi 1 a 10 citacemi (92,2 %).</w:t>
      </w:r>
      <w:r w:rsidR="000F1756">
        <w:rPr>
          <w:rStyle w:val="Znakapoznpodarou"/>
        </w:rPr>
        <w:footnoteReference w:id="230"/>
      </w:r>
    </w:p>
    <w:p w14:paraId="71A4DCFE" w14:textId="77777777" w:rsidR="007D6325" w:rsidRDefault="007D6325" w:rsidP="007D6325">
      <w:pPr>
        <w:pStyle w:val="Dalodstavce"/>
      </w:pPr>
      <w:r>
        <w:t>Rozhodnutí Nejvyššího správního soudu mají, v souladu s předchozími závěry, obecně nižší výstupní stupně. Rozhodnutím s nejvyšším počtem citací je čj. Kss 8/2017-170</w:t>
      </w:r>
      <w:r>
        <w:rPr>
          <w:rStyle w:val="Znakapoznpodarou"/>
        </w:rPr>
        <w:footnoteReference w:id="231"/>
      </w:r>
      <w:r>
        <w:t>, které cituje 59 rozhodnutí. Pouze 151 rozhodnutí pak cituje více než 20 jiných soudních rozhodnutí. Opět výrazná většina soudních rozhodnutí Nejvyššího správního soudu obsahujících alespoň 1 citaci obsahuje právě mezi 1 a 10 citacemi (34 991).</w:t>
      </w:r>
      <w:r>
        <w:rPr>
          <w:rStyle w:val="Znakapoznpodarou"/>
        </w:rPr>
        <w:footnoteReference w:id="232"/>
      </w:r>
    </w:p>
    <w:p w14:paraId="5CBEF4FB" w14:textId="0B439E16" w:rsidR="007D6325" w:rsidRDefault="007D6325" w:rsidP="007D6325">
      <w:pPr>
        <w:pStyle w:val="Dalodstavce"/>
      </w:pPr>
      <w:r>
        <w:t xml:space="preserve">Dílčí závěr, který </w:t>
      </w:r>
      <w:r w:rsidR="000F1756">
        <w:t>Smejkalová z těchto dat v monografii vyvozuje</w:t>
      </w:r>
      <w:r>
        <w:t xml:space="preserve">, je </w:t>
      </w:r>
      <w:r w:rsidR="00DD2719">
        <w:t xml:space="preserve">ten, </w:t>
      </w:r>
      <w:r>
        <w:t xml:space="preserve">že referování k předchozím soudním rozhodnutím je považováno soudci za důležité a relevantní. Soustavně zvyšující se podíl rozhodnutí obsahujících alespoň jednu citaci </w:t>
      </w:r>
      <w:r w:rsidR="000F1756">
        <w:t>interpretuje</w:t>
      </w:r>
      <w:r>
        <w:t xml:space="preserve"> jako trend, dle kterého je referování na předchozí judikaturu čím dál důležitější a akceptovanější jako součást řádného odůvodnění rozhodnutí. Podobně se postupně zvyšuje i průměrný počet citací obsažených v jednom rozhodnutí, což podporuje </w:t>
      </w:r>
      <w:r w:rsidR="000F1756">
        <w:t xml:space="preserve">její </w:t>
      </w:r>
      <w:r>
        <w:t xml:space="preserve">závěr o vývoji vnímání důležitosti a relevance citování předchozí judikatury. Současně </w:t>
      </w:r>
      <w:r w:rsidR="000F1756">
        <w:t>tuto informaci opatrně interpretuje</w:t>
      </w:r>
      <w:r>
        <w:t xml:space="preserve"> i ve vztahu ke konceptu respektování ustálené rozhodovací praxe. V případě, </w:t>
      </w:r>
      <w:r>
        <w:lastRenderedPageBreak/>
        <w:t>že se soudci odkazují spíše na více než</w:t>
      </w:r>
      <w:r w:rsidR="00DD2719">
        <w:t xml:space="preserve"> jedno</w:t>
      </w:r>
      <w:r>
        <w:t xml:space="preserve"> jediné rozhodnutí (z výše uvedených dat se jedná o většinu rozhodnutí, která obsahují alespoň jednu citaci), </w:t>
      </w:r>
      <w:r w:rsidR="000F1756">
        <w:t>předpokládá</w:t>
      </w:r>
      <w:r>
        <w:t>, že se odkazují na ustálenou rozhodovací praxi soudů.</w:t>
      </w:r>
      <w:r>
        <w:rPr>
          <w:rStyle w:val="Znakapoznpodarou"/>
        </w:rPr>
        <w:footnoteReference w:id="233"/>
      </w:r>
      <w:r>
        <w:t xml:space="preserve"> Ovšem potvrzení tohoto předpokladu by </w:t>
      </w:r>
      <w:r w:rsidR="000F1756">
        <w:t xml:space="preserve">podle ní </w:t>
      </w:r>
      <w:r>
        <w:t>vyžadovalo další kvalitativní analýzu obsažených citací.</w:t>
      </w:r>
    </w:p>
    <w:p w14:paraId="33D3AFA2" w14:textId="56E7DA98" w:rsidR="007D6325" w:rsidRDefault="007D6325">
      <w:pPr>
        <w:pStyle w:val="Nadpis3"/>
        <w:numPr>
          <w:ilvl w:val="2"/>
          <w:numId w:val="14"/>
        </w:numPr>
      </w:pPr>
      <w:r>
        <w:t>Vstupní stupeň</w:t>
      </w:r>
    </w:p>
    <w:p w14:paraId="47A6F157" w14:textId="2027B0DC" w:rsidR="00AC5892" w:rsidRDefault="007D6325" w:rsidP="007D6325">
      <w:pPr>
        <w:pStyle w:val="Odstavec1"/>
      </w:pPr>
      <w:r>
        <w:t xml:space="preserve">Vstupní stupeň soudního rozhodnutí v síti indikuje, kolik jiných (pozdějších) rozhodnutí cituje toto rozhodnutí. </w:t>
      </w:r>
      <w:r w:rsidR="00AC5892">
        <w:t>V tomto výzkumu jsem tuto metriku, podobně jako u výstupního stupně, počítala na základě datasetu citací a analyzovaným výstupem byla četnost rozhodnutí dle jednotlivých vstupních stupňů.</w:t>
      </w:r>
    </w:p>
    <w:p w14:paraId="17B9D396" w14:textId="04AF6F47" w:rsidR="007D6325" w:rsidRDefault="00DD2719" w:rsidP="00AC5892">
      <w:pPr>
        <w:pStyle w:val="Dalodstavce"/>
      </w:pPr>
      <w:r>
        <w:t>Vzhledem k tomu</w:t>
      </w:r>
      <w:r w:rsidR="007D6325">
        <w:t>, jak citační vazbu interpretuje Smejkalová, lze říci, kolikrát bylo toto rozhodnutí považováno za relevantní pro argumentaci soudem v pozdějším rozhodnutí.</w:t>
      </w:r>
      <w:r w:rsidR="007D6325">
        <w:rPr>
          <w:rStyle w:val="Znakapoznpodarou"/>
        </w:rPr>
        <w:footnoteReference w:id="234"/>
      </w:r>
      <w:r w:rsidR="007D6325">
        <w:t xml:space="preserve"> Jak již tato deskripce napovídá, bývá tato metrika užívána či interpretována jako určitá hodnota důležitosti či prominence uzlu v síti, tedy důležitosti soudního rozhodnutí. Současně je ale nutné respektovat limity této metriky</w:t>
      </w:r>
      <w:r>
        <w:t>,</w:t>
      </w:r>
      <w:r w:rsidR="007D6325">
        <w:t xml:space="preserve"> a to zejména </w:t>
      </w:r>
      <w:r>
        <w:t>skutečnost</w:t>
      </w:r>
      <w:r w:rsidR="007D6325">
        <w:t xml:space="preserve">, že se jedná </w:t>
      </w:r>
      <w:r w:rsidR="00AC5892">
        <w:t xml:space="preserve">v tomto výzkumu </w:t>
      </w:r>
      <w:r w:rsidR="007D6325">
        <w:t>o čistě kvantitativní ukazatel (prostý součet všech citací konkrétního rozhodnutí) bez hlubší kvalitativní analýzy. Důvodů, proč je nějaké rozhodnutí hojně citováno, uvádí Smejkalová několik. Může se jednat o tak abstraktní a principiální problém, že se hodí do širokého spektra argumentace v individuálních případech, může se týkat nějaké obecné metody použití předchozí judikatury, může se jednat o velmi kontroverzní rozhodnutí měnící zavedenou rozhodovací praxi a proto je nadále hodně citováno apod. Znamená to tedy, že neví</w:t>
      </w:r>
      <w:r w:rsidR="00AC5892">
        <w:t>me</w:t>
      </w:r>
      <w:r>
        <w:t xml:space="preserve"> přesně</w:t>
      </w:r>
      <w:r w:rsidR="007D6325">
        <w:t>, z jakého důvodu je rozhodnutí citováno – pouze předpokládáme, že je nějakým způsobem relevantní pro soudce, který rozhoduje v daném případě.</w:t>
      </w:r>
      <w:r w:rsidR="007D6325">
        <w:rPr>
          <w:rStyle w:val="Znakapoznpodarou"/>
        </w:rPr>
        <w:footnoteReference w:id="235"/>
      </w:r>
      <w:r w:rsidR="007D6325">
        <w:t xml:space="preserve"> Velmi </w:t>
      </w:r>
      <w:r>
        <w:t>vše</w:t>
      </w:r>
      <w:r w:rsidR="007D6325">
        <w:t xml:space="preserve">obecně </w:t>
      </w:r>
      <w:r w:rsidR="00AC5892">
        <w:t>Smejkalová dedukuje</w:t>
      </w:r>
      <w:r w:rsidR="007D6325">
        <w:t xml:space="preserve">, že vysoký počet citací konkrétního rozhodnutí znamená, že toto rozhodnutí je často soudci považováno za relevantní k řešenému případu a tedy lze s určitou mírou pravděpodobnosti říct, že je ze síťového hlediska důležitější. Současně vysoký počet citací konkrétního rozhodnutí </w:t>
      </w:r>
      <w:r w:rsidR="00AC5892">
        <w:t xml:space="preserve">podle ní </w:t>
      </w:r>
      <w:r w:rsidR="007D6325">
        <w:t xml:space="preserve">znamená i určitý vliv na rozhodování v pozdějších případech, přičemž tento vztah platí i </w:t>
      </w:r>
      <w:r w:rsidR="007D6325">
        <w:lastRenderedPageBreak/>
        <w:t xml:space="preserve">naopak – čím je rozhodnutí citovanější, tím je pravděpodobnější, že bude citováno </w:t>
      </w:r>
      <w:r>
        <w:t xml:space="preserve">ještě </w:t>
      </w:r>
      <w:r w:rsidR="007D6325">
        <w:t>víc</w:t>
      </w:r>
      <w:r>
        <w:t>,</w:t>
      </w:r>
      <w:r w:rsidR="007D6325">
        <w:t xml:space="preserve"> protože je „viditelnější“ než ostatní méně citovaná rozhodnutí potenciální k citaci v daném konkrétním případě. S prostým vstupním stupněm jako ukazatelem důležitosti rozhodnutí v síti pracují v</w:t>
      </w:r>
      <w:r w:rsidR="00AC5892">
        <w:t xml:space="preserve"> monografii </w:t>
      </w:r>
      <w:r w:rsidR="007D6325">
        <w:t>referovaných studiích Fowler s Jeonem a v návazné práci Fowler a kol.</w:t>
      </w:r>
      <w:r w:rsidR="007D6325">
        <w:rPr>
          <w:rStyle w:val="Znakapoznpodarou"/>
        </w:rPr>
        <w:footnoteReference w:id="236"/>
      </w:r>
      <w:r w:rsidR="007D6325">
        <w:t xml:space="preserve"> a Derlén s Lindholmem</w:t>
      </w:r>
      <w:r w:rsidR="007D6325">
        <w:rPr>
          <w:rStyle w:val="Znakapoznpodarou"/>
        </w:rPr>
        <w:footnoteReference w:id="237"/>
      </w:r>
      <w:r w:rsidR="007D6325">
        <w:t>.</w:t>
      </w:r>
    </w:p>
    <w:p w14:paraId="6B522422" w14:textId="1949B529" w:rsidR="007D6325" w:rsidRDefault="007D6325" w:rsidP="007D6325">
      <w:pPr>
        <w:pStyle w:val="Dalodstavce"/>
      </w:pPr>
      <w:r>
        <w:t xml:space="preserve">Metrika vstupního stupně soudních rozhodnutí tedy </w:t>
      </w:r>
      <w:r w:rsidR="00AC5892">
        <w:t>byla v uvedeném výzkumu</w:t>
      </w:r>
      <w:r>
        <w:t xml:space="preserve"> zkoumána ze dvou </w:t>
      </w:r>
      <w:r w:rsidR="00DD2719">
        <w:t>zřetelů</w:t>
      </w:r>
      <w:r>
        <w:t xml:space="preserve"> – </w:t>
      </w:r>
      <w:r w:rsidR="00DD2719">
        <w:t xml:space="preserve">jedním bude </w:t>
      </w:r>
      <w:r>
        <w:t xml:space="preserve">vývoj celkového množství citací jednoho rozhodnutí v čase a </w:t>
      </w:r>
      <w:r w:rsidR="00DD2719">
        <w:t xml:space="preserve">druhým </w:t>
      </w:r>
      <w:r>
        <w:t>individuální zkoumání skupiny nejcitovanějších rozhodnutí doplněné kvalitativní analýzou těchto konkrétních rozhodnutí.</w:t>
      </w:r>
    </w:p>
    <w:p w14:paraId="49411421" w14:textId="1A51C858" w:rsidR="007D6325" w:rsidRDefault="007D6325" w:rsidP="007D6325">
      <w:pPr>
        <w:pStyle w:val="Dalodstavce"/>
      </w:pPr>
      <w:r>
        <w:t xml:space="preserve">Nejprve jsou uvedeny grafy vývoje celkového množství vstupních citací ve sledovaných letech. Pro srovnání </w:t>
      </w:r>
      <w:r w:rsidR="00AC5892">
        <w:t>Smejkalová uvádí</w:t>
      </w:r>
      <w:r>
        <w:t xml:space="preserve"> obdobné grafy z referovaných studií zabývajících se citacemi Nejvyššího soudu USA</w:t>
      </w:r>
      <w:r>
        <w:rPr>
          <w:rStyle w:val="Znakapoznpodarou"/>
        </w:rPr>
        <w:footnoteReference w:id="238"/>
      </w:r>
      <w:r>
        <w:t xml:space="preserve"> a SDEU</w:t>
      </w:r>
      <w:r>
        <w:rPr>
          <w:rStyle w:val="Znakapoznpodarou"/>
        </w:rPr>
        <w:footnoteReference w:id="239"/>
      </w:r>
      <w:r>
        <w:t xml:space="preserve">, ze kterých je patrné, že </w:t>
      </w:r>
      <w:r w:rsidR="00DD2719">
        <w:t>t</w:t>
      </w:r>
      <w:r>
        <w:t xml:space="preserve">rendy v časovém vývoji množství vstupních citací sledovaných tří českých soudů </w:t>
      </w:r>
      <w:r w:rsidR="00DD2719">
        <w:t xml:space="preserve">jsou </w:t>
      </w:r>
      <w:r>
        <w:t>podobné</w:t>
      </w:r>
      <w:r w:rsidR="00AC5892">
        <w:t>, proto je uvádím i zde</w:t>
      </w:r>
      <w:r>
        <w:t xml:space="preserve">. Celkový počet vstupních citací se v čase postupně avšak nerovnoměrně zvyšuje, avšak na konci zaznamenává výrazný pokles, daný </w:t>
      </w:r>
      <w:r w:rsidR="00AC5892">
        <w:t xml:space="preserve">dle Smejkalové </w:t>
      </w:r>
      <w:r>
        <w:t xml:space="preserve">tím, že nově publikovaná rozhodnutí potřebují čas na to, aby byla reflektována v pozdějších rozhodnutích. </w:t>
      </w:r>
      <w:r w:rsidR="00AC5892">
        <w:t xml:space="preserve">Současně upozorňuje na </w:t>
      </w:r>
      <w:r>
        <w:t>skokový nárůst citovanosti kolem let 2003</w:t>
      </w:r>
      <w:r w:rsidR="00DD2719">
        <w:t>-</w:t>
      </w:r>
      <w:r>
        <w:t xml:space="preserve">2005, dále také fakt, že rozhodnutí starší </w:t>
      </w:r>
      <w:r w:rsidR="00DD2719">
        <w:t>než z tohoto</w:t>
      </w:r>
      <w:r>
        <w:t xml:space="preserve"> období nejsou citována </w:t>
      </w:r>
      <w:r w:rsidR="00DD2719">
        <w:t>příliš</w:t>
      </w:r>
      <w:r>
        <w:t xml:space="preserve"> často, stejně tak jako rozhodnutí </w:t>
      </w:r>
      <w:r w:rsidR="00DD2719">
        <w:t>z konce</w:t>
      </w:r>
      <w:r>
        <w:t xml:space="preserve"> sledovaného období, což bude pravděpodobně způsobeno jejich „novostí“, jak bylo vysvětleno výše.</w:t>
      </w:r>
      <w:r w:rsidR="00AC5892">
        <w:rPr>
          <w:rStyle w:val="Znakapoznpodarou"/>
        </w:rPr>
        <w:footnoteReference w:id="240"/>
      </w:r>
      <w:r>
        <w:t xml:space="preserve"> Výkyv pozorovatelný kolem zmíněného období let 2003</w:t>
      </w:r>
      <w:r w:rsidR="00DD2719">
        <w:t>-</w:t>
      </w:r>
      <w:r>
        <w:t xml:space="preserve">2005 Smejkalová přičítá </w:t>
      </w:r>
      <w:r>
        <w:lastRenderedPageBreak/>
        <w:t>vzniku Nejvyššího správního soudu, je</w:t>
      </w:r>
      <w:r w:rsidR="00DD2719">
        <w:t>n</w:t>
      </w:r>
      <w:r>
        <w:t>ž ovlivnil množství ročně publikovaných i citovaných rozhodnutí ve vzorku tří rozhodnutí, který je v tomto výzkumu zkoumán.</w:t>
      </w:r>
      <w:r>
        <w:rPr>
          <w:rStyle w:val="Znakapoznpodarou"/>
        </w:rPr>
        <w:footnoteReference w:id="241"/>
      </w:r>
      <w:r>
        <w:t xml:space="preserve"> Na rozdíl od vývoje výstupního stupně je tedy tento vývoj </w:t>
      </w:r>
      <w:r w:rsidR="00DD2719">
        <w:t>méně</w:t>
      </w:r>
      <w:r>
        <w:t xml:space="preserve"> výrazný a s větším rozptylem.</w:t>
      </w:r>
    </w:p>
    <w:p w14:paraId="4A5BC188" w14:textId="4F793D8E" w:rsidR="00DA5D24" w:rsidRDefault="00DA5D24" w:rsidP="008A0629">
      <w:pPr>
        <w:pStyle w:val="Obrzek"/>
      </w:pPr>
      <w:r>
        <w:rPr>
          <w:noProof/>
        </w:rPr>
        <w:drawing>
          <wp:inline distT="0" distB="0" distL="0" distR="0" wp14:anchorId="38C1CC57" wp14:editId="0C0158E6">
            <wp:extent cx="4677410" cy="2879090"/>
            <wp:effectExtent l="0" t="0" r="8890" b="16510"/>
            <wp:docPr id="39" name="Graf 39">
              <a:extLst xmlns:a="http://schemas.openxmlformats.org/drawingml/2006/main">
                <a:ext uri="{FF2B5EF4-FFF2-40B4-BE49-F238E27FC236}">
                  <a16:creationId xmlns:a16="http://schemas.microsoft.com/office/drawing/2014/main" id="{9C63D9B2-CA56-B1C7-545F-6A4ADE550B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D1C6BBA" w14:textId="4F84620B" w:rsidR="00DA5D24" w:rsidRDefault="00DA5D24" w:rsidP="008A0629">
      <w:pPr>
        <w:pStyle w:val="Titulek"/>
      </w:pPr>
      <w:bookmarkStart w:id="61" w:name="_Toc126874185"/>
      <w:r>
        <w:t xml:space="preserve">Obr. </w:t>
      </w:r>
      <w:r>
        <w:rPr>
          <w:noProof/>
        </w:rPr>
        <w:fldChar w:fldCharType="begin"/>
      </w:r>
      <w:r>
        <w:rPr>
          <w:noProof/>
        </w:rPr>
        <w:instrText xml:space="preserve"> SEQ Obr. \* ARABIC </w:instrText>
      </w:r>
      <w:r>
        <w:rPr>
          <w:noProof/>
        </w:rPr>
        <w:fldChar w:fldCharType="separate"/>
      </w:r>
      <w:r>
        <w:rPr>
          <w:noProof/>
        </w:rPr>
        <w:t>17</w:t>
      </w:r>
      <w:r>
        <w:rPr>
          <w:noProof/>
        </w:rPr>
        <w:fldChar w:fldCharType="end"/>
      </w:r>
      <w:r>
        <w:t>: Celkový počet vstupních citací a citovaných rozhodnutí v daném roce</w:t>
      </w:r>
      <w:bookmarkEnd w:id="61"/>
    </w:p>
    <w:p w14:paraId="24B21664" w14:textId="77777777" w:rsidR="00B33326" w:rsidRPr="00B33326" w:rsidRDefault="00B33326" w:rsidP="00B33326">
      <w:pPr>
        <w:pStyle w:val="Odstavec1"/>
        <w:rPr>
          <w:lang w:eastAsia="sk-SK"/>
        </w:rPr>
      </w:pPr>
    </w:p>
    <w:p w14:paraId="1E4E48A7" w14:textId="5835FA56" w:rsidR="00B33326" w:rsidRDefault="00B33326" w:rsidP="008A0629">
      <w:pPr>
        <w:pStyle w:val="Obrzek"/>
      </w:pPr>
      <w:r>
        <w:rPr>
          <w:noProof/>
        </w:rPr>
        <w:lastRenderedPageBreak/>
        <w:drawing>
          <wp:inline distT="0" distB="0" distL="0" distR="0" wp14:anchorId="2764BE24" wp14:editId="5A608B9F">
            <wp:extent cx="4677410" cy="2204720"/>
            <wp:effectExtent l="0" t="0" r="8890" b="508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77410" cy="2204720"/>
                    </a:xfrm>
                    <a:prstGeom prst="rect">
                      <a:avLst/>
                    </a:prstGeom>
                  </pic:spPr>
                </pic:pic>
              </a:graphicData>
            </a:graphic>
          </wp:inline>
        </w:drawing>
      </w:r>
    </w:p>
    <w:p w14:paraId="3C45E391" w14:textId="2FDBF09F" w:rsidR="00B33326" w:rsidRDefault="00B33326" w:rsidP="008A0629">
      <w:pPr>
        <w:pStyle w:val="Titulek"/>
      </w:pPr>
      <w:bookmarkStart w:id="62" w:name="_Toc126874186"/>
      <w:r>
        <w:t xml:space="preserve">Obr. </w:t>
      </w:r>
      <w:r>
        <w:rPr>
          <w:noProof/>
        </w:rPr>
        <w:fldChar w:fldCharType="begin"/>
      </w:r>
      <w:r>
        <w:rPr>
          <w:noProof/>
        </w:rPr>
        <w:instrText xml:space="preserve"> SEQ Obr. \* ARABIC </w:instrText>
      </w:r>
      <w:r>
        <w:rPr>
          <w:noProof/>
        </w:rPr>
        <w:fldChar w:fldCharType="separate"/>
      </w:r>
      <w:r>
        <w:rPr>
          <w:noProof/>
        </w:rPr>
        <w:t>18</w:t>
      </w:r>
      <w:r>
        <w:rPr>
          <w:noProof/>
        </w:rPr>
        <w:fldChar w:fldCharType="end"/>
      </w:r>
      <w:r>
        <w:t>: Průměrný vstupní stupeň rozhodnutí v daném roce - SDEU</w:t>
      </w:r>
      <w:r>
        <w:rPr>
          <w:rStyle w:val="Znakapoznpodarou"/>
        </w:rPr>
        <w:footnoteReference w:id="242"/>
      </w:r>
      <w:bookmarkEnd w:id="62"/>
    </w:p>
    <w:p w14:paraId="2DB7F53E" w14:textId="77777777" w:rsidR="007D6325" w:rsidRDefault="007D6325" w:rsidP="007D6325">
      <w:pPr>
        <w:pStyle w:val="Dalodstavce"/>
        <w:rPr>
          <w:i/>
          <w:iCs/>
        </w:rPr>
      </w:pPr>
    </w:p>
    <w:p w14:paraId="122D7282" w14:textId="04D357AA" w:rsidR="00AC42B9" w:rsidRDefault="00AC42B9" w:rsidP="008A0629">
      <w:pPr>
        <w:pStyle w:val="Obrzek"/>
      </w:pPr>
      <w:r>
        <w:rPr>
          <w:noProof/>
        </w:rPr>
        <w:drawing>
          <wp:inline distT="0" distB="0" distL="0" distR="0" wp14:anchorId="7FC573ED" wp14:editId="61D63A8D">
            <wp:extent cx="4677410" cy="2159635"/>
            <wp:effectExtent l="0" t="0" r="889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77410" cy="2159635"/>
                    </a:xfrm>
                    <a:prstGeom prst="rect">
                      <a:avLst/>
                    </a:prstGeom>
                  </pic:spPr>
                </pic:pic>
              </a:graphicData>
            </a:graphic>
          </wp:inline>
        </w:drawing>
      </w:r>
    </w:p>
    <w:p w14:paraId="748E958D" w14:textId="0E513193" w:rsidR="00AC42B9" w:rsidRDefault="00AC42B9" w:rsidP="008A0629">
      <w:pPr>
        <w:pStyle w:val="Titulek"/>
      </w:pPr>
      <w:bookmarkStart w:id="63" w:name="_Toc126874187"/>
      <w:r>
        <w:t xml:space="preserve">Obr. </w:t>
      </w:r>
      <w:r>
        <w:rPr>
          <w:noProof/>
        </w:rPr>
        <w:fldChar w:fldCharType="begin"/>
      </w:r>
      <w:r>
        <w:rPr>
          <w:noProof/>
        </w:rPr>
        <w:instrText xml:space="preserve"> SEQ Obr. \* ARABIC </w:instrText>
      </w:r>
      <w:r>
        <w:rPr>
          <w:noProof/>
        </w:rPr>
        <w:fldChar w:fldCharType="separate"/>
      </w:r>
      <w:r>
        <w:rPr>
          <w:noProof/>
        </w:rPr>
        <w:t>19</w:t>
      </w:r>
      <w:r>
        <w:rPr>
          <w:noProof/>
        </w:rPr>
        <w:fldChar w:fldCharType="end"/>
      </w:r>
      <w:r>
        <w:t>: Průměrný vstupní stupeň rozhodnutí v daném roce – Nejvyšší soud USA</w:t>
      </w:r>
      <w:r>
        <w:rPr>
          <w:rStyle w:val="Znakapoznpodarou"/>
        </w:rPr>
        <w:footnoteReference w:id="243"/>
      </w:r>
      <w:bookmarkEnd w:id="63"/>
    </w:p>
    <w:p w14:paraId="5ED3FCBD" w14:textId="77777777" w:rsidR="007D6325" w:rsidRDefault="007D6325" w:rsidP="007D6325">
      <w:pPr>
        <w:pStyle w:val="Dalodstavce"/>
      </w:pPr>
    </w:p>
    <w:p w14:paraId="62B0DE89" w14:textId="7236BF88" w:rsidR="007D6325" w:rsidRDefault="007D6325" w:rsidP="007D6325">
      <w:pPr>
        <w:pStyle w:val="Dalodstavce"/>
      </w:pPr>
      <w:r>
        <w:t xml:space="preserve">Dále byl pro přesnější představu citovanosti rozhodnutí soudů </w:t>
      </w:r>
      <w:r w:rsidR="00E448A9">
        <w:t xml:space="preserve">v tomto výzkumu </w:t>
      </w:r>
      <w:r>
        <w:t>analyzován vývoj celkového počtu citací u každého ze tří soudů zvlášť.</w:t>
      </w:r>
    </w:p>
    <w:p w14:paraId="36562056" w14:textId="11BBF80B" w:rsidR="007D6325" w:rsidRDefault="007D6325" w:rsidP="007D6325">
      <w:pPr>
        <w:pStyle w:val="Dalodstavce"/>
      </w:pPr>
      <w:r>
        <w:lastRenderedPageBreak/>
        <w:t>Zaměříme-li se na celkový počet vstupních citací k rozhodnutím Ústavního soudu, které jsou publikované v daném roce, je patrné, že žádný výrazný trend pozorovat nelze. Citována jsou rozhodnutí napříč sledovaným časovým obdobím s vysokým rozptylem</w:t>
      </w:r>
      <w:r w:rsidR="00DD2719">
        <w:t>,</w:t>
      </w:r>
      <w:r>
        <w:t xml:space="preserve"> a to včetně starších, výrazný výkyv lze pozorovat opět pouze kolem roku 2003.</w:t>
      </w:r>
    </w:p>
    <w:p w14:paraId="212352AB" w14:textId="65BE076C" w:rsidR="007D6325" w:rsidRDefault="007D6325" w:rsidP="007D6325">
      <w:pPr>
        <w:pStyle w:val="Dalodstavce"/>
      </w:pPr>
      <w:r>
        <w:t xml:space="preserve">Obdobně lze jen </w:t>
      </w:r>
      <w:r w:rsidR="00DD2719">
        <w:t xml:space="preserve">pozorovat </w:t>
      </w:r>
      <w:r>
        <w:t>skokový vzrůstající trend s výrazným poklesem v posledních sledovaných letech u množství citovaných rozhodnutí Nejvyššího soudu. U Nejvyššího správního soudu je trend po skokovém nárůstu v prvních letech dokonce klesající.</w:t>
      </w:r>
    </w:p>
    <w:p w14:paraId="707CAFDD" w14:textId="295C8E18" w:rsidR="00B83DF6" w:rsidRDefault="00B83DF6" w:rsidP="008A0629">
      <w:pPr>
        <w:pStyle w:val="Obrzek"/>
      </w:pPr>
      <w:r>
        <w:rPr>
          <w:noProof/>
        </w:rPr>
        <w:drawing>
          <wp:inline distT="0" distB="0" distL="0" distR="0" wp14:anchorId="1ADC2665" wp14:editId="0AB9BEB2">
            <wp:extent cx="4572000" cy="2743200"/>
            <wp:effectExtent l="0" t="0" r="0" b="0"/>
            <wp:docPr id="45" name="Graf 45">
              <a:extLst xmlns:a="http://schemas.openxmlformats.org/drawingml/2006/main">
                <a:ext uri="{FF2B5EF4-FFF2-40B4-BE49-F238E27FC236}">
                  <a16:creationId xmlns:a16="http://schemas.microsoft.com/office/drawing/2014/main" id="{D1C52FC2-9F8C-91DC-E49E-D3CE141AEC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A7392C3" w14:textId="7B0541B8" w:rsidR="00B83DF6" w:rsidRDefault="00B83DF6" w:rsidP="008A0629">
      <w:pPr>
        <w:pStyle w:val="Titulek"/>
      </w:pPr>
      <w:bookmarkStart w:id="64" w:name="_Toc126874188"/>
      <w:r>
        <w:t xml:space="preserve">Obr. </w:t>
      </w:r>
      <w:r>
        <w:rPr>
          <w:noProof/>
        </w:rPr>
        <w:fldChar w:fldCharType="begin"/>
      </w:r>
      <w:r>
        <w:rPr>
          <w:noProof/>
        </w:rPr>
        <w:instrText xml:space="preserve"> SEQ Obr. \* ARABIC </w:instrText>
      </w:r>
      <w:r>
        <w:rPr>
          <w:noProof/>
        </w:rPr>
        <w:fldChar w:fldCharType="separate"/>
      </w:r>
      <w:r>
        <w:rPr>
          <w:noProof/>
        </w:rPr>
        <w:t>20</w:t>
      </w:r>
      <w:r>
        <w:rPr>
          <w:noProof/>
        </w:rPr>
        <w:fldChar w:fldCharType="end"/>
      </w:r>
      <w:r>
        <w:t>: Počet vstupních citací v daném roce – Ústavní soud</w:t>
      </w:r>
      <w:bookmarkEnd w:id="64"/>
    </w:p>
    <w:p w14:paraId="42985476" w14:textId="77777777" w:rsidR="007D6325" w:rsidRDefault="007D6325" w:rsidP="007D6325">
      <w:pPr>
        <w:pStyle w:val="Dalodstavce"/>
        <w:rPr>
          <w:i/>
          <w:iCs/>
        </w:rPr>
      </w:pPr>
    </w:p>
    <w:p w14:paraId="727248CC" w14:textId="5905F305" w:rsidR="00B83DF6" w:rsidRDefault="00B83DF6" w:rsidP="008A0629">
      <w:pPr>
        <w:pStyle w:val="Obrzek"/>
      </w:pPr>
      <w:r>
        <w:rPr>
          <w:noProof/>
        </w:rPr>
        <w:lastRenderedPageBreak/>
        <w:drawing>
          <wp:inline distT="0" distB="0" distL="0" distR="0" wp14:anchorId="291D707D" wp14:editId="69712421">
            <wp:extent cx="4572000" cy="2743200"/>
            <wp:effectExtent l="0" t="0" r="0" b="0"/>
            <wp:docPr id="47" name="Graf 47">
              <a:extLst xmlns:a="http://schemas.openxmlformats.org/drawingml/2006/main">
                <a:ext uri="{FF2B5EF4-FFF2-40B4-BE49-F238E27FC236}">
                  <a16:creationId xmlns:a16="http://schemas.microsoft.com/office/drawing/2014/main" id="{42724BAF-28E4-9233-2391-1130DD757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55FB046" w14:textId="3CAE284C" w:rsidR="00B83DF6" w:rsidRDefault="00B83DF6" w:rsidP="008A0629">
      <w:pPr>
        <w:pStyle w:val="Titulek"/>
      </w:pPr>
      <w:bookmarkStart w:id="65" w:name="_Toc126874189"/>
      <w:r>
        <w:t xml:space="preserve">Obr. </w:t>
      </w:r>
      <w:r>
        <w:rPr>
          <w:noProof/>
        </w:rPr>
        <w:fldChar w:fldCharType="begin"/>
      </w:r>
      <w:r>
        <w:rPr>
          <w:noProof/>
        </w:rPr>
        <w:instrText xml:space="preserve"> SEQ Obr. \* ARABIC </w:instrText>
      </w:r>
      <w:r>
        <w:rPr>
          <w:noProof/>
        </w:rPr>
        <w:fldChar w:fldCharType="separate"/>
      </w:r>
      <w:r>
        <w:rPr>
          <w:noProof/>
        </w:rPr>
        <w:t>21</w:t>
      </w:r>
      <w:r>
        <w:rPr>
          <w:noProof/>
        </w:rPr>
        <w:fldChar w:fldCharType="end"/>
      </w:r>
      <w:r>
        <w:t>: Počet vstupních citací v daném roce – Nejvyšší soud</w:t>
      </w:r>
      <w:bookmarkEnd w:id="65"/>
    </w:p>
    <w:p w14:paraId="004CC228" w14:textId="77777777" w:rsidR="00B83DF6" w:rsidRPr="00B83DF6" w:rsidRDefault="00B83DF6" w:rsidP="00B83DF6">
      <w:pPr>
        <w:pStyle w:val="Odstavec1"/>
        <w:rPr>
          <w:lang w:eastAsia="sk-SK"/>
        </w:rPr>
      </w:pPr>
    </w:p>
    <w:p w14:paraId="4F9B5D63" w14:textId="0EF75796" w:rsidR="00B83DF6" w:rsidRDefault="00C717BA" w:rsidP="008A0629">
      <w:pPr>
        <w:pStyle w:val="Obrzek"/>
      </w:pPr>
      <w:r>
        <w:rPr>
          <w:noProof/>
        </w:rPr>
        <w:drawing>
          <wp:inline distT="0" distB="0" distL="0" distR="0" wp14:anchorId="66F66CE8" wp14:editId="16BCEA02">
            <wp:extent cx="4572000" cy="2743200"/>
            <wp:effectExtent l="0" t="0" r="0" b="0"/>
            <wp:docPr id="49" name="Graf 49">
              <a:extLst xmlns:a="http://schemas.openxmlformats.org/drawingml/2006/main">
                <a:ext uri="{FF2B5EF4-FFF2-40B4-BE49-F238E27FC236}">
                  <a16:creationId xmlns:a16="http://schemas.microsoft.com/office/drawing/2014/main" id="{600B84FE-494A-CECE-81AB-04C6CB2E7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65A6F71" w14:textId="0F64D7BD" w:rsidR="00B83DF6" w:rsidRDefault="00B83DF6" w:rsidP="008A0629">
      <w:pPr>
        <w:pStyle w:val="Titulek"/>
      </w:pPr>
      <w:bookmarkStart w:id="66" w:name="_Toc126874190"/>
      <w:r>
        <w:t xml:space="preserve">Obr. </w:t>
      </w:r>
      <w:r>
        <w:rPr>
          <w:noProof/>
        </w:rPr>
        <w:fldChar w:fldCharType="begin"/>
      </w:r>
      <w:r>
        <w:rPr>
          <w:noProof/>
        </w:rPr>
        <w:instrText xml:space="preserve"> SEQ Obr. \* ARABIC </w:instrText>
      </w:r>
      <w:r>
        <w:rPr>
          <w:noProof/>
        </w:rPr>
        <w:fldChar w:fldCharType="separate"/>
      </w:r>
      <w:r>
        <w:rPr>
          <w:noProof/>
        </w:rPr>
        <w:t>22</w:t>
      </w:r>
      <w:r>
        <w:rPr>
          <w:noProof/>
        </w:rPr>
        <w:fldChar w:fldCharType="end"/>
      </w:r>
      <w:r>
        <w:t>: Počet vstupních citací v daném roce – Nejvyšší správní soud</w:t>
      </w:r>
      <w:bookmarkEnd w:id="66"/>
    </w:p>
    <w:p w14:paraId="2E4A6644" w14:textId="77777777" w:rsidR="00C717BA" w:rsidRDefault="00C717BA" w:rsidP="007D6325">
      <w:pPr>
        <w:pStyle w:val="Dalodstavce"/>
      </w:pPr>
    </w:p>
    <w:p w14:paraId="782A23F1" w14:textId="5DB59310" w:rsidR="00A5101A" w:rsidRDefault="00E448A9" w:rsidP="007D6325">
      <w:pPr>
        <w:pStyle w:val="Dalodstavce"/>
      </w:pPr>
      <w:r>
        <w:t xml:space="preserve">Smejkalová uzavírá, </w:t>
      </w:r>
      <w:r w:rsidR="007D6325">
        <w:t xml:space="preserve">že interpretace čistě kvantitativních dat týkajících se vstupních citací tří vrcholných soudů je </w:t>
      </w:r>
      <w:r w:rsidR="00DD2719">
        <w:t>přinejmenším</w:t>
      </w:r>
      <w:r w:rsidR="007D6325">
        <w:t xml:space="preserve"> komplikovaná a je obtížné hledat statisticky signifikantní trendy, a to i při srovnání s referovanými studiemi prováděnými na datech Nejvyššího soudu USA </w:t>
      </w:r>
      <w:r w:rsidR="007D6325">
        <w:lastRenderedPageBreak/>
        <w:t xml:space="preserve">a SDEU. Zejména, jak již bylo zmíněno, není znám kontext citovanosti a tento kvantitativní pohled neobsahuje informaci o tom, z jakého důvodu jsou rozhodnutí citována. Proto jsou tato data </w:t>
      </w:r>
      <w:r>
        <w:t xml:space="preserve">v referovaném výzkumu </w:t>
      </w:r>
      <w:r w:rsidR="007D6325">
        <w:t>doplněna analýzou nejcitovanějších rozhodnutí každého ze soudů</w:t>
      </w:r>
      <w:r>
        <w:t xml:space="preserve">, kterou pro úplnost uvádím i na závěr této kapitoly </w:t>
      </w:r>
      <w:r w:rsidR="0012325B">
        <w:t xml:space="preserve">v této </w:t>
      </w:r>
      <w:r>
        <w:t>prác</w:t>
      </w:r>
      <w:r w:rsidR="0012325B">
        <w:t>i</w:t>
      </w:r>
      <w:r w:rsidR="007D6325">
        <w:t>.</w:t>
      </w:r>
      <w:r w:rsidR="007D6325">
        <w:rPr>
          <w:rStyle w:val="Znakapoznpodarou"/>
        </w:rPr>
        <w:footnoteReference w:id="244"/>
      </w:r>
    </w:p>
    <w:p w14:paraId="78F8C884" w14:textId="35EFA909" w:rsidR="007D6325" w:rsidRDefault="007D6325">
      <w:pPr>
        <w:pStyle w:val="Nadpis3"/>
        <w:numPr>
          <w:ilvl w:val="2"/>
          <w:numId w:val="14"/>
        </w:numPr>
      </w:pPr>
      <w:r>
        <w:t>Nejcitovanější rozhodnutí v síti</w:t>
      </w:r>
    </w:p>
    <w:p w14:paraId="395918EB" w14:textId="222D276B" w:rsidR="007D6325" w:rsidRDefault="000B113E" w:rsidP="007D6325">
      <w:pPr>
        <w:pStyle w:val="Odstavec1"/>
      </w:pPr>
      <w:r>
        <w:t xml:space="preserve">V referované monografii byl popsán předpoklad o důležitosti spojené s vysokým vstupním stupněm rozhodnutí. </w:t>
      </w:r>
      <w:r w:rsidR="007D6325">
        <w:t xml:space="preserve">Aby bylo možné zjistit, zda </w:t>
      </w:r>
      <w:r w:rsidR="00DD2719">
        <w:t>v</w:t>
      </w:r>
      <w:r w:rsidR="007D6325">
        <w:t xml:space="preserve">ysoký vstupní stupeň (neboli vysoká citovanost) konkrétního rozhodnutí </w:t>
      </w:r>
      <w:r w:rsidR="00DD2719">
        <w:t xml:space="preserve">opravdu </w:t>
      </w:r>
      <w:r w:rsidR="007D6325">
        <w:t xml:space="preserve">značí důležitost rozhodnutí v síti, je nutné provést dodatečnou kvalitativní analýzu důvodů citovanosti konkrétních rozhodnutí. </w:t>
      </w:r>
      <w:r w:rsidR="0003637E">
        <w:t>Z tohoto důvodu jsem na základě počítání vstupních stupňů rozhodnutí získala rozhodnutí s nejvyššími vstupními stupni a ty předložila k analýze. V navázaném výzkumu pak bylo Smejkalovou zkoumáno, z jakého důvodu byla rozhodnutí citována a</w:t>
      </w:r>
      <w:r w:rsidR="007D6325">
        <w:t xml:space="preserve"> zda se jedná o nějaké obecné principiální důvody, či zda se jedná o případy skutkově podobné.</w:t>
      </w:r>
      <w:r w:rsidR="007D6325">
        <w:rPr>
          <w:rStyle w:val="Znakapoznpodarou"/>
        </w:rPr>
        <w:footnoteReference w:id="245"/>
      </w:r>
      <w:r w:rsidR="007D6325">
        <w:t xml:space="preserve"> Z tohoto důvodu bylo vybráno 10 nejcitovanějších rozhodnutí všech tří soudů</w:t>
      </w:r>
      <w:r w:rsidR="00796B20">
        <w:t>, jež byla dále kvalitativně analyzována</w:t>
      </w:r>
      <w:r w:rsidR="007D6325">
        <w:t xml:space="preserve"> </w:t>
      </w:r>
      <w:r w:rsidR="00796B20">
        <w:t xml:space="preserve">dle </w:t>
      </w:r>
      <w:r w:rsidR="007D6325">
        <w:t xml:space="preserve">typu rozhodnutí, důvodu jeho citování a jeho obsahu. Seznam nejcitovanějších rozhodnutí v celém datasetu je uveden </w:t>
      </w:r>
      <w:r w:rsidR="00796B20">
        <w:t xml:space="preserve">i zde </w:t>
      </w:r>
      <w:r w:rsidR="007D6325">
        <w:t>v následující tabulce</w:t>
      </w:r>
      <w:r w:rsidR="00796B20">
        <w:rPr>
          <w:rStyle w:val="Znakapoznpodarou"/>
        </w:rPr>
        <w:footnoteReference w:id="246"/>
      </w:r>
      <w:r w:rsidR="007D6325">
        <w:t xml:space="preserve"> a jedná se o šest rozhodnutí Ústavního soudu, tři rozhodnutí Nejvyššího a jedno rozhodnutí Nejvyššího správního soudu:</w:t>
      </w:r>
    </w:p>
    <w:p w14:paraId="2E919597" w14:textId="732EF7DD" w:rsidR="00E31366" w:rsidRDefault="00E31366" w:rsidP="00953CD9">
      <w:pPr>
        <w:pStyle w:val="Titulektabulky"/>
      </w:pPr>
      <w:bookmarkStart w:id="67" w:name="_Toc126874212"/>
      <w:r>
        <w:t xml:space="preserve">Tab. </w:t>
      </w:r>
      <w:r>
        <w:rPr>
          <w:noProof/>
        </w:rPr>
        <w:fldChar w:fldCharType="begin"/>
      </w:r>
      <w:r>
        <w:rPr>
          <w:noProof/>
        </w:rPr>
        <w:instrText xml:space="preserve"> SEQ Tab. \* ARABIC </w:instrText>
      </w:r>
      <w:r>
        <w:rPr>
          <w:noProof/>
        </w:rPr>
        <w:fldChar w:fldCharType="separate"/>
      </w:r>
      <w:r>
        <w:rPr>
          <w:noProof/>
        </w:rPr>
        <w:t>8</w:t>
      </w:r>
      <w:r>
        <w:rPr>
          <w:noProof/>
        </w:rPr>
        <w:fldChar w:fldCharType="end"/>
      </w:r>
      <w:r>
        <w:t>: Deset nejcitovanějších rozhodnutí</w:t>
      </w:r>
      <w:bookmarkEnd w:id="67"/>
    </w:p>
    <w:tbl>
      <w:tblPr>
        <w:tblStyle w:val="ZPTabulka"/>
        <w:tblW w:w="0" w:type="auto"/>
        <w:tblLook w:val="04A0" w:firstRow="1" w:lastRow="0" w:firstColumn="1" w:lastColumn="0" w:noHBand="0" w:noVBand="1"/>
      </w:tblPr>
      <w:tblGrid>
        <w:gridCol w:w="3683"/>
        <w:gridCol w:w="3683"/>
      </w:tblGrid>
      <w:tr w:rsidR="00E31366" w14:paraId="2147CEA9" w14:textId="77777777" w:rsidTr="00E31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6BB49AC7" w14:textId="468D07AD" w:rsidR="00E31366" w:rsidRPr="006653B1" w:rsidRDefault="00E31366" w:rsidP="00EE22D1">
            <w:pPr>
              <w:jc w:val="center"/>
              <w:rPr>
                <w:sz w:val="20"/>
                <w:szCs w:val="20"/>
                <w:lang w:eastAsia="sk-SK"/>
              </w:rPr>
            </w:pPr>
            <w:r w:rsidRPr="006653B1">
              <w:rPr>
                <w:sz w:val="20"/>
                <w:szCs w:val="20"/>
                <w:lang w:eastAsia="sk-SK"/>
              </w:rPr>
              <w:t>Pořadí</w:t>
            </w:r>
          </w:p>
        </w:tc>
        <w:tc>
          <w:tcPr>
            <w:tcW w:w="3683" w:type="dxa"/>
          </w:tcPr>
          <w:p w14:paraId="0AA2C40D" w14:textId="778C148F" w:rsidR="00E31366" w:rsidRPr="006653B1" w:rsidRDefault="00E31366"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6653B1">
              <w:rPr>
                <w:sz w:val="20"/>
                <w:szCs w:val="20"/>
                <w:lang w:eastAsia="sk-SK"/>
              </w:rPr>
              <w:t>Rozhodnutí</w:t>
            </w:r>
          </w:p>
        </w:tc>
      </w:tr>
      <w:tr w:rsidR="00E31366" w14:paraId="5F2D175E" w14:textId="77777777" w:rsidTr="00E31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5ACFFC1D" w14:textId="403C4589" w:rsidR="00E31366" w:rsidRPr="006653B1" w:rsidRDefault="009D01AA" w:rsidP="00EE22D1">
            <w:pPr>
              <w:jc w:val="center"/>
              <w:rPr>
                <w:sz w:val="20"/>
                <w:szCs w:val="20"/>
                <w:lang w:eastAsia="sk-SK"/>
              </w:rPr>
            </w:pPr>
            <w:r w:rsidRPr="006653B1">
              <w:rPr>
                <w:sz w:val="20"/>
                <w:szCs w:val="20"/>
                <w:lang w:eastAsia="sk-SK"/>
              </w:rPr>
              <w:t>1.</w:t>
            </w:r>
          </w:p>
        </w:tc>
        <w:tc>
          <w:tcPr>
            <w:tcW w:w="3683" w:type="dxa"/>
          </w:tcPr>
          <w:p w14:paraId="7807D2C0" w14:textId="450BFA5B" w:rsidR="00E31366" w:rsidRPr="006653B1" w:rsidRDefault="009D01AA"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6653B1">
              <w:rPr>
                <w:sz w:val="20"/>
                <w:szCs w:val="20"/>
                <w:lang w:eastAsia="sk-SK"/>
              </w:rPr>
              <w:t>Usnesení ÚS ze dne 27. 5. 2004, sp. zn. IV. ÚS 73/03</w:t>
            </w:r>
          </w:p>
        </w:tc>
      </w:tr>
      <w:tr w:rsidR="00E31366" w14:paraId="1FB10339" w14:textId="77777777" w:rsidTr="00E313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5FE668A8" w14:textId="199E06D3" w:rsidR="00E31366" w:rsidRPr="006653B1" w:rsidRDefault="009D01AA" w:rsidP="00EE22D1">
            <w:pPr>
              <w:jc w:val="center"/>
              <w:rPr>
                <w:sz w:val="20"/>
                <w:szCs w:val="20"/>
                <w:lang w:eastAsia="sk-SK"/>
              </w:rPr>
            </w:pPr>
            <w:r w:rsidRPr="006653B1">
              <w:rPr>
                <w:sz w:val="20"/>
                <w:szCs w:val="20"/>
                <w:lang w:eastAsia="sk-SK"/>
              </w:rPr>
              <w:t>2.</w:t>
            </w:r>
          </w:p>
        </w:tc>
        <w:tc>
          <w:tcPr>
            <w:tcW w:w="3683" w:type="dxa"/>
          </w:tcPr>
          <w:p w14:paraId="2549EA5F" w14:textId="77909F8D" w:rsidR="00E31366" w:rsidRPr="006653B1" w:rsidRDefault="009D01AA"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6653B1">
              <w:rPr>
                <w:sz w:val="20"/>
                <w:szCs w:val="20"/>
                <w:lang w:eastAsia="sk-SK"/>
              </w:rPr>
              <w:t>Usnesení ÚS ze dne 15. 4. 2004, sp. zn. IV. ÚS 449/03</w:t>
            </w:r>
          </w:p>
        </w:tc>
      </w:tr>
      <w:tr w:rsidR="00E31366" w14:paraId="77C6AC2D" w14:textId="77777777" w:rsidTr="00E31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64D56AD6" w14:textId="6DFF1194" w:rsidR="00E31366" w:rsidRPr="006653B1" w:rsidRDefault="009D01AA" w:rsidP="00EE22D1">
            <w:pPr>
              <w:jc w:val="center"/>
              <w:rPr>
                <w:sz w:val="20"/>
                <w:szCs w:val="20"/>
                <w:lang w:eastAsia="sk-SK"/>
              </w:rPr>
            </w:pPr>
            <w:r w:rsidRPr="006653B1">
              <w:rPr>
                <w:sz w:val="20"/>
                <w:szCs w:val="20"/>
                <w:lang w:eastAsia="sk-SK"/>
              </w:rPr>
              <w:t>3.</w:t>
            </w:r>
          </w:p>
        </w:tc>
        <w:tc>
          <w:tcPr>
            <w:tcW w:w="3683" w:type="dxa"/>
          </w:tcPr>
          <w:p w14:paraId="6A70785E" w14:textId="0C0DC876" w:rsidR="00E31366" w:rsidRPr="006653B1" w:rsidRDefault="009D01AA"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6653B1">
              <w:rPr>
                <w:sz w:val="20"/>
                <w:szCs w:val="20"/>
                <w:lang w:eastAsia="sk-SK"/>
              </w:rPr>
              <w:t>Nález ÚS ze dne 20. 6. 1995, sp. zn. III. ÚS 84/94</w:t>
            </w:r>
          </w:p>
        </w:tc>
      </w:tr>
      <w:tr w:rsidR="00E31366" w14:paraId="71D0BD58" w14:textId="77777777" w:rsidTr="00E313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1BC8281F" w14:textId="044E5FD8" w:rsidR="00E31366" w:rsidRPr="006653B1" w:rsidRDefault="009D01AA" w:rsidP="00EE22D1">
            <w:pPr>
              <w:jc w:val="center"/>
              <w:rPr>
                <w:sz w:val="20"/>
                <w:szCs w:val="20"/>
                <w:lang w:eastAsia="sk-SK"/>
              </w:rPr>
            </w:pPr>
            <w:r w:rsidRPr="006653B1">
              <w:rPr>
                <w:sz w:val="20"/>
                <w:szCs w:val="20"/>
                <w:lang w:eastAsia="sk-SK"/>
              </w:rPr>
              <w:t>4.</w:t>
            </w:r>
          </w:p>
        </w:tc>
        <w:tc>
          <w:tcPr>
            <w:tcW w:w="3683" w:type="dxa"/>
          </w:tcPr>
          <w:p w14:paraId="68B7E4C8" w14:textId="679E9DB3" w:rsidR="00E31366" w:rsidRPr="006653B1" w:rsidRDefault="009D01AA"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6653B1">
              <w:rPr>
                <w:sz w:val="20"/>
                <w:szCs w:val="20"/>
                <w:lang w:eastAsia="sk-SK"/>
              </w:rPr>
              <w:t>Usnesení NS ze dne 25. 9. 2013, sp. zn. 29 Cdo 2394/2013</w:t>
            </w:r>
          </w:p>
        </w:tc>
      </w:tr>
      <w:tr w:rsidR="00E31366" w14:paraId="2DEF21DF" w14:textId="77777777" w:rsidTr="00E31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6FFCE05D" w14:textId="3015515C" w:rsidR="00E31366" w:rsidRPr="006653B1" w:rsidRDefault="009D01AA" w:rsidP="00EE22D1">
            <w:pPr>
              <w:jc w:val="center"/>
              <w:rPr>
                <w:sz w:val="20"/>
                <w:szCs w:val="20"/>
                <w:lang w:eastAsia="sk-SK"/>
              </w:rPr>
            </w:pPr>
            <w:r w:rsidRPr="006653B1">
              <w:rPr>
                <w:sz w:val="20"/>
                <w:szCs w:val="20"/>
                <w:lang w:eastAsia="sk-SK"/>
              </w:rPr>
              <w:lastRenderedPageBreak/>
              <w:t>5.</w:t>
            </w:r>
          </w:p>
        </w:tc>
        <w:tc>
          <w:tcPr>
            <w:tcW w:w="3683" w:type="dxa"/>
          </w:tcPr>
          <w:p w14:paraId="53383251" w14:textId="0C6DC963" w:rsidR="00E31366" w:rsidRPr="006653B1" w:rsidRDefault="009D01AA"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6653B1">
              <w:rPr>
                <w:sz w:val="20"/>
                <w:szCs w:val="20"/>
                <w:lang w:eastAsia="sk-SK"/>
              </w:rPr>
              <w:t>Usnesení ÚS ze dne 1. 9. 2004, sp. zn. II. ÚS 279/03</w:t>
            </w:r>
          </w:p>
        </w:tc>
      </w:tr>
      <w:tr w:rsidR="00E31366" w14:paraId="321B9155" w14:textId="77777777" w:rsidTr="00E313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49F336B0" w14:textId="3A2A4E88" w:rsidR="00E31366" w:rsidRPr="006653B1" w:rsidRDefault="009D01AA" w:rsidP="00EE22D1">
            <w:pPr>
              <w:jc w:val="center"/>
              <w:rPr>
                <w:sz w:val="20"/>
                <w:szCs w:val="20"/>
                <w:lang w:eastAsia="sk-SK"/>
              </w:rPr>
            </w:pPr>
            <w:r w:rsidRPr="006653B1">
              <w:rPr>
                <w:sz w:val="20"/>
                <w:szCs w:val="20"/>
                <w:lang w:eastAsia="sk-SK"/>
              </w:rPr>
              <w:t>6.</w:t>
            </w:r>
          </w:p>
        </w:tc>
        <w:tc>
          <w:tcPr>
            <w:tcW w:w="3683" w:type="dxa"/>
          </w:tcPr>
          <w:p w14:paraId="1285CD24" w14:textId="37744949" w:rsidR="00E31366" w:rsidRPr="006653B1" w:rsidRDefault="009D01AA"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6653B1">
              <w:rPr>
                <w:sz w:val="20"/>
                <w:szCs w:val="20"/>
                <w:lang w:eastAsia="sk-SK"/>
              </w:rPr>
              <w:t>Usnesení NS ze dne 29. 6. 2004 sp. zn. 21 Cdo 541/2004</w:t>
            </w:r>
          </w:p>
        </w:tc>
      </w:tr>
      <w:tr w:rsidR="00E31366" w14:paraId="709312C3" w14:textId="77777777" w:rsidTr="00E31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66A326A5" w14:textId="34C56330" w:rsidR="00E31366" w:rsidRPr="006653B1" w:rsidRDefault="009D01AA" w:rsidP="00EE22D1">
            <w:pPr>
              <w:jc w:val="center"/>
              <w:rPr>
                <w:sz w:val="20"/>
                <w:szCs w:val="20"/>
                <w:lang w:eastAsia="sk-SK"/>
              </w:rPr>
            </w:pPr>
            <w:r w:rsidRPr="006653B1">
              <w:rPr>
                <w:sz w:val="20"/>
                <w:szCs w:val="20"/>
                <w:lang w:eastAsia="sk-SK"/>
              </w:rPr>
              <w:t>7.</w:t>
            </w:r>
          </w:p>
        </w:tc>
        <w:tc>
          <w:tcPr>
            <w:tcW w:w="3683" w:type="dxa"/>
          </w:tcPr>
          <w:p w14:paraId="1C0E6DB2" w14:textId="35C149DB" w:rsidR="00E31366" w:rsidRPr="006653B1" w:rsidRDefault="009D01AA"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6653B1">
              <w:rPr>
                <w:sz w:val="20"/>
                <w:szCs w:val="20"/>
                <w:lang w:eastAsia="sk-SK"/>
              </w:rPr>
              <w:t>Nález ÚS ze dne 1. 2. 1994, sp. zn. III. ÚS 23/93</w:t>
            </w:r>
          </w:p>
        </w:tc>
      </w:tr>
      <w:tr w:rsidR="00E31366" w14:paraId="4C4F5EA6" w14:textId="77777777" w:rsidTr="00E313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5543BF85" w14:textId="47F4B137" w:rsidR="00E31366" w:rsidRPr="006653B1" w:rsidRDefault="009D01AA" w:rsidP="00EE22D1">
            <w:pPr>
              <w:jc w:val="center"/>
              <w:rPr>
                <w:sz w:val="20"/>
                <w:szCs w:val="20"/>
                <w:lang w:eastAsia="sk-SK"/>
              </w:rPr>
            </w:pPr>
            <w:r w:rsidRPr="006653B1">
              <w:rPr>
                <w:sz w:val="20"/>
                <w:szCs w:val="20"/>
                <w:lang w:eastAsia="sk-SK"/>
              </w:rPr>
              <w:t>8.</w:t>
            </w:r>
          </w:p>
        </w:tc>
        <w:tc>
          <w:tcPr>
            <w:tcW w:w="3683" w:type="dxa"/>
          </w:tcPr>
          <w:p w14:paraId="231734C0" w14:textId="4B47933B" w:rsidR="00E31366" w:rsidRPr="006653B1" w:rsidRDefault="009D01AA"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6653B1">
              <w:rPr>
                <w:sz w:val="20"/>
                <w:szCs w:val="20"/>
                <w:lang w:eastAsia="sk-SK"/>
              </w:rPr>
              <w:t>Usnesení ÚS ze dne 30. 10. 2003, sp. zn. III ÚS 282/03</w:t>
            </w:r>
          </w:p>
        </w:tc>
      </w:tr>
      <w:tr w:rsidR="00E31366" w14:paraId="22075196" w14:textId="77777777" w:rsidTr="00E31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1BEEE94A" w14:textId="72D9B475" w:rsidR="00E31366" w:rsidRPr="006653B1" w:rsidRDefault="009D01AA" w:rsidP="00EE22D1">
            <w:pPr>
              <w:jc w:val="center"/>
              <w:rPr>
                <w:sz w:val="20"/>
                <w:szCs w:val="20"/>
                <w:lang w:eastAsia="sk-SK"/>
              </w:rPr>
            </w:pPr>
            <w:r w:rsidRPr="006653B1">
              <w:rPr>
                <w:sz w:val="20"/>
                <w:szCs w:val="20"/>
                <w:lang w:eastAsia="sk-SK"/>
              </w:rPr>
              <w:t>9.</w:t>
            </w:r>
          </w:p>
        </w:tc>
        <w:tc>
          <w:tcPr>
            <w:tcW w:w="3683" w:type="dxa"/>
          </w:tcPr>
          <w:p w14:paraId="37786D56" w14:textId="4735956D" w:rsidR="00E31366" w:rsidRPr="006653B1" w:rsidRDefault="009D01AA"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6653B1">
              <w:rPr>
                <w:sz w:val="20"/>
                <w:szCs w:val="20"/>
                <w:lang w:eastAsia="sk-SK"/>
              </w:rPr>
              <w:t>Usnesení NS ze dne 29. 8. 2013, sp. zn. 29 Cdo 2488/2013</w:t>
            </w:r>
          </w:p>
        </w:tc>
      </w:tr>
      <w:tr w:rsidR="00E31366" w14:paraId="64FE85D8" w14:textId="77777777" w:rsidTr="00E313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3" w:type="dxa"/>
          </w:tcPr>
          <w:p w14:paraId="0DD1BD10" w14:textId="2B701F16" w:rsidR="00E31366" w:rsidRPr="006653B1" w:rsidRDefault="009D01AA" w:rsidP="00EE22D1">
            <w:pPr>
              <w:jc w:val="center"/>
              <w:rPr>
                <w:sz w:val="20"/>
                <w:szCs w:val="20"/>
                <w:lang w:eastAsia="sk-SK"/>
              </w:rPr>
            </w:pPr>
            <w:r w:rsidRPr="006653B1">
              <w:rPr>
                <w:sz w:val="20"/>
                <w:szCs w:val="20"/>
                <w:lang w:eastAsia="sk-SK"/>
              </w:rPr>
              <w:t>10.</w:t>
            </w:r>
          </w:p>
        </w:tc>
        <w:tc>
          <w:tcPr>
            <w:tcW w:w="3683" w:type="dxa"/>
          </w:tcPr>
          <w:p w14:paraId="424ED2EC" w14:textId="543E4A4E" w:rsidR="00E31366" w:rsidRPr="006653B1" w:rsidRDefault="009D01AA"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6653B1">
              <w:rPr>
                <w:sz w:val="20"/>
                <w:szCs w:val="20"/>
                <w:lang w:eastAsia="sk-SK"/>
              </w:rPr>
              <w:t>Usnesení NSS ze dne 14. 6. 2006, čj. 1 Azs 13/2006-39</w:t>
            </w:r>
          </w:p>
        </w:tc>
      </w:tr>
    </w:tbl>
    <w:p w14:paraId="22247C3A" w14:textId="77777777" w:rsidR="00E31366" w:rsidRPr="00EE22D1" w:rsidRDefault="00E31366" w:rsidP="00EE22D1">
      <w:pPr>
        <w:jc w:val="center"/>
        <w:rPr>
          <w:lang w:eastAsia="sk-SK"/>
        </w:rPr>
      </w:pPr>
    </w:p>
    <w:p w14:paraId="43FFE06C" w14:textId="5658EEE5" w:rsidR="007D6325" w:rsidRDefault="007D6325" w:rsidP="006653B1">
      <w:pPr>
        <w:pStyle w:val="Dalodstavce"/>
        <w:ind w:firstLine="0"/>
      </w:pPr>
    </w:p>
    <w:p w14:paraId="631A150F" w14:textId="0828EE31" w:rsidR="007D6325" w:rsidRDefault="00DD2719" w:rsidP="007D6325">
      <w:pPr>
        <w:pStyle w:val="Dalodstavce"/>
      </w:pPr>
      <w:r>
        <w:t>Z</w:t>
      </w:r>
      <w:r w:rsidR="007D6325">
        <w:t xml:space="preserve"> uvedeného seznamu </w:t>
      </w:r>
      <w:r w:rsidR="00D94B9F">
        <w:t>Smejkalová konstatuje</w:t>
      </w:r>
      <w:r w:rsidR="007D6325">
        <w:t xml:space="preserve"> některé doplňující informace. Zaprvé, oproti očekávání se ve většině případů (v 8 z 10 představených rozhodnutí) jedná o usnesení o odmítnutí a pouze dvě rozhodnutí jsou ve věci. Současně není obsaženo ani jedno plenární rozhodnutí či rozhodnutí velkého senátu, všechna rozhodnutí jsou rozhodnutí řadových senátů soudů.</w:t>
      </w:r>
      <w:r w:rsidR="00D94B9F">
        <w:rPr>
          <w:rStyle w:val="Znakapoznpodarou"/>
        </w:rPr>
        <w:footnoteReference w:id="247"/>
      </w:r>
    </w:p>
    <w:p w14:paraId="7AA6BC62" w14:textId="63078B5D" w:rsidR="007D6325" w:rsidRDefault="007D6325" w:rsidP="007D6325">
      <w:pPr>
        <w:pStyle w:val="Dalodstavce"/>
      </w:pPr>
      <w:r>
        <w:t xml:space="preserve">Po hlubší obsahové analýze nejcitovanějších rozhodnutí </w:t>
      </w:r>
      <w:r w:rsidR="00D94B9F">
        <w:t>Smejkalová dále shrnuje</w:t>
      </w:r>
      <w:r>
        <w:t>, že se tato rozhodnutí dotýkají tří tematických okruhů – role jednotlivých soudů v rámci soudní soustavy, přípustnost použití opravných prostředků, o kterých tyto vrcholné soudy rozhodují a problematika dokazování. Rolí jednotlivých soudů se zabývá šest rozhodnutí (usnesení ÚS sp. zn. IV. ÚS 73/03, IV. ÚS 449/03, II. ÚS 279/03, a III. ÚS 282/03, nález ÚS sp. zn. III. ÚS 23/93 a usnesení NSS čj. 1 Azs 13/2006-39). Absolutně nejcitovanější rozhodnutí sp. zn. IV. ÚS 73/03 se zabývá jak rolí Ústavního soudu v rámci soudní soustavy (uvádí, že „</w:t>
      </w:r>
      <w:r>
        <w:rPr>
          <w:i/>
          <w:iCs/>
        </w:rPr>
        <w:t>Ústavní soud není vrcholem soustavy obecných soudů a není oprávněn zasahovat do jejich rozhodovací činnosti</w:t>
      </w:r>
      <w:r>
        <w:t>“), tak rolí Nejvyššího soudu (uvádí, že „</w:t>
      </w:r>
      <w:r>
        <w:rPr>
          <w:i/>
          <w:iCs/>
        </w:rPr>
        <w:t>Nejvyšší soud jako soud, jenž má usilovat o srovnatelnou soudní praxi sjednocováním judikatury […], není povolán k dalšímu, již třetímu justičnímu zkoumání skutkového stavu</w:t>
      </w:r>
      <w:r>
        <w:t xml:space="preserve">“). Podobně se jediné zahrnuté rozhodnutí Nejvyššího správního soudu (usnesení NSS čj. 1 Azs 13/2006-39) zabývá rolí Nejvyššího správního soudu v soustavě soudů správního soudnictví </w:t>
      </w:r>
      <w:r>
        <w:lastRenderedPageBreak/>
        <w:t>(uvádí, že soud má „</w:t>
      </w:r>
      <w:r>
        <w:rPr>
          <w:i/>
          <w:iCs/>
        </w:rPr>
        <w:t>poskytovat ochranu veřejným subjektivním právům fyzických a právnických osob</w:t>
      </w:r>
      <w:r>
        <w:t>“ a jeho primární funkcí „</w:t>
      </w:r>
      <w:r>
        <w:rPr>
          <w:i/>
          <w:iCs/>
        </w:rPr>
        <w:t>jako vrcholného soudního orgánu ve věcech patřících do pravomoci soudů ve správním soudnictví je zajišťovat jednotu a zákonnost rozhodování soudů ve správním soudnictví</w:t>
      </w:r>
      <w:r>
        <w:t>“).</w:t>
      </w:r>
      <w:r>
        <w:rPr>
          <w:rStyle w:val="Znakapoznpodarou"/>
        </w:rPr>
        <w:footnoteReference w:id="248"/>
      </w:r>
    </w:p>
    <w:p w14:paraId="6995F6EE" w14:textId="6BAC7DBB" w:rsidR="007D6325" w:rsidRDefault="007D6325" w:rsidP="007D6325">
      <w:pPr>
        <w:pStyle w:val="Dalodstavce"/>
      </w:pPr>
      <w:r>
        <w:t xml:space="preserve">Druhým tématem, které </w:t>
      </w:r>
      <w:r w:rsidR="00BA6E9B">
        <w:t>detekovala</w:t>
      </w:r>
      <w:r>
        <w:t xml:space="preserve"> ve </w:t>
      </w:r>
      <w:r w:rsidR="00DD2719">
        <w:t>4</w:t>
      </w:r>
      <w:r>
        <w:t xml:space="preserve"> z 10 rozhodnutí (usnesení ÚS sp. zn. IV. ÚS 449/03, usnesení NS sp. zn. 29 Cdo 2394/2013 a 29 Cdo 2488/2013 a usnesení NSS čj. 1 Azs 13/2006-39), je role, funkce a přípustnost jednotlivých opravných prostředků (ústavní stížnost, dovolání, kasační stížnost). Rozhodnutí Ústavního soudu a Nejvyššího soudu se zabývají otázkou přípustnosti dovolání, rozhodnutí Nejvyššího správního soudu pak otázkou přípustnosti kasační stížnosti.</w:t>
      </w:r>
      <w:r>
        <w:rPr>
          <w:rStyle w:val="Znakapoznpodarou"/>
        </w:rPr>
        <w:footnoteReference w:id="249"/>
      </w:r>
    </w:p>
    <w:p w14:paraId="392F0811" w14:textId="642BB26D" w:rsidR="007D6325" w:rsidRDefault="007D6325" w:rsidP="007D6325">
      <w:pPr>
        <w:pStyle w:val="Dalodstavce"/>
      </w:pPr>
      <w:r>
        <w:t xml:space="preserve">Třetí téma </w:t>
      </w:r>
      <w:r w:rsidR="00BA6E9B">
        <w:t xml:space="preserve">podle ní </w:t>
      </w:r>
      <w:r>
        <w:t>představuje problematika dokazování (usnesení ÚS sp. zn. IV. ÚS 449/03 a nález ÚS sp. zn. III. ÚS 84/94). Tato rozhodnutí se dotýkají s jistým zjednodušením nezbytnosti toho, aby mezi skutkovými zjištěními a úvahami při hodnocení důkazů na straně jedné a právními závěry na straně druhé byl jasný vztah, z čehož dále vyplývá jednak povinnost řádného odůvodnění, ze kterého je tento vztah patrný, a jednak možnost soudů neprovést navržené důkazy.</w:t>
      </w:r>
      <w:r>
        <w:rPr>
          <w:rStyle w:val="Znakapoznpodarou"/>
        </w:rPr>
        <w:footnoteReference w:id="250"/>
      </w:r>
    </w:p>
    <w:p w14:paraId="5C553476" w14:textId="07E82B71" w:rsidR="007D6325" w:rsidRDefault="007D6325" w:rsidP="007D6325">
      <w:pPr>
        <w:pStyle w:val="Dalodstavce"/>
      </w:pPr>
      <w:r>
        <w:t>Jedním z důležitých závěrů</w:t>
      </w:r>
      <w:r w:rsidR="00BA6E9B">
        <w:t>, jež zde uvádí, je ten</w:t>
      </w:r>
      <w:r>
        <w:t>, že pět z desíti vyjmenovaných nejcitovanějších rozhodnutí pochází z let 2003</w:t>
      </w:r>
      <w:r w:rsidR="00DD2719">
        <w:t>-</w:t>
      </w:r>
      <w:r>
        <w:t xml:space="preserve">2004, kdy byl zaznamenán prudký nárůst vstupních citací, tato rozhodnutí tedy budou mít na </w:t>
      </w:r>
      <w:r w:rsidR="009733F9">
        <w:t>daný</w:t>
      </w:r>
      <w:r>
        <w:t xml:space="preserve"> výkyv pravděpodobně silný vliv.</w:t>
      </w:r>
      <w:r>
        <w:rPr>
          <w:rStyle w:val="Znakapoznpodarou"/>
        </w:rPr>
        <w:footnoteReference w:id="251"/>
      </w:r>
    </w:p>
    <w:p w14:paraId="4BCA8D3A" w14:textId="70730A34" w:rsidR="007D6325" w:rsidRDefault="007D6325" w:rsidP="007D6325">
      <w:pPr>
        <w:pStyle w:val="Dalodstavce"/>
      </w:pPr>
      <w:r>
        <w:t xml:space="preserve">Na začátku této podkapitoly bylo uvedeno, že vstupní stupeň rozhodnutí bývá interpretován, s vysokou mírou zjednodušení, jako ukazatel důležitosti konkrétního rozhodnutí v síti. Základním předpokladem, který uvádí Smejkalová, je ten, že pokud je konkrétní rozhodnutí hojně citováno, je považováno soudci za relevantní pro velké množství konkrétních případů a je tedy důležitější než ostatní, méně citovaná rozhodnutí. Překvapivým závěrem je zde to, že mezi nejcitovanějšími rozhodnutími je velká většina rozhodnutí usneseními o odmítnutí a nejedná se tedy ani o rozhodnutí ve věci, ale o procesní rozhodnutí. Smejkalová </w:t>
      </w:r>
      <w:r w:rsidR="009733F9">
        <w:t>proto</w:t>
      </w:r>
      <w:r>
        <w:t xml:space="preserve"> uvádí, že tento výsledek je pak v přímém rozporu s očekáváním, že by byly k citování soudci vybírán</w:t>
      </w:r>
      <w:r w:rsidR="009733F9">
        <w:t>a</w:t>
      </w:r>
      <w:r>
        <w:t xml:space="preserve"> spíše rozhodnutí vyšší normativní </w:t>
      </w:r>
      <w:r>
        <w:lastRenderedPageBreak/>
        <w:t>hodnoty, tedy rozhodnutí, která jsou např. plenární či velkých senátů a rozhodnutí ve věci.</w:t>
      </w:r>
      <w:r>
        <w:rPr>
          <w:rStyle w:val="Znakapoznpodarou"/>
        </w:rPr>
        <w:footnoteReference w:id="252"/>
      </w:r>
      <w:r>
        <w:t xml:space="preserve"> Spíše </w:t>
      </w:r>
      <w:r w:rsidR="00BA6E9B">
        <w:t>uzavírá</w:t>
      </w:r>
      <w:r>
        <w:t xml:space="preserve">, že absence metody či pravidel pro citování předchozí judikatury za adekvátní argumentace dovoluje soudci citovat v podstatě libovolné rozhodnutí, které považuje pro daný případ za relevantní. Druhým vysvětlením </w:t>
      </w:r>
      <w:r w:rsidR="00BA6E9B">
        <w:t xml:space="preserve">podle ní </w:t>
      </w:r>
      <w:r>
        <w:t xml:space="preserve">pak může být již výše zmíněná větší expozice již hojně citovaných rozhodnutí, tedy jejich snadnější „nalezení“ a tedy </w:t>
      </w:r>
      <w:r w:rsidR="009733F9">
        <w:t xml:space="preserve">proto </w:t>
      </w:r>
      <w:r>
        <w:t xml:space="preserve">zvýšená šance dalšího citování. Dalším </w:t>
      </w:r>
      <w:r w:rsidR="00BA6E9B">
        <w:t xml:space="preserve">jejím </w:t>
      </w:r>
      <w:r>
        <w:t xml:space="preserve">důležitým zjištěním je pak </w:t>
      </w:r>
      <w:r w:rsidR="009733F9">
        <w:t>skutečnost</w:t>
      </w:r>
      <w:r>
        <w:t>, že se jedná o rozhodnutí stanovující některé velmi obecné procesní a principiální otázky, což je nejpravděpodobnější důvod jejich vysoké citovanosti (ačkoliv by toto tvrzení ideálně mělo být také ověřeno dodatečnou kvalitativní analýzou).</w:t>
      </w:r>
      <w:r>
        <w:rPr>
          <w:rStyle w:val="Znakapoznpodarou"/>
        </w:rPr>
        <w:footnoteReference w:id="253"/>
      </w:r>
    </w:p>
    <w:p w14:paraId="4AA92F6D" w14:textId="2B95D86D" w:rsidR="007D6325" w:rsidRDefault="007D6325">
      <w:pPr>
        <w:pStyle w:val="Nadpis2"/>
        <w:numPr>
          <w:ilvl w:val="1"/>
          <w:numId w:val="14"/>
        </w:numPr>
      </w:pPr>
      <w:bookmarkStart w:id="68" w:name="_Toc126909352"/>
      <w:r>
        <w:t>Dílčí závěr</w:t>
      </w:r>
      <w:bookmarkEnd w:id="68"/>
    </w:p>
    <w:p w14:paraId="2E9C9C93" w14:textId="513C4A93" w:rsidR="007D6325" w:rsidRDefault="007D6325" w:rsidP="007D6325">
      <w:pPr>
        <w:pStyle w:val="Odstavec1"/>
      </w:pPr>
      <w:r>
        <w:t>V této části práce shrnuji některé základní charakteristiky citační sítě tří vrcholných českých soudů</w:t>
      </w:r>
      <w:r w:rsidR="00BA6E9B">
        <w:t>, které vyvstaly při provádění výše referovaného výzkumu</w:t>
      </w:r>
      <w:r>
        <w:t xml:space="preserve">. Dataset citací </w:t>
      </w:r>
      <w:r w:rsidR="00BA6E9B" w:rsidRPr="00BA6E9B">
        <w:rPr>
          <w:i/>
          <w:iCs/>
        </w:rPr>
        <w:t>Czech Court Citations Dataset</w:t>
      </w:r>
      <w:r w:rsidR="00BA6E9B">
        <w:t xml:space="preserve"> </w:t>
      </w:r>
      <w:r>
        <w:t xml:space="preserve">popsaný v kapitole </w:t>
      </w:r>
      <w:r w:rsidR="00BA6E9B">
        <w:t>4.1.2</w:t>
      </w:r>
      <w:r>
        <w:t xml:space="preserve"> </w:t>
      </w:r>
      <w:r w:rsidR="00450A4E">
        <w:t>jsem v rámci tohoto výzkumu zpracovávala</w:t>
      </w:r>
      <w:r>
        <w:t xml:space="preserve"> nejdříve obecnými statistickými metodami a poté </w:t>
      </w:r>
      <w:r w:rsidR="00450A4E">
        <w:t>za účelem získání některých</w:t>
      </w:r>
      <w:r>
        <w:t xml:space="preserve"> proměnných síťové analýzy</w:t>
      </w:r>
      <w:r w:rsidR="00CA43BD">
        <w:t>, dále jsem zde uvedla základní popis a interpretaci těchto dat provedený Smejkalovou</w:t>
      </w:r>
      <w:r>
        <w:t xml:space="preserve">. Účelem </w:t>
      </w:r>
      <w:r w:rsidR="00450A4E">
        <w:t>bylo</w:t>
      </w:r>
      <w:r>
        <w:t xml:space="preserve"> popsat dataset</w:t>
      </w:r>
      <w:r w:rsidR="00CA43BD">
        <w:t xml:space="preserve"> soudních rozhodnutí CzCDC za pomocí jeho citací</w:t>
      </w:r>
      <w:r>
        <w:t xml:space="preserve"> a poskytnout k němu úvodní přehled, protože tento dataset a některé z těchto proměnných budou dále používány v následných experimentech, </w:t>
      </w:r>
      <w:r w:rsidR="009733F9">
        <w:t>jež</w:t>
      </w:r>
      <w:r>
        <w:t xml:space="preserve"> tvoří </w:t>
      </w:r>
      <w:r w:rsidR="009733F9">
        <w:t>stěžejní</w:t>
      </w:r>
      <w:r>
        <w:t xml:space="preserve"> část této práce. </w:t>
      </w:r>
      <w:r w:rsidR="00CA43BD">
        <w:t xml:space="preserve"> Současně uvedení základních závěrů tohoto výzkumu doplňuje obrázek šíře možného užití metod síťové analýzy v právu. </w:t>
      </w:r>
      <w:r>
        <w:t>Nosným tématem následné části je pak to, zda některé z těchto proměnných, případně další metody popisující vztahy mezi rozhodnutími, lze užít k vyhledávání soudních rozhodnutí a zda tyto metody právníci považují za dostatečně přesné.</w:t>
      </w:r>
    </w:p>
    <w:p w14:paraId="25D3D4C2" w14:textId="171DB808" w:rsidR="007D6325" w:rsidRDefault="007D6325">
      <w:pPr>
        <w:pStyle w:val="Nadpis1"/>
        <w:numPr>
          <w:ilvl w:val="0"/>
          <w:numId w:val="14"/>
        </w:numPr>
      </w:pPr>
      <w:bookmarkStart w:id="69" w:name="_Toc126909353"/>
      <w:r>
        <w:lastRenderedPageBreak/>
        <w:t>Citační síťová analýza</w:t>
      </w:r>
      <w:r w:rsidR="002C1DDE">
        <w:t xml:space="preserve">: </w:t>
      </w:r>
      <w:r>
        <w:t>experiment k vyhledávání soudních rozhodnutí</w:t>
      </w:r>
      <w:bookmarkEnd w:id="69"/>
    </w:p>
    <w:p w14:paraId="6F361202" w14:textId="0FBAA763" w:rsidR="007D6325" w:rsidRDefault="007D6325" w:rsidP="007D6325">
      <w:pPr>
        <w:pStyle w:val="Odstavec1"/>
      </w:pPr>
      <w:r>
        <w:t xml:space="preserve">Analýza citací dokumentů je jednou z nejčastějších aplikací síťové metody. V této práci je užita za účelem analyzování citací </w:t>
      </w:r>
      <w:r w:rsidR="008F129F">
        <w:t>tří vrcholných</w:t>
      </w:r>
      <w:r>
        <w:t xml:space="preserve"> soudů, a to za účelem zjištění, zda informace o vzájemných citacích mohou být relevantní při vyhledávání relevantní judikatury. Jak je patrné z přehledu v kapitole 3, citace jsou nejčastěji používány při vyhledávání relevantních právních informací k návrhu souvisejících dokumentů (na základě sdílené citace) a nebo k řazení výsledků dle důležitosti (na základě citovanosti)</w:t>
      </w:r>
      <w:r>
        <w:rPr>
          <w:rStyle w:val="Znakapoznpodarou"/>
        </w:rPr>
        <w:footnoteReference w:id="254"/>
      </w:r>
      <w:r>
        <w:t>. V tomto experimentu jsem zvolila jednu z metrik síťové analýzy, jejímž účelem je identifikovat důležitá soudní rozhodnutí v síti na základě citovanosti.</w:t>
      </w:r>
    </w:p>
    <w:p w14:paraId="0181FC05" w14:textId="52E2904A" w:rsidR="007D6325" w:rsidRDefault="007D6325" w:rsidP="007D6325">
      <w:pPr>
        <w:pStyle w:val="Dalodstavce"/>
      </w:pPr>
      <w:r>
        <w:t>Informace týkající se počtu citací dokumentu bývají často vodítkem pro důležitost dokumentu v rámci (zde doménov</w:t>
      </w:r>
      <w:r w:rsidR="00F72BD4">
        <w:t>ě</w:t>
      </w:r>
      <w:r>
        <w:t xml:space="preserve"> ohraničené) sítě, za tímto účelem vznikly v rámci síťové analýzy konkrétní pokročilejší metriky pro identifikaci důležitých dokumentů, než je jednoduchý počet citací (citovanost) dokumentu. Jen pro zopakování, počet citací dokumentu jinými dokumenty je nazýván jako vstupní stupeň uzlu v síti (dokumentu), v</w:t>
      </w:r>
      <w:r w:rsidR="008F129F">
        <w:t xml:space="preserve"> anglickém </w:t>
      </w:r>
      <w:r>
        <w:t xml:space="preserve">originálu se jedná o </w:t>
      </w:r>
      <w:r>
        <w:rPr>
          <w:i/>
          <w:iCs/>
        </w:rPr>
        <w:t>indegree</w:t>
      </w:r>
      <w:r>
        <w:t>, vedle toho počet jiných dokumentů, které konkrétní dokument (uzel) cituje</w:t>
      </w:r>
      <w:r w:rsidR="008F129F">
        <w:t>,</w:t>
      </w:r>
      <w:r>
        <w:t xml:space="preserve"> je nazýván výstupním stupněm neboli </w:t>
      </w:r>
      <w:r>
        <w:rPr>
          <w:i/>
          <w:iCs/>
        </w:rPr>
        <w:t>outdegree</w:t>
      </w:r>
      <w:r>
        <w:t>.</w:t>
      </w:r>
      <w:r>
        <w:rPr>
          <w:rStyle w:val="Znakapoznpodarou"/>
        </w:rPr>
        <w:footnoteReference w:id="255"/>
      </w:r>
      <w:r>
        <w:t xml:space="preserve"> Avšak vztah mezi vysokým vstupním stupněm soudního rozhodnutí v rámci sítě a jeho důležitostí je komplikovaný a rozhodně ne přímoúměrný.</w:t>
      </w:r>
      <w:r>
        <w:rPr>
          <w:rStyle w:val="Znakapoznpodarou"/>
        </w:rPr>
        <w:footnoteReference w:id="256"/>
      </w:r>
    </w:p>
    <w:p w14:paraId="72ADF9F8" w14:textId="77777777" w:rsidR="007D6325" w:rsidRDefault="007D6325" w:rsidP="007D6325">
      <w:pPr>
        <w:pStyle w:val="Dalodstavce"/>
      </w:pPr>
      <w:r>
        <w:t xml:space="preserve">V této práci je proto experimentálně zkoumanou metrikou tzv. </w:t>
      </w:r>
      <w:r>
        <w:rPr>
          <w:i/>
          <w:iCs/>
        </w:rPr>
        <w:t>authority score</w:t>
      </w:r>
      <w:r>
        <w:t xml:space="preserve">. Authority score je vedle </w:t>
      </w:r>
      <w:r>
        <w:rPr>
          <w:i/>
          <w:iCs/>
        </w:rPr>
        <w:t>hub score</w:t>
      </w:r>
      <w:r>
        <w:t xml:space="preserve"> součástí tzv. HITS algoritmu, který poprvé představil Kleinberg v referované práci</w:t>
      </w:r>
      <w:r>
        <w:rPr>
          <w:rStyle w:val="Znakapoznpodarou"/>
        </w:rPr>
        <w:footnoteReference w:id="257"/>
      </w:r>
      <w:r>
        <w:t xml:space="preserve"> a poté byl několikrát užit při zjišťování důležitosti soudních rozhodnutí v síti.</w:t>
      </w:r>
    </w:p>
    <w:p w14:paraId="175B9B1B" w14:textId="6B113C92" w:rsidR="007D6325" w:rsidRDefault="007D6325" w:rsidP="007D6325">
      <w:pPr>
        <w:pStyle w:val="Dalodstavce"/>
      </w:pPr>
      <w:r>
        <w:lastRenderedPageBreak/>
        <w:t xml:space="preserve">V této spíše matematicko-statistické než společenskovědní práci se autor zabýval síťovými metodami popisu datových korpusů a jako příklad využití různých proměnných zde použil webové stránky a jejich vzájemné provázání hypertextovými odkazy. Síť internetových stránek je </w:t>
      </w:r>
      <w:r w:rsidR="005028A3">
        <w:t>mimo jiné</w:t>
      </w:r>
      <w:r>
        <w:t xml:space="preserve"> jeden z nejčastějších příkladů využití metod síťové analýzy. Kleinberg v citované práci nejprve hodnotí nejčastěji používané proměnné pro popis sítí, ony vstupní a výstupní stupně uzlů jako počty jednotlivých hran mířících buď k danému uzlu nebo od daného uzlu, a to samozřejmě pouze v případě orientovaného grafu (sítě), tedy tam, kde můžeme rozeznat směr hran (spojení). Dochází k tomu, že použití </w:t>
      </w:r>
      <w:r w:rsidR="005028A3">
        <w:t xml:space="preserve">pouze </w:t>
      </w:r>
      <w:r>
        <w:t xml:space="preserve">těchto ukazatelů může být pro určování hodnoty uzlu zavádějící. </w:t>
      </w:r>
      <w:r w:rsidR="005028A3">
        <w:t>Své</w:t>
      </w:r>
      <w:r>
        <w:t xml:space="preserve"> úvahy Kleinberg podkládá vyhledáváním v síti webových stránek a porovnáváním relevance odpovědí vůči dotazu. Z tohoto důvodu navrhuje použití nových ukazatelů, a těmi jsou právě hubs a authorities. Tyto dva typy proměnných berou v úvahu nejen vstupní a výstupní stupně daného uzlu, ale také tyto proměnné uzlů v širší síti – tj. v síti uzlů, které citují či kterými jsou citovány. </w:t>
      </w:r>
      <w:r w:rsidR="005028A3">
        <w:t>Klíčová</w:t>
      </w:r>
      <w:r>
        <w:t xml:space="preserve"> myšlenka vychází z toho, že prominentní (důležitý, Kleinbergovými slovy „</w:t>
      </w:r>
      <w:r w:rsidRPr="005028A3">
        <w:rPr>
          <w:i/>
          <w:iCs/>
        </w:rPr>
        <w:t>good</w:t>
      </w:r>
      <w:r>
        <w:t>“ – „dobrý“) hub uzel je ten, který cituje důležité authority uzly, a prominentní (opět Kleinbergovými slovy „</w:t>
      </w:r>
      <w:r w:rsidRPr="005028A3">
        <w:rPr>
          <w:i/>
          <w:iCs/>
        </w:rPr>
        <w:t>good</w:t>
      </w:r>
      <w:r>
        <w:t>“ – „dobrý“) authority uzel je ten, který je citován jinými prominentními („dobrými“) hub uzly. Jedná se o iterativní algoritmus; velmi zjednodušeně se hub score daného uzlu počítá tak, že vezmeme v úvahu všechny uzly, na které odkazuje. Tento okruh uzlů zhodnotíme z hlediska jejich authority scores – tedy, zda jsou hodně citovány „dobrými“ hub uzly, zda se jedná o „dobré“ authority uzly v dané tematické oblasti. Dle tohoto zhodnocení se tyto uzly evaluují a poté se přistoupí k uzlům v jejich širší síti a celý algoritmus se opakuje. Počet opakování je možné měnit dle velikosti sítě. Podobně zjednodušeně lze popsat i authority score daného uzlu, které se počítá jako vážená suma hodnot hub scores uzlů, které na původní uzel odkazují. Hub score a authority score jsou tedy založeny na vzájemné provázanosti faktu, že jsou rozhodnutí citována, a na informaci o tom, zda rozhodnutí citují jiná rozhodnutí.</w:t>
      </w:r>
      <w:r>
        <w:rPr>
          <w:rStyle w:val="Znakapoznpodarou"/>
        </w:rPr>
        <w:footnoteReference w:id="258"/>
      </w:r>
    </w:p>
    <w:p w14:paraId="305A0B23" w14:textId="6AEAC5F2" w:rsidR="007D6325" w:rsidRDefault="007D6325" w:rsidP="007D6325">
      <w:pPr>
        <w:pStyle w:val="Dalodstavce"/>
      </w:pPr>
      <w:r>
        <w:lastRenderedPageBreak/>
        <w:t>Authority score použil</w:t>
      </w:r>
      <w:r w:rsidR="004D7F50">
        <w:t>i</w:t>
      </w:r>
      <w:r>
        <w:t xml:space="preserve"> pro identifikaci důležitých soudních rozhodnutí v síti už Fowler a Jeon v jejich práci analyzující citace Nejvyššího soudu USA</w:t>
      </w:r>
      <w:r>
        <w:rPr>
          <w:rStyle w:val="Znakapoznpodarou"/>
        </w:rPr>
        <w:footnoteReference w:id="259"/>
      </w:r>
      <w:r>
        <w:t xml:space="preserve"> a poté i Derlén a Lindholm pro analýzu referencí SDEU</w:t>
      </w:r>
      <w:r>
        <w:rPr>
          <w:rStyle w:val="Znakapoznpodarou"/>
        </w:rPr>
        <w:footnoteReference w:id="260"/>
      </w:r>
      <w:r>
        <w:t>.</w:t>
      </w:r>
    </w:p>
    <w:p w14:paraId="096A1DA0" w14:textId="68E43905" w:rsidR="007D6325" w:rsidRDefault="004D7F50" w:rsidP="007D6325">
      <w:pPr>
        <w:pStyle w:val="Dalodstavce"/>
      </w:pPr>
      <w:r>
        <w:t>Svůj experiment provádím</w:t>
      </w:r>
      <w:r w:rsidR="007D6325">
        <w:t xml:space="preserve"> na rozhodnutích Nejvyššího, Nejvyššího správního a Ústavního soudu obsažených ve výše popsaném </w:t>
      </w:r>
      <w:r w:rsidR="007D6325" w:rsidRPr="004D7F50">
        <w:rPr>
          <w:i/>
          <w:iCs/>
        </w:rPr>
        <w:t>Czech Court Decisions Corpus</w:t>
      </w:r>
      <w:r w:rsidR="007D6325">
        <w:t>. Pro zjišťování doménové důležitosti konkrétních rozhodnutí je pak tento soubor rozhodnutí dále zúžen na rozhodnutí týkající se zákona č. 121/2000 Sb., o právu autorském, o právech souvisejících s právem autorským a o změně některých zákonů, v platném znění (dále jen „</w:t>
      </w:r>
      <w:r w:rsidR="007D6325">
        <w:rPr>
          <w:i/>
          <w:iCs/>
        </w:rPr>
        <w:t>autorský zákon</w:t>
      </w:r>
      <w:r w:rsidR="007D6325">
        <w:t>“).</w:t>
      </w:r>
      <w:r w:rsidR="007D6325">
        <w:rPr>
          <w:rStyle w:val="Znakapoznpodarou"/>
        </w:rPr>
        <w:footnoteReference w:id="261"/>
      </w:r>
      <w:r w:rsidR="007D6325">
        <w:t xml:space="preserve"> Důvodem tohoto zúžení je fakt, že je-li účelem hodnotit důležitost soudních rozhodnutí v síti, je příliš abstraktní hodnotit důležitost konkrétního rozhodnutí vzhledem k celému právnímu systému. Představitelnější je pak hodnocení důležitosti v kontextu u</w:t>
      </w:r>
      <w:r w:rsidR="00891879">
        <w:t>r</w:t>
      </w:r>
      <w:r w:rsidR="007D6325">
        <w:t>čitého právního odvětví nebo t</w:t>
      </w:r>
      <w:r w:rsidR="00891879">
        <w:t>e</w:t>
      </w:r>
      <w:r w:rsidR="007D6325">
        <w:t>matického celku.</w:t>
      </w:r>
    </w:p>
    <w:p w14:paraId="46FF49C8" w14:textId="3E218B8F" w:rsidR="007D6325" w:rsidRDefault="00891879" w:rsidP="007D6325">
      <w:pPr>
        <w:pStyle w:val="Dalodstavce"/>
      </w:pPr>
      <w:r>
        <w:t>Ve svém</w:t>
      </w:r>
      <w:r w:rsidR="007D6325">
        <w:t xml:space="preserve"> experimentu budu odpovídat na </w:t>
      </w:r>
      <w:r>
        <w:t xml:space="preserve">dílčí </w:t>
      </w:r>
      <w:r w:rsidR="007D6325">
        <w:t>výzkumnou otázku číslo 1. Zjišťuji tedy, jaký je vztah mezi authority score a důležitostí soudního rozhodnutí vnímanou právními experty. Představitelným praktickým scénářem je zde systém řadící výsledky vyhledávání relevantních soudních rozhodnutí, který pomocí použitého authority score identifikuje a kvantifikuje důležitost rozhodnutí a dle tohoto měřítka pak rozhodnutí seřadí a představí uživateli. V následném evaluačním experimentu pak bude právními experty hodnocena tzv. doménová důležitost</w:t>
      </w:r>
      <w:r w:rsidR="007D6325">
        <w:rPr>
          <w:rStyle w:val="Znakapoznpodarou"/>
        </w:rPr>
        <w:footnoteReference w:id="262"/>
      </w:r>
      <w:r w:rsidR="007D6325">
        <w:t xml:space="preserve"> rozhodnutí s vysokým a nízkým </w:t>
      </w:r>
      <w:r w:rsidR="007D6325" w:rsidRPr="00891879">
        <w:t xml:space="preserve">authority score. </w:t>
      </w:r>
      <w:r w:rsidR="007D6325">
        <w:t>Doménová důležitost je definována ve výše citované práci Opijnena a Santos</w:t>
      </w:r>
      <w:r w:rsidR="007D6325">
        <w:rPr>
          <w:rStyle w:val="Znakapoznpodarou"/>
        </w:rPr>
        <w:footnoteReference w:id="263"/>
      </w:r>
      <w:r w:rsidR="007D6325">
        <w:t xml:space="preserve"> jako relevance vyhledávané informace v právním odvětví, tedy relevance v rámci konkrétního ohraničeného odvětví. Pro účely této práce zúžím </w:t>
      </w:r>
      <w:r w:rsidR="005F23CF">
        <w:lastRenderedPageBreak/>
        <w:t>danou</w:t>
      </w:r>
      <w:r w:rsidR="007D6325">
        <w:t xml:space="preserve"> relevanci na relevanci v rámci konkrétního právního pododvětví. Důvodem je to, že při vyhledávání relevantních soudních rozhodnutí je určitě častější vyhledávat důležitá rozhodnutí v rámci odvětví, či spíše konkrétní právní otázky, než obecně důležitá soudní rozhodnutí v rámci celé právní oblasti. Takový vyhledávací dotaz by nakonec bylo i komplikované definovat. Byla tedy zvolena oblast autorského práva jako doména limitující zjišťování relevance authority score.</w:t>
      </w:r>
    </w:p>
    <w:p w14:paraId="4ABE6282" w14:textId="6551EB75" w:rsidR="007D6325" w:rsidRDefault="007D6325" w:rsidP="007D6325">
      <w:pPr>
        <w:pStyle w:val="Dalodstavce"/>
      </w:pPr>
      <w:r>
        <w:t xml:space="preserve">Abych odpověděla na </w:t>
      </w:r>
      <w:r w:rsidR="005F23CF">
        <w:t>řešenou</w:t>
      </w:r>
      <w:r>
        <w:t xml:space="preserve"> výzkumnou otázku, zvolila jsem dvě proměnné, které budu hodnotit. Nejprve mě bude zajímat průměrné hodnocení doménové </w:t>
      </w:r>
      <w:r w:rsidR="00A72EFF">
        <w:t>důležitosti</w:t>
      </w:r>
      <w:r>
        <w:t xml:space="preserve"> rozhodnutí s nejvyšším authority score a porovnání hodnocení</w:t>
      </w:r>
      <w:r w:rsidR="00A72EFF">
        <w:t xml:space="preserve"> důležitosti</w:t>
      </w:r>
      <w:r>
        <w:t xml:space="preserve"> rozhodnutí s nulovým authority score. Dále mě bude zajímat korelace hodnocení </w:t>
      </w:r>
      <w:r w:rsidR="00A72EFF">
        <w:t>důležitosti doménovými</w:t>
      </w:r>
      <w:r>
        <w:t xml:space="preserve"> experty se samotným authority score.</w:t>
      </w:r>
    </w:p>
    <w:p w14:paraId="7893C464" w14:textId="25CAAB97" w:rsidR="007D6325" w:rsidRDefault="007D6325">
      <w:pPr>
        <w:pStyle w:val="Nadpis2"/>
        <w:numPr>
          <w:ilvl w:val="1"/>
          <w:numId w:val="14"/>
        </w:numPr>
      </w:pPr>
      <w:bookmarkStart w:id="70" w:name="_Toc126909354"/>
      <w:r>
        <w:t>Identifikace důležitých rozhodnutí v síti pomocí authority score</w:t>
      </w:r>
      <w:bookmarkEnd w:id="70"/>
    </w:p>
    <w:p w14:paraId="6B2582B0" w14:textId="370AD2E8" w:rsidR="00F40D0C" w:rsidRDefault="00F40D0C" w:rsidP="00F40D0C">
      <w:pPr>
        <w:pStyle w:val="Odstavec1"/>
      </w:pPr>
      <w:r>
        <w:t xml:space="preserve">Postup extrakce citací z textů soudních rozhodnutí, </w:t>
      </w:r>
      <w:r w:rsidR="00D8471D">
        <w:t>corpus rozhodnutí a citační dataset</w:t>
      </w:r>
      <w:r>
        <w:t xml:space="preserve"> jsou popsány v kapitole 4.1, </w:t>
      </w:r>
      <w:r w:rsidR="00D8471D">
        <w:t>nyní</w:t>
      </w:r>
      <w:r>
        <w:t xml:space="preserve"> budu na tyto informace navazovat. Jak bylo uvedeno výše, pro tento experiment byl omezen dataset rozhodnutí souvisejících s autorským zákonem. Důvodem je zde předpoklad, že zajímá-li nás důležitost daného rozhodnutí, jedná se vždy o důležitost v rámci nějakého právního odvětví či t</w:t>
      </w:r>
      <w:r w:rsidR="00D8471D">
        <w:t>e</w:t>
      </w:r>
      <w:r>
        <w:t>matického celku. Těžko si lze představit hodnocení důležitosti konkrétních rozhodnutí pro právo jako celek. S tím poté souvisí i kategorie relevance - doménová relevance</w:t>
      </w:r>
      <w:r w:rsidR="00152C03">
        <w:t>, nebo jak bylo definováno výše spíše doménová důležitost</w:t>
      </w:r>
      <w:r>
        <w:t>, která bude hodnocena v rámci následného evaluačního experimentu (a která bude podrobněji popsána níže).</w:t>
      </w:r>
    </w:p>
    <w:p w14:paraId="07D616BA" w14:textId="77777777" w:rsidR="00F40D0C" w:rsidRDefault="00F40D0C" w:rsidP="00F40D0C">
      <w:pPr>
        <w:pStyle w:val="Dalodstavce"/>
      </w:pPr>
      <w:r>
        <w:t>Dataset rozhodnutí souvisejících s autorským zákonem byl představen v referovaném experimentu</w:t>
      </w:r>
      <w:r>
        <w:rPr>
          <w:rStyle w:val="Znakapoznpodarou"/>
        </w:rPr>
        <w:footnoteReference w:id="264"/>
      </w:r>
      <w:r>
        <w:t xml:space="preserve"> a jedná se o soudní rozhodnutí, která byla přiřazena některému z ustanovení autorského zákona (či tomuto zákonu jako celku) v jednom ze tří dostupných právních informačních </w:t>
      </w:r>
      <w:r>
        <w:lastRenderedPageBreak/>
        <w:t>systémů.</w:t>
      </w:r>
      <w:r>
        <w:rPr>
          <w:rStyle w:val="Znakapoznpodarou"/>
        </w:rPr>
        <w:footnoteReference w:id="265"/>
      </w:r>
      <w:r>
        <w:t xml:space="preserve"> Tento dataset obsahuje 193 rozhodnutí Nejvyššího, Nejvyššího správního a Ústavního soudu, která tvoří v tomto experimentu síť. Předpokládám, že každé z těchto rozhodnutí je nějakým způsobem relevantní vůči autorskému zákonu.</w:t>
      </w:r>
    </w:p>
    <w:p w14:paraId="798F5621" w14:textId="388953E9" w:rsidR="00F40D0C" w:rsidRDefault="00F40D0C" w:rsidP="00F40D0C">
      <w:pPr>
        <w:pStyle w:val="Dalodstavce"/>
      </w:pPr>
      <w:r>
        <w:t xml:space="preserve">Pro každé z rozhodnutí bylo vypočítáno authority score. Pro tento výpočet byla využita dostupná Python knihovna </w:t>
      </w:r>
      <w:r>
        <w:rPr>
          <w:i/>
          <w:iCs/>
        </w:rPr>
        <w:t>networkx</w:t>
      </w:r>
      <w:r>
        <w:t xml:space="preserve"> pro výpočet síťových proměnných.</w:t>
      </w:r>
      <w:r>
        <w:rPr>
          <w:rStyle w:val="Znakapoznpodarou"/>
        </w:rPr>
        <w:footnoteReference w:id="266"/>
      </w:r>
      <w:r>
        <w:t xml:space="preserve"> Jelikož se jedná o iterativní algoritmus, tedy algoritmus, který sleduje citační vazby v kontextu celé sítě, bylo nutné použít celou síť citací, tedy všechna citační data dostupná v rámci Czech Court Citations Dataset</w:t>
      </w:r>
      <w:r>
        <w:rPr>
          <w:rStyle w:val="Znakapoznpodarou"/>
        </w:rPr>
        <w:footnoteReference w:id="267"/>
      </w:r>
      <w:r>
        <w:t xml:space="preserve">. Po výpočtu skóre pro všechna rozhodnutí v datasetu užitém v tomto experimentu byla rozhodnutí srovnána dle přiřazeného skóre od nejvyššího po nulové. Rozhodnutí s nulovým authority score bylo </w:t>
      </w:r>
      <w:r w:rsidR="00324F76">
        <w:t xml:space="preserve">v datasetu 193 rozhodnutí právě </w:t>
      </w:r>
      <w:r>
        <w:t>66. Pro následnou evaluaci byla vybrána rozhodnutí s nejvyšším authority score a poté byla vybrána rozhodnutí s nulovým authority score</w:t>
      </w:r>
      <w:r w:rsidR="00324F76">
        <w:t xml:space="preserve"> náhodným výběrem ze skupiny těchto 66</w:t>
      </w:r>
      <w:r>
        <w:t>.</w:t>
      </w:r>
    </w:p>
    <w:p w14:paraId="07EBB172" w14:textId="6CEF7181" w:rsidR="00F40D0C" w:rsidRDefault="00F40D0C">
      <w:pPr>
        <w:pStyle w:val="Nadpis2"/>
        <w:numPr>
          <w:ilvl w:val="1"/>
          <w:numId w:val="14"/>
        </w:numPr>
      </w:pPr>
      <w:bookmarkStart w:id="71" w:name="_Toc126909355"/>
      <w:r>
        <w:t>Evaluační metodologie</w:t>
      </w:r>
      <w:bookmarkEnd w:id="71"/>
    </w:p>
    <w:p w14:paraId="38E2454B" w14:textId="5F435924" w:rsidR="00F40D0C" w:rsidRDefault="00F40D0C" w:rsidP="00F40D0C">
      <w:pPr>
        <w:pStyle w:val="Odstavec1"/>
      </w:pPr>
      <w:r>
        <w:t>Dle výše uvedených výpočtů byl dataset rozhodnutí souvisejících s autorským zákonem seřazen dle vypočítaného authority score. Evaluována pak byla rozhodnutí s nejvyšším authority score a s nulovým authority score</w:t>
      </w:r>
      <w:r w:rsidR="00324F76">
        <w:t>.</w:t>
      </w:r>
    </w:p>
    <w:p w14:paraId="2E4B775B" w14:textId="77777777" w:rsidR="00F40D0C" w:rsidRDefault="00F40D0C" w:rsidP="00F40D0C">
      <w:pPr>
        <w:pStyle w:val="Dalodstavce"/>
      </w:pPr>
      <w:r>
        <w:t>Evaluace této metody proběhla v rámci první fáze evaluačních experimentů, to znamená byla provedena skupinou 26 právních expertů</w:t>
      </w:r>
      <w:r>
        <w:rPr>
          <w:rStyle w:val="Znakapoznpodarou"/>
        </w:rPr>
        <w:footnoteReference w:id="268"/>
      </w:r>
      <w:r>
        <w:t xml:space="preserve">. V první části evaluačních experimentů byla navíc hodnocena také subjektivita evaluace, chtěla jsem zjistit, zda se hodnocení evaluátorů výrazně liší, či zda je koherentní. Z tohoto důvodu byli evaluátoři rozděleni do náhodných dvojic a každá dvojice hodnotila stejná rozhodnutí, aby poté </w:t>
      </w:r>
      <w:r>
        <w:lastRenderedPageBreak/>
        <w:t xml:space="preserve">bylo možné měřit rozdíl v hodnocení stejných soudních rozhodnutí. </w:t>
      </w:r>
      <w:r>
        <w:rPr>
          <w:rStyle w:val="Znakapoznpodarou"/>
        </w:rPr>
        <w:footnoteReference w:id="269"/>
      </w:r>
      <w:r>
        <w:t xml:space="preserve"> Z časových a finančních důvodů každá dvojice evaluátorů hodnotila stejnou dvojici soudních rozhodnutí - jedno soudní rozhodnutí s vysokým authority score a jedno s nulovým.</w:t>
      </w:r>
    </w:p>
    <w:p w14:paraId="202EBC3F" w14:textId="69FEAC9B" w:rsidR="00F40D0C" w:rsidRDefault="00F40D0C" w:rsidP="00F40D0C">
      <w:pPr>
        <w:pStyle w:val="Dalodstavce"/>
      </w:pPr>
      <w:r>
        <w:t>Samotná evaluace probíhala tak, že právním expertům byla předložena soudní rozhodnutí vybraná k evaluaci spolu s instrukcemi. Soudní rozhodnutí byla předložena jako celé anonymizované texty obsažené v Czech Court Decisions Corpus 1.0, avšak byla odstraněna hlavička a evaluátorům nebylo známo číslo jednací či spisová značka</w:t>
      </w:r>
      <w:r w:rsidR="00245C25">
        <w:t>,</w:t>
      </w:r>
      <w:r>
        <w:t xml:space="preserve"> a </w:t>
      </w:r>
      <w:r w:rsidR="00245C25">
        <w:t>sice z toho</w:t>
      </w:r>
      <w:r>
        <w:t xml:space="preserve"> důvodu, aby metadata neovlivnila hodnocení důležitosti. Informace o tom, kdo rozhodoval v daném případě (např. rozdíl mezi rozhodnutím pléna či dílčího senátu ÚS apod.)</w:t>
      </w:r>
      <w:r w:rsidR="00245C25">
        <w:t>,</w:t>
      </w:r>
      <w:r>
        <w:t xml:space="preserve"> mohou mít i neuvědomělý vliv na vnímání důležitosti daného rozhodnutí.</w:t>
      </w:r>
    </w:p>
    <w:p w14:paraId="3BF87CBA" w14:textId="2F93F7F3" w:rsidR="00F40D0C" w:rsidRDefault="00F40D0C" w:rsidP="00F40D0C">
      <w:pPr>
        <w:pStyle w:val="Dalodstavce"/>
      </w:pPr>
      <w:r>
        <w:t>Rozhodnutí samotná byla hodnocena v dotazníku vytvořeném v Google Forms. Každý evaluátor byl v této fázi požádán o hodnocení právě dvou rozhodnutí, jedno</w:t>
      </w:r>
      <w:r w:rsidR="00245C25">
        <w:t>ho</w:t>
      </w:r>
      <w:r>
        <w:t xml:space="preserve"> s nejvyšším authority score, druhé</w:t>
      </w:r>
      <w:r w:rsidR="00245C25">
        <w:t>ho</w:t>
      </w:r>
      <w:r>
        <w:t xml:space="preserve"> s nulovým authority score, ovšem </w:t>
      </w:r>
      <w:r w:rsidR="00245C25">
        <w:t>dané</w:t>
      </w:r>
      <w:r>
        <w:t xml:space="preserve"> informace nebyly evaluátorům známy. Evaluátoři byli instruováni pouze </w:t>
      </w:r>
      <w:r w:rsidR="00245C25">
        <w:t xml:space="preserve">k tomu, aby </w:t>
      </w:r>
      <w:r>
        <w:t>vyhodnoti</w:t>
      </w:r>
      <w:r w:rsidR="00245C25">
        <w:t>li</w:t>
      </w:r>
      <w:r>
        <w:t xml:space="preserve"> důležitost každého z těchto dvou rozhodnutí v rámci odvětví autorského práva. Pro lepší uchopitelnost pojmu </w:t>
      </w:r>
      <w:r w:rsidR="00245C25">
        <w:t>„</w:t>
      </w:r>
      <w:r>
        <w:t xml:space="preserve">důležitost” rozhodnutí bylo v instrukcích použito přirovnání ke hodnocení </w:t>
      </w:r>
      <w:r w:rsidR="00245C25">
        <w:t>„</w:t>
      </w:r>
      <w:r>
        <w:t>důležitosti” rozhodnutí Nejvyššího soudu, které provádí sám soud a známkuje takto rozhodnutí dle závažnosti právní otázky, která je v nich řešena.</w:t>
      </w:r>
      <w:r>
        <w:rPr>
          <w:rStyle w:val="Znakapoznpodarou"/>
        </w:rPr>
        <w:footnoteReference w:id="270"/>
      </w:r>
      <w:r>
        <w:t xml:space="preserve"> Škála Nejvyššího soudu je od A do E, kde rozhodnutí kategorie A jsou ta, která jsou zása</w:t>
      </w:r>
      <w:r w:rsidR="00245C25">
        <w:t>d</w:t>
      </w:r>
      <w:r>
        <w:t>ní a navržena k publikaci ve Sbírce</w:t>
      </w:r>
      <w:r w:rsidR="00245C25">
        <w:t>,</w:t>
      </w:r>
      <w:r>
        <w:t xml:space="preserve"> a E jsou ta nejméně zásadní. V tomto dílčím experimentu evaluátoři hodnotili důležitost na škále od </w:t>
      </w:r>
      <w:r w:rsidR="00245C25">
        <w:t>„</w:t>
      </w:r>
      <w:r>
        <w:t>6 - nejvíce důležité rozhodnutí</w:t>
      </w:r>
      <w:r w:rsidR="00245C25">
        <w:t>“</w:t>
      </w:r>
      <w:r>
        <w:t xml:space="preserve"> po </w:t>
      </w:r>
      <w:r w:rsidR="00245C25">
        <w:t>„</w:t>
      </w:r>
      <w:r>
        <w:t>1 - nejméně důležité rozhodnutí</w:t>
      </w:r>
      <w:r w:rsidR="00245C25">
        <w:t>“</w:t>
      </w:r>
      <w:r>
        <w:t>.</w:t>
      </w:r>
    </w:p>
    <w:p w14:paraId="075E1701" w14:textId="77777777" w:rsidR="00090A62" w:rsidRDefault="00090A62" w:rsidP="00F40D0C">
      <w:pPr>
        <w:pStyle w:val="Dalodstavce"/>
      </w:pPr>
      <w:r>
        <w:t xml:space="preserve">Konkrétní znění evaluačních instrukcí bylo následující: </w:t>
      </w:r>
    </w:p>
    <w:p w14:paraId="5A9C008A" w14:textId="112F6C41" w:rsidR="00090A62" w:rsidRDefault="00090A62" w:rsidP="00F40D0C">
      <w:pPr>
        <w:pStyle w:val="Dalodstavce"/>
      </w:pPr>
      <w:r>
        <w:t>„</w:t>
      </w:r>
      <w:r w:rsidRPr="00090A62">
        <w:rPr>
          <w:i/>
          <w:iCs/>
        </w:rPr>
        <w:t xml:space="preserve">V </w:t>
      </w:r>
      <w:r>
        <w:rPr>
          <w:i/>
          <w:iCs/>
        </w:rPr>
        <w:t>této</w:t>
      </w:r>
      <w:r w:rsidRPr="00090A62">
        <w:rPr>
          <w:i/>
          <w:iCs/>
        </w:rPr>
        <w:t xml:space="preserve"> otázce se nachází dvě rozhodnutí (Nejvyššího, Nejvyššího správního nebo Ústavního soudu) týkající se zákona č. 121/2000 Sb., autorského zákona. V této otázce prosím odpovězte, jak důležitá jsou dle </w:t>
      </w:r>
      <w:r w:rsidRPr="00090A62">
        <w:rPr>
          <w:i/>
          <w:iCs/>
        </w:rPr>
        <w:lastRenderedPageBreak/>
        <w:t>Vašeho názoru jednotlivá rozhodnutí z hlediska autorského práva jako celku. Nejvyšší soud přiřazuje soudním rozhodnutím „známku“ důležitosti: A (nejdůležitější, např. sbírkové rozhodnutí) až E (nejméně důležité). V této otázce prosím odpovězte ve stejném smyslu: na škále od 6 (hodně důležité) po 1 (málo důležité).</w:t>
      </w:r>
      <w:r>
        <w:rPr>
          <w:i/>
          <w:iCs/>
        </w:rPr>
        <w:t>“</w:t>
      </w:r>
    </w:p>
    <w:p w14:paraId="0456FB9A" w14:textId="2EDDE52D" w:rsidR="00F40D0C" w:rsidRPr="00F40D0C" w:rsidRDefault="00F40D0C" w:rsidP="00F40D0C">
      <w:pPr>
        <w:pStyle w:val="Dalodstavce"/>
      </w:pPr>
      <w:r>
        <w:t>Takovým to způsobem bylo získáno 26 soudních rozhodnutí</w:t>
      </w:r>
      <w:r w:rsidR="0056479B">
        <w:t xml:space="preserve"> (13 s vysokým authority score a 13 s nulovým)</w:t>
      </w:r>
      <w:r>
        <w:t xml:space="preserve"> ohodnocených vždy dvěma evaluátory dle jejich důležitosti pro autorské právo.</w:t>
      </w:r>
      <w:r w:rsidR="00245C25">
        <w:t xml:space="preserve"> Výsledky tohoto dílčího experimentu a jejich diskuze je uvedena v podkapitole 10.1.</w:t>
      </w:r>
    </w:p>
    <w:p w14:paraId="2CD1B796" w14:textId="69F3E47B" w:rsidR="007D6325" w:rsidRDefault="00F40D0C">
      <w:pPr>
        <w:pStyle w:val="Nadpis1"/>
        <w:numPr>
          <w:ilvl w:val="0"/>
          <w:numId w:val="14"/>
        </w:numPr>
      </w:pPr>
      <w:bookmarkStart w:id="72" w:name="_Toc126909356"/>
      <w:r>
        <w:lastRenderedPageBreak/>
        <w:t>Sémantická podobnost soudních rozhodnutí</w:t>
      </w:r>
      <w:r w:rsidR="009E0A48">
        <w:rPr>
          <w:rStyle w:val="Znakapoznpodarou"/>
        </w:rPr>
        <w:footnoteReference w:id="271"/>
      </w:r>
      <w:bookmarkEnd w:id="72"/>
    </w:p>
    <w:p w14:paraId="0D3E4D2F" w14:textId="75163A02" w:rsidR="00F40D0C" w:rsidRDefault="00F40D0C" w:rsidP="00F40D0C">
      <w:pPr>
        <w:pStyle w:val="Odstavec1"/>
      </w:pPr>
      <w:r>
        <w:t xml:space="preserve">Zjišťování sémantické podobnosti dokumentů je </w:t>
      </w:r>
      <w:r w:rsidR="00D43234">
        <w:t>vesměs</w:t>
      </w:r>
      <w:r>
        <w:t xml:space="preserve"> rozšířenou metodou ve zpracování přirozeného jazyka. Kvantitativní výpočet sémantické podobnosti dvou textů je totiž hodnotnou metrikou sloužící nejčastěji ke klasifikaci a třídění velkého množství dokumentů nebo také k získávání podobných dokumentů k nějakému konkrétnímu dokumentu či tématu. V aplikaci na soudní rozhodnutí je díky němu možné získat podobná soudní rozhodnutí, což je vysoce žádaným úkonem při rešerši judikatury konkrétního právního problému. Výhodou této metody je, že nevyžaduje žádná další metadata či informace o rozhodnutích (jako jsou např. klíčová slova, tematické kategorie apod.), je totiž založená pouze na textech soudních rozhodnutí. To znamená, že je metoda transparentní, založená na kvantitativním výpočtu podobnosti a nevstupuje zde </w:t>
      </w:r>
      <w:r w:rsidR="00D43234">
        <w:t xml:space="preserve">„do hry“ </w:t>
      </w:r>
      <w:r>
        <w:t>žádné další subjektivní manuální hodnocení.</w:t>
      </w:r>
      <w:r>
        <w:rPr>
          <w:rStyle w:val="Znakapoznpodarou"/>
        </w:rPr>
        <w:footnoteReference w:id="272"/>
      </w:r>
    </w:p>
    <w:p w14:paraId="1E5B0011" w14:textId="77777777" w:rsidR="00F40D0C" w:rsidRDefault="00F40D0C" w:rsidP="00F40D0C">
      <w:pPr>
        <w:pStyle w:val="Dalodstavce"/>
      </w:pPr>
      <w:r>
        <w:t>Sémantická podobnost dokumentů má mezi metodami zpracování přirozeného jazyka dlouhou historii, kvalita algoritmů ovšem prudce vzrostla s užitím hlubokého učení a neuronových sítí. Doc2vec je jedním z těchto algoritmů, který ve srovnání s ostatními algoritmy zaznamenal dobré výsledky při aplikaci na právní i neprávní texty.</w:t>
      </w:r>
      <w:r>
        <w:rPr>
          <w:rStyle w:val="Znakapoznpodarou"/>
        </w:rPr>
        <w:footnoteReference w:id="273"/>
      </w:r>
      <w:r>
        <w:t xml:space="preserve"> Jeho principem je predikční algoritmus založený na výskytu slov v rámci jejich okolí v textu, dokáže tedy vzít v úvahu i kontext slov a jejich sémantiku. Tento predikční algoritmus je založen na principu, kdy na základě statistického výskytu slov, která se v textu vyskytují blízko sebe, jsou pak predikována konkrétní slova. Tato predikce je dvojího typu. Konkrétní slovo může být predikováno na základě svého okolí, to je tzv. bag-of-words algoritmus, </w:t>
      </w:r>
      <w:r>
        <w:lastRenderedPageBreak/>
        <w:t>a nebo je právě okolí predikováno na základě konkrétního slova, to je tzv. skip gram algoritmus. V této práci je užit bag-of-words algoritmus.</w:t>
      </w:r>
      <w:r>
        <w:rPr>
          <w:rStyle w:val="Znakapoznpodarou"/>
        </w:rPr>
        <w:footnoteReference w:id="274"/>
      </w:r>
    </w:p>
    <w:p w14:paraId="241E5EF9" w14:textId="062C97F5" w:rsidR="00F40D0C" w:rsidRDefault="00F40D0C" w:rsidP="00F40D0C">
      <w:pPr>
        <w:pStyle w:val="Dalodstavce"/>
      </w:pPr>
      <w:r>
        <w:t xml:space="preserve">Na základě tohoto vybraného predikčního algoritmu vznikají vektorové reprezentace slov, tedy každému slovu v textu je přiřazen jedinečný </w:t>
      </w:r>
      <w:r w:rsidR="00A81969">
        <w:t>„</w:t>
      </w:r>
      <w:r>
        <w:t>významový” vektor. Vektory vznikají právě pomocí hlubokého učení a při trénování modelu se postupně zpřesňují. Základním principem je, že slova podobného významu by měl</w:t>
      </w:r>
      <w:r w:rsidR="00A81969">
        <w:t>a</w:t>
      </w:r>
      <w:r>
        <w:t xml:space="preserve"> mít přiřazeny podobné vektory. To je podstatou tzv. word2vec algoritmu.</w:t>
      </w:r>
      <w:r>
        <w:rPr>
          <w:rStyle w:val="Znakapoznpodarou"/>
        </w:rPr>
        <w:footnoteReference w:id="275"/>
      </w:r>
      <w:r>
        <w:t xml:space="preserve"> Tyto vektory jsou dále uloženy v matici vektorového prostoru. Pro úplnost, počet dimenzí vektorového prostoru je jedním z parametrů, které je nutné arbitrárně definovat při samotném trénování modelu. V tomto experimentu užitý doc2vec algoritmus je nadstavbou word2vec algoritmu a na základě vektorů přiřazených slovům pak vytváří i vektory přiřazené celým dokumentům</w:t>
      </w:r>
      <w:r>
        <w:rPr>
          <w:rStyle w:val="Znakapoznpodarou"/>
        </w:rPr>
        <w:footnoteReference w:id="276"/>
      </w:r>
      <w:r>
        <w:t xml:space="preserve">, což je výhodné právě pro výpočet </w:t>
      </w:r>
      <w:r w:rsidR="00A81969">
        <w:t>„</w:t>
      </w:r>
      <w:r>
        <w:t>významové” podobnosti dokumentů.</w:t>
      </w:r>
      <w:r>
        <w:rPr>
          <w:rStyle w:val="Znakapoznpodarou"/>
        </w:rPr>
        <w:footnoteReference w:id="277"/>
      </w:r>
      <w:r>
        <w:t xml:space="preserve"> Vektorové reprezentace dokumentů mají stejný princip jako vektorové reprezentace slov - obsahově podobné dokumenty by měly být představovány podobnými vektory.</w:t>
      </w:r>
    </w:p>
    <w:p w14:paraId="3C2E4548" w14:textId="4DDF4DDA" w:rsidR="00F40D0C" w:rsidRDefault="00F40D0C" w:rsidP="00F40D0C">
      <w:pPr>
        <w:pStyle w:val="Dalodstavce"/>
      </w:pPr>
      <w:r>
        <w:t xml:space="preserve">Podobnost samotných vektorů je pak počítána jako cosinus úhlu, který dané dvě vektorové reprezentace (v tomto případě dokumentů) svírají. Jedná se tedy o tzv. </w:t>
      </w:r>
      <w:r w:rsidR="002F5D8C">
        <w:t>k</w:t>
      </w:r>
      <w:r>
        <w:t xml:space="preserve">osinovou podobnost dokumentů. Matice vektorových reprezentací pak může být užita např. k výpočtu </w:t>
      </w:r>
      <w:r w:rsidR="002F5D8C">
        <w:t>k</w:t>
      </w:r>
      <w:r>
        <w:t xml:space="preserve">osinové podobnosti každé dvojice vektorů v ní obsažených, a na základě těchto podobností </w:t>
      </w:r>
      <w:r w:rsidR="00A81969">
        <w:t xml:space="preserve">pak </w:t>
      </w:r>
      <w:r>
        <w:t xml:space="preserve">může být provedena shluková analýza. Při této analýze se do sítě zobrazují dokumenty reprezentované v matici a čím </w:t>
      </w:r>
      <w:r w:rsidR="00A81969">
        <w:t xml:space="preserve">vyšší mají </w:t>
      </w:r>
      <w:r>
        <w:t xml:space="preserve"> </w:t>
      </w:r>
      <w:r w:rsidR="002F5D8C">
        <w:t>k</w:t>
      </w:r>
      <w:r>
        <w:t xml:space="preserve">osinovou podobnost, tím jsou jí v síti blíže. V tomto experimentu je však účelem spíše vyhledání konkrétních podobných rozhodnutí vůči původnímu rozhodnutí. Využívá se zde tedy spíše postup, kdy je pomocí natrénovaného modelu i původní rozhodnutí převedeno na vektor a tomuto </w:t>
      </w:r>
      <w:r>
        <w:lastRenderedPageBreak/>
        <w:t xml:space="preserve">jsou pak na základě výpočtu </w:t>
      </w:r>
      <w:r w:rsidR="002F5D8C">
        <w:t>k</w:t>
      </w:r>
      <w:r>
        <w:t>osinové podobnosti vyhledány nejpodobnější vektory v matici.</w:t>
      </w:r>
    </w:p>
    <w:p w14:paraId="5624B84B" w14:textId="6639C1D5" w:rsidR="00F40D0C" w:rsidRDefault="00F40D0C" w:rsidP="00F40D0C">
      <w:pPr>
        <w:pStyle w:val="Dalodstavce"/>
      </w:pPr>
      <w:r>
        <w:t>Jak bylo uvedeno výše, jedná se o široce užív</w:t>
      </w:r>
      <w:r w:rsidR="002F5D8C">
        <w:t>a</w:t>
      </w:r>
      <w:r>
        <w:t xml:space="preserve">nou metodu, proto zde prezentuji nevyčerpávající výčet studií, které tuto metodu užívají pro zpracování textu za různými účely. Nejprve uvádím její užití na obecné, tedy ne právní, texty. Vytvoření vektorových reprezentací každého dokumentu, tedy kvantifikace jejich sémantického obsahu, je dobrým předpokladem pro </w:t>
      </w:r>
      <w:r w:rsidR="002F5D8C">
        <w:t>tematickou</w:t>
      </w:r>
      <w:r>
        <w:t xml:space="preserve"> klasifikaci datasetu textů. To dokazuje práce od Trieu, Tran a Tran, </w:t>
      </w:r>
      <w:r w:rsidR="00702C97">
        <w:t>v níž</w:t>
      </w:r>
      <w:r>
        <w:t xml:space="preserve"> byla tato metoda aplikována na zpravodajsky zaměřené tweety, které byly kategorizovány</w:t>
      </w:r>
      <w:r w:rsidR="00702C97">
        <w:t>,</w:t>
      </w:r>
      <w:r>
        <w:t xml:space="preserve"> a jednotlivým kategoriím </w:t>
      </w:r>
      <w:r w:rsidR="00702C97">
        <w:t>pak byla</w:t>
      </w:r>
      <w:r>
        <w:t xml:space="preserve"> přiřazována </w:t>
      </w:r>
      <w:r w:rsidR="002F5D8C">
        <w:t>tematická</w:t>
      </w:r>
      <w:r>
        <w:t xml:space="preserve"> označení.</w:t>
      </w:r>
      <w:r>
        <w:rPr>
          <w:rStyle w:val="Znakapoznpodarou"/>
        </w:rPr>
        <w:footnoteReference w:id="278"/>
      </w:r>
      <w:r>
        <w:t xml:space="preserve"> Tato metoda byla dále užita pro analýzu sentimentu textů, což znamená predikc</w:t>
      </w:r>
      <w:r w:rsidR="00702C97">
        <w:t>e</w:t>
      </w:r>
      <w:r>
        <w:t xml:space="preserve"> emočního zabarvení textu. Taková analýza se užívá zejména pro analyzování příspěvků na sociálních sítích, zákaznických recenzí apod. Bilgin a Senturk použili doc2vec pro analyzování emočního zabarvení tweetů týkajících se uživatelských recenzí produktů</w:t>
      </w:r>
      <w:r w:rsidR="00702C97">
        <w:t>,</w:t>
      </w:r>
      <w:r>
        <w:t xml:space="preserve"> tweety rozřazoval</w:t>
      </w:r>
      <w:r w:rsidR="00702C97">
        <w:t>i</w:t>
      </w:r>
      <w:r>
        <w:t xml:space="preserve"> do tří skupin na pozitivní, neutrální a negativní.</w:t>
      </w:r>
      <w:r>
        <w:rPr>
          <w:rStyle w:val="Znakapoznpodarou"/>
        </w:rPr>
        <w:footnoteReference w:id="279"/>
      </w:r>
      <w:r>
        <w:t xml:space="preserve"> Dolování názorů je velmi podobné analýze sentimentu textů, účelem aplikace této metody zpracování přirozeného jazyka je zjištění veřejného mínění na určitou otázku či téma. Nejčastěji jsou metody tohoto směru užívány na texty sociálních sítí</w:t>
      </w:r>
      <w:r w:rsidR="00702C97">
        <w:t>.</w:t>
      </w:r>
      <w:r>
        <w:t xml:space="preserve"> </w:t>
      </w:r>
      <w:r w:rsidR="00702C97">
        <w:t>A</w:t>
      </w:r>
      <w:r>
        <w:t>utorská dvojice Maslova a Potapov úspěšně užili metodu doc2vec na texty ve flektivním jazyce (ruštině).</w:t>
      </w:r>
      <w:r>
        <w:rPr>
          <w:rStyle w:val="Znakapoznpodarou"/>
        </w:rPr>
        <w:footnoteReference w:id="280"/>
      </w:r>
    </w:p>
    <w:p w14:paraId="59BEE69E" w14:textId="306E6C3C" w:rsidR="00F40D0C" w:rsidRDefault="00F40D0C" w:rsidP="00F40D0C">
      <w:pPr>
        <w:pStyle w:val="Dalodstavce"/>
      </w:pPr>
      <w:r>
        <w:t>Sémantická analýza dokumentů je dále ideální metodou pro navrhování t</w:t>
      </w:r>
      <w:r w:rsidR="002F5D8C">
        <w:t>e</w:t>
      </w:r>
      <w:r>
        <w:t xml:space="preserve">maticky podobných textů čtenáři. V komparační studii aplikace metod získávajících témata dokumentů (v tomto případě novinových článků) od Nandi et al. bylo prokázáno, že doc2vec v této úloze předčí </w:t>
      </w:r>
      <w:r>
        <w:lastRenderedPageBreak/>
        <w:t>ostatní metody použív</w:t>
      </w:r>
      <w:r w:rsidR="002F5D8C">
        <w:t>a</w:t>
      </w:r>
      <w:r>
        <w:t>né k t</w:t>
      </w:r>
      <w:r w:rsidR="002F5D8C">
        <w:t>e</w:t>
      </w:r>
      <w:r>
        <w:t>matické analýze, jako je latentní Dirichletova alokace</w:t>
      </w:r>
      <w:r>
        <w:rPr>
          <w:rStyle w:val="Znakapoznpodarou"/>
        </w:rPr>
        <w:footnoteReference w:id="281"/>
      </w:r>
      <w:r>
        <w:t xml:space="preserve"> nebo latentní sémantická analýza. Konkrétní zkoumanou úlohou v tomto případě bylo navrhování dalších článků týkajících se podobného tématu jako původní článek.</w:t>
      </w:r>
      <w:r>
        <w:rPr>
          <w:rStyle w:val="Znakapoznpodarou"/>
        </w:rPr>
        <w:footnoteReference w:id="282"/>
      </w:r>
      <w:r>
        <w:t xml:space="preserve"> </w:t>
      </w:r>
      <w:r w:rsidR="002B0F57">
        <w:t>Daná</w:t>
      </w:r>
      <w:r>
        <w:t xml:space="preserve"> metoda byla </w:t>
      </w:r>
      <w:r w:rsidR="002B0F57">
        <w:t>ještě</w:t>
      </w:r>
      <w:r>
        <w:t xml:space="preserve"> přesnější než ostatní metody vektorové reprezentace textů v komparační studii od Lau a Baldwina</w:t>
      </w:r>
      <w:r>
        <w:rPr>
          <w:rStyle w:val="Znakapoznpodarou"/>
        </w:rPr>
        <w:footnoteReference w:id="283"/>
      </w:r>
      <w:r>
        <w:t>.</w:t>
      </w:r>
    </w:p>
    <w:p w14:paraId="0BA21F48" w14:textId="0CBC4B98" w:rsidR="00F40D0C" w:rsidRDefault="00F40D0C" w:rsidP="00F40D0C">
      <w:pPr>
        <w:pStyle w:val="Dalodstavce"/>
      </w:pPr>
      <w:r>
        <w:t>Jak bylo v přehledu ukázáno, použití doc2vec metody pro sémantické úlohy v běžném jazyce přináší přesnější výsledky v komparaci s ostatními metodami. Je nutné ale zmínit, že datasety použité v referovaných studiích měly charakter spíš kratších textů (tweety, novinové články). Naopak v právu obvykle pracujeme s dlouhými texty obsahujícími hned několik t</w:t>
      </w:r>
      <w:r w:rsidR="002F5D8C">
        <w:t>e</w:t>
      </w:r>
      <w:r>
        <w:t>matických celků (soudní rozhodnutí, legislativní akty, důvod</w:t>
      </w:r>
      <w:r w:rsidR="002F5D8C">
        <w:t>o</w:t>
      </w:r>
      <w:r>
        <w:t xml:space="preserve">vé zprávy apod.). </w:t>
      </w:r>
      <w:r w:rsidR="00AD2F80">
        <w:t>I</w:t>
      </w:r>
      <w:r>
        <w:t xml:space="preserve"> přesto byla přesnost metody </w:t>
      </w:r>
      <w:r w:rsidR="00AD2F80">
        <w:t xml:space="preserve">též </w:t>
      </w:r>
      <w:r>
        <w:t xml:space="preserve">prokázána v právu. Získávání sémanticky podobných právních dokumentů, tak jako v této práci, je častým účelem experimentálního užití </w:t>
      </w:r>
      <w:r w:rsidR="00AD2F80">
        <w:t>uvedené</w:t>
      </w:r>
      <w:r>
        <w:t xml:space="preserve"> metody. Renjit a Idicula použili tuto metodu k získání podobných dokumentů a to při kombinaci legislativních aktů a precedentů.</w:t>
      </w:r>
      <w:r>
        <w:rPr>
          <w:rStyle w:val="Znakapoznpodarou"/>
        </w:rPr>
        <w:footnoteReference w:id="284"/>
      </w:r>
      <w:r>
        <w:t xml:space="preserve"> Ranera, Solano a Oco metodu použili na dataset soudních rozhodnutí za účelem získání </w:t>
      </w:r>
      <w:r w:rsidR="00A17833">
        <w:t xml:space="preserve">těch </w:t>
      </w:r>
      <w:r>
        <w:t>nejpodobnějších ke konkrétnímu původnímu rozhodnutí. Tento autorský tým výsledky metody dokonce evaluoval s právními experty se slibnými výsledky.</w:t>
      </w:r>
      <w:r>
        <w:rPr>
          <w:rStyle w:val="Znakapoznpodarou"/>
        </w:rPr>
        <w:footnoteReference w:id="285"/>
      </w:r>
      <w:r>
        <w:t xml:space="preserve"> Mandal et al. provedli komparaci několika metod vektorové reprezentace právních textů a doc2vec z nich vyšla </w:t>
      </w:r>
      <w:r>
        <w:lastRenderedPageBreak/>
        <w:t>opět jako metoda nejpřesnější.</w:t>
      </w:r>
      <w:r>
        <w:rPr>
          <w:rStyle w:val="Znakapoznpodarou"/>
        </w:rPr>
        <w:footnoteReference w:id="286"/>
      </w:r>
      <w:r>
        <w:t xml:space="preserve"> Metoda sémantické podobnosti výpočtem </w:t>
      </w:r>
      <w:r w:rsidR="002F5D8C">
        <w:t>k</w:t>
      </w:r>
      <w:r>
        <w:t>osinové podobnosti vektorové reprezentace právních textů byla zase porovnávána s citační analýzou v práci Wagha a Ananda, kde přinesla taktéž přesnější výsledky.</w:t>
      </w:r>
      <w:r>
        <w:rPr>
          <w:rStyle w:val="Znakapoznpodarou"/>
        </w:rPr>
        <w:footnoteReference w:id="287"/>
      </w:r>
      <w:r>
        <w:t xml:space="preserve"> Pro širší přehled lze uvést, že tento algoritmus </w:t>
      </w:r>
      <w:r w:rsidR="00A27C27">
        <w:t xml:space="preserve">byl </w:t>
      </w:r>
      <w:r>
        <w:t>úspěšně použit i pro detekci kontroverzních otázek v soudních rozhodnutí v práci od Tian et al.</w:t>
      </w:r>
      <w:r>
        <w:rPr>
          <w:rStyle w:val="Znakapoznpodarou"/>
        </w:rPr>
        <w:footnoteReference w:id="288"/>
      </w:r>
    </w:p>
    <w:p w14:paraId="6596C580" w14:textId="034CC020" w:rsidR="00F40D0C" w:rsidRDefault="00A27C27" w:rsidP="00F40D0C">
      <w:pPr>
        <w:pStyle w:val="Dalodstavce"/>
      </w:pPr>
      <w:r>
        <w:t>Vesměs platí totéž, co</w:t>
      </w:r>
      <w:r w:rsidR="00F40D0C">
        <w:t xml:space="preserve"> pro metody zpracování přirozeného jazyka, </w:t>
      </w:r>
      <w:r>
        <w:t xml:space="preserve">tedy že </w:t>
      </w:r>
      <w:r w:rsidR="00F40D0C">
        <w:t xml:space="preserve">neexistuje mnoho studií, které by aplikovaly </w:t>
      </w:r>
      <w:r>
        <w:t xml:space="preserve">uvedené </w:t>
      </w:r>
      <w:r w:rsidR="00F40D0C">
        <w:t>metody v českém jazyce. Jedna z mála je od Novotného a Ircinga, kteří porovnávali přesnost doc2vec algoritmu při klasifikaci textů na anglickém a dvou českých datasetech.</w:t>
      </w:r>
      <w:r w:rsidR="00F40D0C">
        <w:rPr>
          <w:rStyle w:val="Znakapoznpodarou"/>
        </w:rPr>
        <w:footnoteReference w:id="289"/>
      </w:r>
      <w:r w:rsidR="00F40D0C">
        <w:t xml:space="preserve"> Výsledky byly slibné i pro české datasety. Kocmi pak užil tento algoritmus pro strojový překlad v</w:t>
      </w:r>
      <w:r>
        <w:t>e své</w:t>
      </w:r>
      <w:r w:rsidR="00F40D0C">
        <w:t xml:space="preserve"> dizertační práci.</w:t>
      </w:r>
      <w:r w:rsidR="00F40D0C">
        <w:rPr>
          <w:rStyle w:val="Znakapoznpodarou"/>
        </w:rPr>
        <w:footnoteReference w:id="290"/>
      </w:r>
    </w:p>
    <w:p w14:paraId="6423B01E" w14:textId="13C445F0" w:rsidR="00F40D0C" w:rsidRDefault="00F40D0C" w:rsidP="00F40D0C">
      <w:pPr>
        <w:pStyle w:val="Dalodstavce"/>
      </w:pPr>
      <w:r>
        <w:t>Doc2vec algoritmus je v </w:t>
      </w:r>
      <w:r w:rsidR="00A27C27">
        <w:t>mé</w:t>
      </w:r>
      <w:r>
        <w:t xml:space="preserve"> práci užit za účelem identifikace rozhodnutí týkajících se podobné právní otázky jako soudní rozhodnutí výchozí. Pro natrénování samotného doc2vec modelu je užit celý soubor rozhodnutí Nejvyššího soudu. Podobnost právních otázek rozhodnutí je opět hodnocena v rámci následného evaluačního experimentu se skupinou právníků.</w:t>
      </w:r>
    </w:p>
    <w:p w14:paraId="4B179F04" w14:textId="41B3C443" w:rsidR="00B82931" w:rsidRDefault="00B82931">
      <w:pPr>
        <w:pStyle w:val="Nadpis2"/>
        <w:numPr>
          <w:ilvl w:val="1"/>
          <w:numId w:val="14"/>
        </w:numPr>
      </w:pPr>
      <w:bookmarkStart w:id="73" w:name="_Toc126909357"/>
      <w:r>
        <w:lastRenderedPageBreak/>
        <w:t>Trénování doc2vec modelu</w:t>
      </w:r>
      <w:bookmarkEnd w:id="73"/>
    </w:p>
    <w:p w14:paraId="287D1F39" w14:textId="3A13D043" w:rsidR="00B82931" w:rsidRDefault="00B82931" w:rsidP="00B82931">
      <w:pPr>
        <w:pStyle w:val="Odstavec1"/>
      </w:pPr>
      <w:r>
        <w:t xml:space="preserve">V experimentu s doc2vec algoritmem byl využit dataset rozhodnutí Nejvyššího soudu z </w:t>
      </w:r>
      <w:r>
        <w:rPr>
          <w:i/>
          <w:iCs/>
        </w:rPr>
        <w:t>Czech Court Decisions Corpus</w:t>
      </w:r>
      <w:r>
        <w:t xml:space="preserve">. Tento dataset obsahuje 111 977 soudních rozhodnutí publikovaných mezi 1. </w:t>
      </w:r>
      <w:r w:rsidR="00CA7EBE">
        <w:t>lednem</w:t>
      </w:r>
      <w:r>
        <w:t xml:space="preserve"> 1993 a 30.</w:t>
      </w:r>
      <w:r w:rsidR="00CA7EBE">
        <w:t> zářím</w:t>
      </w:r>
      <w:r>
        <w:t xml:space="preserve"> 2018, což by při porovnání s ostatními právními informačními systémy mělo </w:t>
      </w:r>
      <w:r w:rsidR="00CA7EBE">
        <w:t>odpovídat</w:t>
      </w:r>
      <w:r>
        <w:t xml:space="preserve"> asi 91% všech rozhodnutí Nejvyššího soudu publikovaných v tomto období.</w:t>
      </w:r>
      <w:r>
        <w:rPr>
          <w:rStyle w:val="Znakapoznpodarou"/>
        </w:rPr>
        <w:footnoteReference w:id="291"/>
      </w:r>
      <w:r>
        <w:t xml:space="preserve"> V tomto datasetu se nachází celé anonymizované texty soudních rozhodnutí</w:t>
      </w:r>
      <w:r w:rsidR="00CA7EBE">
        <w:t>,</w:t>
      </w:r>
      <w:r>
        <w:t xml:space="preserve"> navíc opatřené tzv. metadatovými hlavičkami, které jsou rozhodnutím přidělovány</w:t>
      </w:r>
      <w:r w:rsidR="00CA7EBE">
        <w:t xml:space="preserve">, jakmile </w:t>
      </w:r>
      <w:r>
        <w:t xml:space="preserve">jsou uveřejňována na webových stránkách soudu. Pro tento experiment byl využit pouze dataset rozhodnutí Nejvyššího soudu, protože takový dataset poskytuje alespoň částečně koherentní soubor dokumentů. Metody zpracování přirozeného jazyka vždy lépe pracují s podobně strukturovanými texty, z jejichž </w:t>
      </w:r>
      <w:r w:rsidR="006C1769">
        <w:t>stavby</w:t>
      </w:r>
      <w:r>
        <w:t xml:space="preserve"> se algoritmy snadněji učí. Soudní rozhodnutí českých soudů jsou standardně nestrukturovaná či velmi málo strukturovaná se spoustou výjimek. Zahrnutí rozhodnutí všech tří soudů by proto nedávalo smysl metodologicky a velmi pravděpodobně by takový model přiná</w:t>
      </w:r>
      <w:r w:rsidR="002F5D8C">
        <w:t>š</w:t>
      </w:r>
      <w:r>
        <w:t xml:space="preserve">el </w:t>
      </w:r>
      <w:r w:rsidR="006C1769">
        <w:t>poměrně nepřesné</w:t>
      </w:r>
      <w:r>
        <w:t xml:space="preserve"> výsledky.</w:t>
      </w:r>
    </w:p>
    <w:p w14:paraId="193C6C2D" w14:textId="0A60B779" w:rsidR="00B82931" w:rsidRDefault="00B82931" w:rsidP="00B82931">
      <w:pPr>
        <w:pStyle w:val="Dalodstavce"/>
      </w:pPr>
      <w:r>
        <w:t xml:space="preserve">Texty soudních rozhodnutí v tomto datasetu musely být nejprve standardně předzpracovány. Prvním krokem v tomto směru byla tzv. tokenizace, tedy rozdělení textů na jednotlivé tokeny - slova. Dále bylo nutné odstranit interpunkci. Dalším obvyklým krokem v případě </w:t>
      </w:r>
      <w:r w:rsidR="001A219D">
        <w:t>flektivních</w:t>
      </w:r>
      <w:r>
        <w:t xml:space="preserve"> jazyků bývá tzv. lemmatizace, tedy převedení slova (tokenu) do jeho lemmatu, kterým je slovníkový tvar slova.</w:t>
      </w:r>
      <w:r>
        <w:rPr>
          <w:rStyle w:val="Znakapoznpodarou"/>
        </w:rPr>
        <w:footnoteReference w:id="292"/>
      </w:r>
      <w:r>
        <w:t xml:space="preserve"> V tomto případě bylo však od lemmatizace upuštěno</w:t>
      </w:r>
      <w:r w:rsidR="006C1769">
        <w:t>, a sice</w:t>
      </w:r>
      <w:r>
        <w:t xml:space="preserve"> z pragmatického důvodu - dle relevantní literatury obecně lemmatizace nezvyšuje přesnost doc2vec algoritmu a je časově velmi náročná.</w:t>
      </w:r>
      <w:r>
        <w:rPr>
          <w:rStyle w:val="Znakapoznpodarou"/>
        </w:rPr>
        <w:footnoteReference w:id="293"/>
      </w:r>
      <w:r>
        <w:t xml:space="preserve"> Dále byla odstraněna tzv. stop slova. Stop slova jsou v obecném </w:t>
      </w:r>
      <w:r w:rsidR="00AC2E2E">
        <w:t xml:space="preserve">chápání </w:t>
      </w:r>
      <w:r>
        <w:t xml:space="preserve">textu </w:t>
      </w:r>
      <w:r w:rsidR="00AC2E2E">
        <w:t xml:space="preserve">taková </w:t>
      </w:r>
      <w:r>
        <w:t xml:space="preserve">slova, která nenesou žádný </w:t>
      </w:r>
      <w:r>
        <w:lastRenderedPageBreak/>
        <w:t xml:space="preserve">specifický význam z hlediska obsahu textu, takovými jsou typicky např. předložky či spojky. Při užití metod zpracování přirozeného jazyka založených na statistice výskytu slov je odstranění stop slov důležitým krokem, který významně zpřesňuje výsledky </w:t>
      </w:r>
      <w:r w:rsidR="00AC2E2E">
        <w:t>stanovených</w:t>
      </w:r>
      <w:r>
        <w:t xml:space="preserve"> metod. Otázka odstranění stop slov za účelem zpřesnění výsledků při užívání algoritmů strojového učení založených na predikci výskytu slov v kontextu jejich okolí </w:t>
      </w:r>
      <w:r w:rsidR="006C1769">
        <w:t>však není jednoznačná</w:t>
      </w:r>
      <w:r>
        <w:t>. V tomto experimentu jsem v souladu s většinovým názorem v odborné komunitě stop slova odstranila, využila jsem k tomu veřejně dostupnou Python knihovnu obecných českých stop slov.</w:t>
      </w:r>
      <w:r>
        <w:rPr>
          <w:rStyle w:val="Znakapoznpodarou"/>
        </w:rPr>
        <w:footnoteReference w:id="294"/>
      </w:r>
    </w:p>
    <w:p w14:paraId="5EBC708C" w14:textId="77777777" w:rsidR="00192F96" w:rsidRDefault="00B82931" w:rsidP="00B82931">
      <w:pPr>
        <w:pStyle w:val="Dalodstavce"/>
      </w:pPr>
      <w:r>
        <w:t>Cílem předzpracování textů soudních rozhodnutí je vytvořit z nich soubory slov, které jsou vhodným vstupním formátem pro trénování doc2vec modelu. Pro samotné natrénování modelu jsem využila implementaci doc2vec v rámci Python knihovny Gensim.</w:t>
      </w:r>
      <w:r>
        <w:rPr>
          <w:rStyle w:val="Znakapoznpodarou"/>
        </w:rPr>
        <w:footnoteReference w:id="295"/>
      </w:r>
      <w:r>
        <w:t xml:space="preserve"> Při trénování modelu jsou vytvářeny vektorové reprezentace slov a dokumentů na základě výše popsaného predikčního algoritmu, které se při postupných iteracích trénování zpřesňují. Pro trénování modelu je nutné správně nastavit několik parametrů</w:t>
      </w:r>
      <w:r w:rsidR="00192F96">
        <w:t>.</w:t>
      </w:r>
      <w:r>
        <w:t xml:space="preserve"> </w:t>
      </w:r>
    </w:p>
    <w:p w14:paraId="3E0EB996" w14:textId="1C8ED09C" w:rsidR="00B82931" w:rsidRDefault="00192F96" w:rsidP="0031178F">
      <w:pPr>
        <w:pStyle w:val="Dalodstavce"/>
      </w:pPr>
      <w:r>
        <w:t>Nejprve</w:t>
      </w:r>
      <w:r w:rsidR="00B82931">
        <w:t xml:space="preserve"> </w:t>
      </w:r>
      <w:r>
        <w:t xml:space="preserve">se jedná o </w:t>
      </w:r>
      <w:r w:rsidR="00B82931">
        <w:t>počet dimenzí vektorů</w:t>
      </w:r>
      <w:r>
        <w:t xml:space="preserve">, u tohoto parametru </w:t>
      </w:r>
      <w:r w:rsidR="00B82931">
        <w:t>velmi zjednodušeně platí čím</w:t>
      </w:r>
      <w:r w:rsidR="00AC2E2E">
        <w:t>, že</w:t>
      </w:r>
      <w:r w:rsidR="00B82931">
        <w:t xml:space="preserve"> delší text, tím víc dimenzí</w:t>
      </w:r>
      <w:r>
        <w:t>. Zadruhé je nutné určit</w:t>
      </w:r>
      <w:r w:rsidR="00B82931">
        <w:t xml:space="preserve"> počet iterací přetrénování modelu</w:t>
      </w:r>
      <w:r>
        <w:t xml:space="preserve"> a zde platí, že </w:t>
      </w:r>
      <w:r w:rsidR="00B82931">
        <w:t>zpravidla čím více iterací, tím přesnější model, ale také čím více iterací, tím delší trénovací čas</w:t>
      </w:r>
      <w:r>
        <w:t>.</w:t>
      </w:r>
      <w:r w:rsidR="00B82931">
        <w:t xml:space="preserve"> </w:t>
      </w:r>
      <w:r>
        <w:t>Zatřetí se nastavuje</w:t>
      </w:r>
      <w:r w:rsidR="00B82931">
        <w:t xml:space="preserve"> limit, kolikrát se dané slovo musí v trénovacím datasetu objevit, aby bylo zařazeno do trénovacího modelu</w:t>
      </w:r>
      <w:r>
        <w:t xml:space="preserve">; </w:t>
      </w:r>
      <w:r w:rsidR="00B82931">
        <w:t>tyto limity slouží k vyřazení příliš častých slov, ale také příliš málo častých slov. Průměrná doba trénování modelu čítajícího 111</w:t>
      </w:r>
      <w:r w:rsidR="00056687">
        <w:t xml:space="preserve"> </w:t>
      </w:r>
      <w:r w:rsidR="00B82931">
        <w:t xml:space="preserve">977 soudních rozhodnutí byla 30 hodin, model musel být </w:t>
      </w:r>
      <w:r w:rsidR="00416860">
        <w:t>pře</w:t>
      </w:r>
      <w:r w:rsidR="00B82931">
        <w:t>trénován několikrát</w:t>
      </w:r>
      <w:r w:rsidR="00AC2E2E">
        <w:t>, a to</w:t>
      </w:r>
      <w:r w:rsidR="00B82931">
        <w:t xml:space="preserve"> za účelem zpřesňování parametrů.</w:t>
      </w:r>
    </w:p>
    <w:p w14:paraId="5978CF72" w14:textId="55889DE7" w:rsidR="006B5C46" w:rsidRDefault="00B82931" w:rsidP="006B5C46">
      <w:pPr>
        <w:pStyle w:val="Dalodstavce"/>
      </w:pPr>
      <w:r>
        <w:t xml:space="preserve">Pro kvantitativní určení samotné sémantické podobnosti soudních rozhodnutí byla využita kosinová podobnost. Podstatou je výpočet kosinu úhlu, který svírají </w:t>
      </w:r>
      <w:r w:rsidR="00DD5F4C">
        <w:t>dvě vektorové reprezentace dvojice dokumentů</w:t>
      </w:r>
      <w:r>
        <w:t>.</w:t>
      </w:r>
      <w:r>
        <w:rPr>
          <w:rStyle w:val="Znakapoznpodarou"/>
        </w:rPr>
        <w:footnoteReference w:id="296"/>
      </w:r>
      <w:r>
        <w:t xml:space="preserve"> </w:t>
      </w:r>
      <w:r w:rsidR="006B4580">
        <w:t xml:space="preserve">Tyto vektorové reprezentace soudních rozhodnutí poskytne </w:t>
      </w:r>
      <w:r w:rsidR="006B4580">
        <w:lastRenderedPageBreak/>
        <w:t>natrénovaný model</w:t>
      </w:r>
      <w:r w:rsidR="00295C4B">
        <w:t>, neboť jsou uložené v matici vektorového prostoru</w:t>
      </w:r>
      <w:r w:rsidR="00721D9B">
        <w:t xml:space="preserve">. V případě, že </w:t>
      </w:r>
      <w:r w:rsidR="00295C4B">
        <w:t xml:space="preserve">předkládáme modelu </w:t>
      </w:r>
      <w:r w:rsidR="00625161">
        <w:t xml:space="preserve">nové </w:t>
      </w:r>
      <w:r w:rsidR="00295C4B">
        <w:t xml:space="preserve">soudní rozhodnutí, které nebylo užito k jeho natrénování (tedy není </w:t>
      </w:r>
      <w:r w:rsidR="00625161">
        <w:t>součástí matice</w:t>
      </w:r>
      <w:r w:rsidR="00295C4B">
        <w:t xml:space="preserve">), </w:t>
      </w:r>
      <w:r w:rsidR="00625161">
        <w:t>model vytvoří vektorovou reprezentaci takového rozhodnutí na základě jeho textu.</w:t>
      </w:r>
    </w:p>
    <w:p w14:paraId="55F29505" w14:textId="3344F5BF" w:rsidR="00B82931" w:rsidRDefault="006B5C46" w:rsidP="006B5C46">
      <w:pPr>
        <w:pStyle w:val="Dalodstavce"/>
      </w:pPr>
      <w:r>
        <w:t xml:space="preserve">Model pak </w:t>
      </w:r>
      <w:r w:rsidR="00376EFB">
        <w:t>vy</w:t>
      </w:r>
      <w:r>
        <w:t xml:space="preserve">počítá kosinovou podobnost </w:t>
      </w:r>
      <w:r w:rsidR="00376EFB">
        <w:t xml:space="preserve">vektoru </w:t>
      </w:r>
      <w:r>
        <w:t xml:space="preserve">předloženého rozhodnutí </w:t>
      </w:r>
      <w:r w:rsidR="00376EFB">
        <w:t>a vektoru každého</w:t>
      </w:r>
      <w:r>
        <w:t xml:space="preserve"> rozhodnutí v matici</w:t>
      </w:r>
      <w:r w:rsidR="00B82931">
        <w:t xml:space="preserve"> </w:t>
      </w:r>
      <w:r w:rsidR="00376EFB">
        <w:t>a</w:t>
      </w:r>
      <w:r w:rsidR="00B82931">
        <w:t xml:space="preserve"> </w:t>
      </w:r>
      <w:r w:rsidR="00376EFB">
        <w:t>najde</w:t>
      </w:r>
      <w:r w:rsidR="00B82931">
        <w:t xml:space="preserve"> rozhodnutí s nejvyšší kosinovou podobností. </w:t>
      </w:r>
      <w:r w:rsidR="00376EFB">
        <w:t>Druhým užívaným způsobem</w:t>
      </w:r>
      <w:r w:rsidR="00B82931">
        <w:t xml:space="preserve"> je výpočet kosinové podobnosti každé dvojice dokumentů v datasetu. Tento způsob se standardně užívá v případě, zajímá-li nás spíše obecnější analýza rozhodnutí ve větším měřítku - například pro tzv. shlukovou analýzu, </w:t>
      </w:r>
      <w:r w:rsidR="0031178F">
        <w:t>jíž</w:t>
      </w:r>
      <w:r w:rsidR="00B82931">
        <w:t xml:space="preserve"> můžeme určovat t</w:t>
      </w:r>
      <w:r>
        <w:t>e</w:t>
      </w:r>
      <w:r w:rsidR="00B82931">
        <w:t>matické celky v datasetu, tedy podmnožiny rozhodnutí, které mají k sobě navzájem blíže, než ke zbytku datasetu</w:t>
      </w:r>
      <w:r w:rsidR="00F55CC8">
        <w:t>,</w:t>
      </w:r>
      <w:r w:rsidR="00B82931">
        <w:t xml:space="preserve"> a zkoumat, zda jsou si podobné z hlediska právních témat v nich obsažených. Dále např. pro síťovou analýzu v užším smyslu, tedy zkoumání sémantických vztahů mezi všemi rozhodnutími v síti. V této práci mě ale zajímá spíše uživatelsky orientovaný pohled, který budu i následně evaluovat. Tedy zda j</w:t>
      </w:r>
      <w:r w:rsidR="0031178F">
        <w:t>e</w:t>
      </w:r>
      <w:r w:rsidR="00B82931">
        <w:t xml:space="preserve"> rozhodnutí získané pomocí doc2vec modelu podobné původnímu rozhodnutí</w:t>
      </w:r>
      <w:r w:rsidR="0031178F">
        <w:t>,</w:t>
      </w:r>
      <w:r w:rsidR="00B82931">
        <w:t xml:space="preserve"> a to z hlediska právního experta jako potenciálního uživatele této metody v její</w:t>
      </w:r>
      <w:r w:rsidR="0031178F">
        <w:t>m</w:t>
      </w:r>
      <w:r w:rsidR="00B82931">
        <w:t xml:space="preserve"> případném praktickém </w:t>
      </w:r>
      <w:r w:rsidR="0031178F">
        <w:t>po</w:t>
      </w:r>
      <w:r w:rsidR="00B82931">
        <w:t>užití.</w:t>
      </w:r>
    </w:p>
    <w:p w14:paraId="564BBF60" w14:textId="1A706963" w:rsidR="00B82931" w:rsidRDefault="00B82931" w:rsidP="00B82931">
      <w:pPr>
        <w:pStyle w:val="Dalodstavce"/>
      </w:pPr>
      <w:r>
        <w:t>Doc2vec model je (obecně</w:t>
      </w:r>
      <w:r w:rsidR="00F55CC8">
        <w:t xml:space="preserve"> vzato</w:t>
      </w:r>
      <w:r>
        <w:t xml:space="preserve">) model vyhledávající sémanticky podobné dokumenty. Motivací jeho užití v této práci je potom úkon, při </w:t>
      </w:r>
      <w:r w:rsidR="00025271">
        <w:t>něž</w:t>
      </w:r>
      <w:r>
        <w:t xml:space="preserve"> uživatel vyhledává soudní rozhodnutí podobné nějakému původnímu dokumentu. Prakticky by se jednalo třeba o rekomendační systém, případně systém kategorizující rozhodnutí dle jejich vzájemné podobnosti. Základní premisou takového přístupu je pak to, že sémanticky podobná soudní rozhodnutí se týkají podobné právní otázky.</w:t>
      </w:r>
    </w:p>
    <w:p w14:paraId="32F9A88F" w14:textId="6A6C9F66" w:rsidR="00B82931" w:rsidRDefault="00A273C1" w:rsidP="00B82931">
      <w:pPr>
        <w:pStyle w:val="Dalodstavce"/>
      </w:pPr>
      <w:r>
        <w:t>S</w:t>
      </w:r>
      <w:r w:rsidR="00B82931">
        <w:t xml:space="preserve">émanticky podobná rozhodnutí jsou z modelu získávána počítáním kosinové podobnosti vektorových reprezentací soudních rozhodnutí. Apriorní podobnost dokumentů je tedy algoritmická, založená na vypočítané metrice. Užijeme-li metodu tak, aby splnila výše popsaný účel, bude nás zajímat relevance modelem vyhledaných rozhodnutí vůči nějakému původnímu rozhodnutí, </w:t>
      </w:r>
      <w:r w:rsidR="00025271">
        <w:t>čili</w:t>
      </w:r>
      <w:r w:rsidR="00B82931">
        <w:t xml:space="preserve"> relevance podobnosti těchto dvou rozhodnutí. Bude se </w:t>
      </w:r>
      <w:r w:rsidR="00C9066E">
        <w:t>proto</w:t>
      </w:r>
      <w:r w:rsidR="00B82931">
        <w:t xml:space="preserve"> jednat o algoritmickou relevanci dle kategorizace van Opijnena a Santos</w:t>
      </w:r>
      <w:r w:rsidR="00B82931">
        <w:rPr>
          <w:rStyle w:val="Znakapoznpodarou"/>
        </w:rPr>
        <w:footnoteReference w:id="297"/>
      </w:r>
      <w:r w:rsidR="00B82931">
        <w:t xml:space="preserve">. Algoritmická relevance je zde definována jako </w:t>
      </w:r>
      <w:r w:rsidR="00B82931">
        <w:lastRenderedPageBreak/>
        <w:t>“</w:t>
      </w:r>
      <w:r w:rsidR="00B82931">
        <w:rPr>
          <w:i/>
          <w:iCs/>
        </w:rPr>
        <w:t>v</w:t>
      </w:r>
      <w:r w:rsidR="00064C6E">
        <w:rPr>
          <w:i/>
          <w:iCs/>
        </w:rPr>
        <w:t>y</w:t>
      </w:r>
      <w:r w:rsidR="00B82931">
        <w:rPr>
          <w:i/>
          <w:iCs/>
        </w:rPr>
        <w:t>počítaný vztah mezi dotazem a informačními objekty na základě jejich shody nebo podobnosti</w:t>
      </w:r>
      <w:r w:rsidR="00B82931">
        <w:t>”</w:t>
      </w:r>
      <w:r w:rsidR="00B82931">
        <w:rPr>
          <w:rStyle w:val="Znakapoznpodarou"/>
        </w:rPr>
        <w:footnoteReference w:id="298"/>
      </w:r>
      <w:r w:rsidR="00B82931">
        <w:t>, v tomto případě je takový vztah představován kosinovou podobností vektorových r</w:t>
      </w:r>
      <w:r>
        <w:t>ep</w:t>
      </w:r>
      <w:r w:rsidR="00B82931">
        <w:t>rezentací dokumentů (tedy číslem).</w:t>
      </w:r>
    </w:p>
    <w:p w14:paraId="3A16CA0E" w14:textId="52C6A1B6" w:rsidR="00B82931" w:rsidRDefault="00B82931">
      <w:pPr>
        <w:pStyle w:val="Nadpis2"/>
        <w:numPr>
          <w:ilvl w:val="1"/>
          <w:numId w:val="14"/>
        </w:numPr>
      </w:pPr>
      <w:bookmarkStart w:id="74" w:name="_Toc126909358"/>
      <w:r>
        <w:t>Evaluační metodologie</w:t>
      </w:r>
      <w:bookmarkEnd w:id="74"/>
    </w:p>
    <w:p w14:paraId="2936AFC4" w14:textId="7D262ABF" w:rsidR="00B82931" w:rsidRDefault="00B82931" w:rsidP="00B82931">
      <w:pPr>
        <w:pStyle w:val="Odstavec1"/>
      </w:pPr>
      <w:r>
        <w:t>Evaluace doc2vec metody byla navržena následovně. Evaluátorům byly představeny trojice soudních rozhodnutí - vždy jedno původní a dvě rozhodnutí získaná pomocí doc2vec modelu. Z těchto dvou rozhodnutí bylo jedno nejpodobnější dle kosinové metriky sémantické podobnosti a druhé bylo 10. nejpodobnější dle této metriky.</w:t>
      </w:r>
    </w:p>
    <w:p w14:paraId="00BBB75C" w14:textId="1BCB149D" w:rsidR="00B82931" w:rsidRPr="00B82931" w:rsidRDefault="00B82931" w:rsidP="00B82931">
      <w:pPr>
        <w:pStyle w:val="Dalodstavce"/>
      </w:pPr>
      <w:r w:rsidRPr="00B82931">
        <w:t xml:space="preserve">Evaluace doc2vec modelu také proběhla v rámci první fáze evaluačních experimentů a evaluační skupina se proto skládala z 26 právních expertů. I v tomto experimentu byla hodnocena subjektivita evaluátorů, proto bylo každé rozhodnutí získané doc2vec modelem hodnoceno dvěma evaluátory. Znamená to, že evaluátoři byli opět rozděleni do náhodných dvojic a každá dvojice hodnotila stejná rozhodnutí, aby bylo možné určit rozdíl v hodnocení </w:t>
      </w:r>
      <w:r w:rsidR="000519CB">
        <w:t>totožných</w:t>
      </w:r>
      <w:r w:rsidRPr="00B82931">
        <w:t xml:space="preserve"> dokumentů. V této fázi byla evaluátorům předkládána soudní rozhodnutí spolu s předchozím dílčím experimentem - citační síťovou analýzou. Z důvodu finanční limitace </w:t>
      </w:r>
      <w:r w:rsidR="000519CB">
        <w:t>pak byla</w:t>
      </w:r>
      <w:r w:rsidRPr="00B82931">
        <w:t xml:space="preserve"> každému evaluátorovi předložena v tomto dílčím experimentu právě trojice soudních rozhodnutí, ze které jedno rozhodnutí bylo původní, vůči kterému další dvě rozhodnutí byla hodnocena z hlediska podobnosti. Takto bylo získáno 26 evaluovaných rozhodnutí vždy dvěma evaluátory.</w:t>
      </w:r>
    </w:p>
    <w:p w14:paraId="3C75E3AB" w14:textId="0B05E405" w:rsidR="00B82931" w:rsidRDefault="00B82931" w:rsidP="00B82931">
      <w:pPr>
        <w:pStyle w:val="Dalodstavce"/>
      </w:pPr>
      <w:r w:rsidRPr="00B82931">
        <w:t xml:space="preserve">Rozhodnutí byla opět představena skupině expertů jako celé texty bez metadatových hlaviček prostřednictvím Google Forms formuláře spolu s rozhodnutími hodnocenými z hlediska jejich důležitosti v předchozím experimentu s citační síťovou analýzou. Podobně jako v předchozím, i v tomto experimentu nebyly evaluátorům známy detaily související s použitou metodou. Evaluátoři zde byli instruováni </w:t>
      </w:r>
      <w:r w:rsidR="000519CB">
        <w:t xml:space="preserve">k tomu </w:t>
      </w:r>
      <w:r w:rsidRPr="00B82931">
        <w:t xml:space="preserve">hodnotit podobnost právní otázky dvou předložených rozhodnutí ve vztahu k původnímu rozhodnutí. Podobnost jednotlivých rozhodnutí byla pak opět hodnocena na škále od </w:t>
      </w:r>
      <w:r w:rsidR="000519CB">
        <w:t>„</w:t>
      </w:r>
      <w:r w:rsidRPr="00B82931">
        <w:t>6 - nejvíce podobná</w:t>
      </w:r>
      <w:r w:rsidR="000519CB">
        <w:t>“</w:t>
      </w:r>
      <w:r w:rsidRPr="00B82931">
        <w:t xml:space="preserve">, po </w:t>
      </w:r>
      <w:r w:rsidR="000519CB">
        <w:t>„</w:t>
      </w:r>
      <w:r w:rsidRPr="00B82931">
        <w:t>1 - nejméně podobná</w:t>
      </w:r>
      <w:r w:rsidR="000519CB">
        <w:t>“</w:t>
      </w:r>
      <w:r w:rsidRPr="00B82931">
        <w:t>.</w:t>
      </w:r>
    </w:p>
    <w:p w14:paraId="314BA992" w14:textId="4C0B068B" w:rsidR="007C7F96" w:rsidRDefault="007C7F96" w:rsidP="00B82931">
      <w:pPr>
        <w:pStyle w:val="Dalodstavce"/>
      </w:pPr>
      <w:r>
        <w:t>Konkrétní znění instrukce k evaluaci tohoto experimentu zněly:</w:t>
      </w:r>
    </w:p>
    <w:p w14:paraId="5E06F07D" w14:textId="5BB5B6FC" w:rsidR="007C7F96" w:rsidRDefault="007C7F96" w:rsidP="00B82931">
      <w:pPr>
        <w:pStyle w:val="Dalodstavce"/>
      </w:pPr>
      <w:r>
        <w:lastRenderedPageBreak/>
        <w:t>„</w:t>
      </w:r>
      <w:r w:rsidRPr="007C7F96">
        <w:rPr>
          <w:i/>
          <w:iCs/>
        </w:rPr>
        <w:t>V této otázce bude v zadání uvedeno jedno soudní rozhodnutí, které je náhodně vybrané ze všech rozhodnutí Nejvyššího soudu od roku 1994, může se tedy jednat o rozhodnutí různé důležitosti a zabývající se různými právními otázkami. K tomuto rozhodnutí jsou v odpovědích přiřazeny dvě další rozhodnutí. Zde je nutné odpovědět na otázku, jak podobná jsou tato rozhodnutí vzhledem k původnímu rozhodnutí v zadání, neboli jak moc se týkají podobné právní otázky. Odpověď je opět škálovatelná: nejvíce podobné je 6 a nejméně 1.</w:t>
      </w:r>
      <w:r>
        <w:t>“</w:t>
      </w:r>
    </w:p>
    <w:p w14:paraId="6539BD2F" w14:textId="39B5445F" w:rsidR="00B0786C" w:rsidRDefault="00B0786C" w:rsidP="00B82931">
      <w:pPr>
        <w:pStyle w:val="Dalodstavce"/>
      </w:pPr>
      <w:r>
        <w:t>Výsledky evaluačního experimentu se sémantickou podobností soudních rozhodnutí jsou uvedeny a diskutovány v podkapitole 10.2.</w:t>
      </w:r>
    </w:p>
    <w:p w14:paraId="7C5A31E3" w14:textId="48BE381D" w:rsidR="00B82931" w:rsidRDefault="00B82931">
      <w:pPr>
        <w:pStyle w:val="Nadpis1"/>
        <w:numPr>
          <w:ilvl w:val="0"/>
          <w:numId w:val="14"/>
        </w:numPr>
      </w:pPr>
      <w:bookmarkStart w:id="75" w:name="_Toc126909359"/>
      <w:r>
        <w:lastRenderedPageBreak/>
        <w:t>Modelování témat soudních rozhodnutí</w:t>
      </w:r>
      <w:r w:rsidR="00A97444">
        <w:rPr>
          <w:rStyle w:val="Znakapoznpodarou"/>
        </w:rPr>
        <w:footnoteReference w:id="299"/>
      </w:r>
      <w:bookmarkEnd w:id="75"/>
    </w:p>
    <w:p w14:paraId="07E66221" w14:textId="6734120B" w:rsidR="00B82931" w:rsidRDefault="00B82931" w:rsidP="00B82931">
      <w:pPr>
        <w:pStyle w:val="Odstavec1"/>
      </w:pPr>
      <w:r>
        <w:t xml:space="preserve">Metody modelování témat patří mezi statistické metody založené na pokročilých výpočtech četností slov v dokumentech, dnes již také s pomocí strojového učení. Tyto metody jsou standardně představovány ve variantě učení bez učitele, existují však ale i rozšíření ve variantách učení s učitelem. V této práci jsou aplikovány dvě </w:t>
      </w:r>
      <w:r w:rsidR="000519CB">
        <w:t>takové</w:t>
      </w:r>
      <w:r>
        <w:t xml:space="preserve"> metody – latentní Dirichletova alokace (dále jen „LDA“)</w:t>
      </w:r>
      <w:r>
        <w:rPr>
          <w:rStyle w:val="Znakapoznpodarou"/>
        </w:rPr>
        <w:footnoteReference w:id="300"/>
      </w:r>
      <w:r>
        <w:t xml:space="preserve"> a nezáporná maticová faktorizace (dále jen „NMF“)</w:t>
      </w:r>
      <w:r>
        <w:rPr>
          <w:rStyle w:val="Znakapoznpodarou"/>
        </w:rPr>
        <w:footnoteReference w:id="301"/>
      </w:r>
      <w:r>
        <w:t>, obě metody ve variantách učení bez učitele.</w:t>
      </w:r>
      <w:r>
        <w:rPr>
          <w:rStyle w:val="Znakapoznpodarou"/>
        </w:rPr>
        <w:footnoteReference w:id="302"/>
      </w:r>
      <w:r>
        <w:t xml:space="preserve"> Jejich účelem je získání latentních témat dokumentů; tato témata jsou reprezentována souborem slov definujících dané téma. Tyto modely </w:t>
      </w:r>
      <w:r w:rsidR="000519CB">
        <w:t xml:space="preserve">poté </w:t>
      </w:r>
      <w:r>
        <w:t>dokáží s určitou pravděpodobností přiřadit témata dokumentům.</w:t>
      </w:r>
    </w:p>
    <w:p w14:paraId="78991AE9" w14:textId="6F6E7F13" w:rsidR="00B82931" w:rsidRDefault="00B82931" w:rsidP="00B82931">
      <w:pPr>
        <w:pStyle w:val="Dalodstavce"/>
      </w:pPr>
      <w:r>
        <w:t>Metody modelování témat jsou vhodné zejména pro klasifikaci velkého množství dokumentů dle přiřazených témat. Dále lze přiřazená témata chápat i jako další (objektivní) metadatovou vrstvu vhodnou k vyhledávání rozhodnutí (např. jako klíčová slova) či k sumarizaci rozhodnutí. Proto jsou tyto metody vhodným kandidátem pro zlepšení vyhledávání soudních rozhodnutí. V tomto dílčím experimentu byl pro trénování modelů užit soubor všech rozhodnutí Nejvyššího soudu v</w:t>
      </w:r>
      <w:r w:rsidR="00F118D4">
        <w:t> </w:t>
      </w:r>
      <w:r w:rsidRPr="00F118D4">
        <w:rPr>
          <w:i/>
          <w:iCs/>
        </w:rPr>
        <w:t>Cz</w:t>
      </w:r>
      <w:r w:rsidR="00F118D4" w:rsidRPr="00F118D4">
        <w:rPr>
          <w:i/>
          <w:iCs/>
        </w:rPr>
        <w:t>ech Court Decisions Corpus</w:t>
      </w:r>
      <w:r>
        <w:t>.</w:t>
      </w:r>
    </w:p>
    <w:p w14:paraId="24AA65D7" w14:textId="4BFE8419" w:rsidR="00B82931" w:rsidRDefault="00B82931" w:rsidP="00B82931">
      <w:pPr>
        <w:pStyle w:val="Dalodstavce"/>
      </w:pPr>
      <w:r>
        <w:t xml:space="preserve">Nevýhodou metod modelování témat je však nutnost </w:t>
      </w:r>
      <w:r w:rsidR="000519CB">
        <w:t xml:space="preserve">předem </w:t>
      </w:r>
      <w:r>
        <w:t xml:space="preserve">arbitrárně určit počet témat, které má model ze souboru dokumentů generovat. Z toho důvodu bylo v tomto dílčím experimentu natrénováno deset </w:t>
      </w:r>
      <w:r>
        <w:lastRenderedPageBreak/>
        <w:t xml:space="preserve">modelů LDA a deset modelů NMF metody s počtem témat </w:t>
      </w:r>
      <w:r>
        <w:rPr>
          <w:i/>
          <w:iCs/>
        </w:rPr>
        <w:t xml:space="preserve">n={10, 20, </w:t>
      </w:r>
      <w:r w:rsidR="00203AFB">
        <w:rPr>
          <w:i/>
          <w:iCs/>
        </w:rPr>
        <w:t>30, 40, 50, 60, 70, 80, 90</w:t>
      </w:r>
      <w:r>
        <w:rPr>
          <w:i/>
          <w:iCs/>
        </w:rPr>
        <w:t>, 100}</w:t>
      </w:r>
      <w:r>
        <w:t>. Bylo použito koherenční skóre (v ang. originále “</w:t>
      </w:r>
      <w:r>
        <w:rPr>
          <w:i/>
          <w:iCs/>
        </w:rPr>
        <w:t>coherence score</w:t>
      </w:r>
      <w:r>
        <w:t>”) pro identifikaci nejlepšího modelu, který byl poté předložen k</w:t>
      </w:r>
      <w:r w:rsidR="00203AFB">
        <w:t> </w:t>
      </w:r>
      <w:r>
        <w:t>evaluaci</w:t>
      </w:r>
      <w:r w:rsidR="00203AFB">
        <w:t xml:space="preserve"> expertní skupinou</w:t>
      </w:r>
      <w:r>
        <w:t xml:space="preserve"> v následném experimentu. Koherenční skóre je metrika určující kvalitu a koherenci slov tvořících témata generovaná příslušným modelem. V evaluačním experimentu byla pak hodnocena relevance získaných témat vůči konkrétním soudním rozhodnutím Nejvyššího soudu.</w:t>
      </w:r>
    </w:p>
    <w:p w14:paraId="1CB37349" w14:textId="52AC90B0" w:rsidR="004340B6" w:rsidRDefault="00B82931" w:rsidP="00B82931">
      <w:pPr>
        <w:pStyle w:val="Dalodstavce"/>
      </w:pPr>
      <w:r>
        <w:t>LDA metoda byla představena Blei a kol.</w:t>
      </w:r>
      <w:r>
        <w:rPr>
          <w:rStyle w:val="Znakapoznpodarou"/>
        </w:rPr>
        <w:footnoteReference w:id="303"/>
      </w:r>
      <w:r>
        <w:t xml:space="preserve"> jako metoda učení bez učitele.</w:t>
      </w:r>
      <w:r>
        <w:rPr>
          <w:rStyle w:val="Znakapoznpodarou"/>
        </w:rPr>
        <w:footnoteReference w:id="304"/>
      </w:r>
      <w:r>
        <w:t xml:space="preserve"> </w:t>
      </w:r>
      <w:r w:rsidR="00874573">
        <w:t>Daná</w:t>
      </w:r>
      <w:r>
        <w:t xml:space="preserve"> metoda byla aplikována např. na dataset novinových článků za účelem jejich klasifikace</w:t>
      </w:r>
      <w:r>
        <w:rPr>
          <w:rStyle w:val="Znakapoznpodarou"/>
        </w:rPr>
        <w:footnoteReference w:id="305"/>
      </w:r>
      <w:r>
        <w:t>, nebo dále pro sumarizaci odborných textů</w:t>
      </w:r>
      <w:r>
        <w:rPr>
          <w:rStyle w:val="Znakapoznpodarou"/>
        </w:rPr>
        <w:footnoteReference w:id="306"/>
      </w:r>
      <w:r>
        <w:t xml:space="preserve"> </w:t>
      </w:r>
      <w:r w:rsidR="00874573">
        <w:t>či</w:t>
      </w:r>
      <w:r>
        <w:t xml:space="preserve"> jako podpůrná metoda při vytváření systematických rešerší</w:t>
      </w:r>
      <w:r w:rsidR="004340B6">
        <w:t xml:space="preserve"> odborných textů</w:t>
      </w:r>
      <w:r>
        <w:t>.</w:t>
      </w:r>
      <w:r>
        <w:rPr>
          <w:rStyle w:val="Znakapoznpodarou"/>
        </w:rPr>
        <w:footnoteReference w:id="307"/>
      </w:r>
      <w:r>
        <w:t xml:space="preserve"> </w:t>
      </w:r>
    </w:p>
    <w:p w14:paraId="3811B30F" w14:textId="6FA1C042" w:rsidR="00B82931" w:rsidRDefault="00B82931" w:rsidP="00B82931">
      <w:pPr>
        <w:pStyle w:val="Dalodstavce"/>
      </w:pPr>
      <w:r>
        <w:t xml:space="preserve">V právní doméně byla </w:t>
      </w:r>
      <w:r w:rsidR="000D4483">
        <w:t xml:space="preserve">pak </w:t>
      </w:r>
      <w:r>
        <w:t>metoda užita pro detekci témat právních textů a pro shlukování t</w:t>
      </w:r>
      <w:r w:rsidR="004340B6">
        <w:t>e</w:t>
      </w:r>
      <w:r>
        <w:t>maticky podobných dokumentů</w:t>
      </w:r>
      <w:r>
        <w:rPr>
          <w:rStyle w:val="Znakapoznpodarou"/>
        </w:rPr>
        <w:footnoteReference w:id="308"/>
      </w:r>
      <w:r>
        <w:t xml:space="preserve">, za účelem </w:t>
      </w:r>
      <w:r>
        <w:lastRenderedPageBreak/>
        <w:t>analyzování trestních rozhodnutí</w:t>
      </w:r>
      <w:r>
        <w:rPr>
          <w:rStyle w:val="Znakapoznpodarou"/>
        </w:rPr>
        <w:footnoteReference w:id="309"/>
      </w:r>
      <w:r>
        <w:t xml:space="preserve"> </w:t>
      </w:r>
      <w:r w:rsidR="00874573">
        <w:t>čo</w:t>
      </w:r>
      <w:r>
        <w:t xml:space="preserve"> pro navrhování profesních spojení v rámci OpenLaw systému</w:t>
      </w:r>
      <w:r>
        <w:rPr>
          <w:rStyle w:val="Znakapoznpodarou"/>
        </w:rPr>
        <w:footnoteReference w:id="310"/>
      </w:r>
      <w:r>
        <w:t>.</w:t>
      </w:r>
    </w:p>
    <w:p w14:paraId="1A0F2B01" w14:textId="483F4077" w:rsidR="00B82931" w:rsidRDefault="00B82931" w:rsidP="00B82931">
      <w:pPr>
        <w:pStyle w:val="Dalodstavce"/>
      </w:pPr>
      <w:r>
        <w:t>Metoda NMF byla poprvé představena v práci Paatero et al.</w:t>
      </w:r>
      <w:r>
        <w:rPr>
          <w:rStyle w:val="Znakapoznpodarou"/>
        </w:rPr>
        <w:footnoteReference w:id="311"/>
      </w:r>
      <w:r>
        <w:t>, ovšem populární se stala až s</w:t>
      </w:r>
      <w:r w:rsidR="00874573">
        <w:t xml:space="preserve"> prudkým </w:t>
      </w:r>
      <w:r>
        <w:t>rozvojem výpočetní techniky</w:t>
      </w:r>
      <w:r w:rsidR="00874573">
        <w:t>,</w:t>
      </w:r>
      <w:r>
        <w:t xml:space="preserve"> a to zejména díky práci Lee a Seung.</w:t>
      </w:r>
      <w:r>
        <w:rPr>
          <w:rStyle w:val="Znakapoznpodarou"/>
        </w:rPr>
        <w:footnoteReference w:id="312"/>
      </w:r>
      <w:r>
        <w:t xml:space="preserve"> NMF metoda byla od té doby použita např. ve spektrální analýze</w:t>
      </w:r>
      <w:r>
        <w:rPr>
          <w:rStyle w:val="Znakapoznpodarou"/>
        </w:rPr>
        <w:footnoteReference w:id="313"/>
      </w:r>
      <w:r>
        <w:t>, pro polyfonní transkripci hudby</w:t>
      </w:r>
      <w:r>
        <w:rPr>
          <w:rStyle w:val="Znakapoznpodarou"/>
        </w:rPr>
        <w:footnoteReference w:id="314"/>
      </w:r>
      <w:r>
        <w:t xml:space="preserve"> nebo také pro t</w:t>
      </w:r>
      <w:r w:rsidR="000D4483">
        <w:t>e</w:t>
      </w:r>
      <w:r>
        <w:t>matické shlukování dokumentů</w:t>
      </w:r>
      <w:r>
        <w:rPr>
          <w:rStyle w:val="Znakapoznpodarou"/>
        </w:rPr>
        <w:footnoteReference w:id="315"/>
      </w:r>
      <w:r>
        <w:t>.</w:t>
      </w:r>
    </w:p>
    <w:p w14:paraId="52F1960F" w14:textId="6EA8122E" w:rsidR="00B82931" w:rsidRDefault="00B82931" w:rsidP="00B82931">
      <w:pPr>
        <w:pStyle w:val="Dalodstavce"/>
      </w:pPr>
      <w:r>
        <w:t>Jelikož se jedná o metody původně designované jako učící se bez učitele, existuje velký zájem na tom jejich výsledky (témata, jejich skladbu a případně přiřazení dokumentům) evaluovat</w:t>
      </w:r>
      <w:r w:rsidR="00874573">
        <w:t>,</w:t>
      </w:r>
      <w:r>
        <w:t xml:space="preserve"> a tedy zjišťovat</w:t>
      </w:r>
      <w:r w:rsidR="00166BFB">
        <w:t xml:space="preserve"> </w:t>
      </w:r>
      <w:r w:rsidR="00874573">
        <w:t>„</w:t>
      </w:r>
      <w:r>
        <w:t xml:space="preserve">přesnost” a </w:t>
      </w:r>
      <w:r w:rsidR="00874573">
        <w:t>„</w:t>
      </w:r>
      <w:r>
        <w:t>kvalitu”</w:t>
      </w:r>
      <w:r w:rsidR="00166BFB">
        <w:t xml:space="preserve"> automaticky získaných výsledků (témat) pro člověka</w:t>
      </w:r>
      <w:r>
        <w:t xml:space="preserve">. Za tímto účelem vznikají metodologické postupy, </w:t>
      </w:r>
      <w:r w:rsidR="00874573">
        <w:t>kterak</w:t>
      </w:r>
      <w:r>
        <w:t xml:space="preserve"> modely hodnotit. Tyto postupy se obvykle dělí na hodnocení algoritmická, hodnocení </w:t>
      </w:r>
      <w:r>
        <w:lastRenderedPageBreak/>
        <w:t>manuální</w:t>
      </w:r>
      <w:r>
        <w:rPr>
          <w:rStyle w:val="Znakapoznpodarou"/>
        </w:rPr>
        <w:footnoteReference w:id="316"/>
      </w:r>
      <w:r>
        <w:t xml:space="preserve"> a případně kombinace těchto kategorií. Oba přístupy mají své výhody a nevýhody, volba je tedy obvykle závislá na cíli, </w:t>
      </w:r>
      <w:r w:rsidR="00874573">
        <w:t>jenž použitím metody sledujeme</w:t>
      </w:r>
      <w:r>
        <w:t xml:space="preserve">. Manuální hodnocení modelů je obvykle časově náročnější a tedy dražší, současně je nutné manuální evaluační experiment navrhnout tak, aby výsledky byly co nejméně subjektivní, tento </w:t>
      </w:r>
      <w:r w:rsidR="00874573">
        <w:t>prvek</w:t>
      </w:r>
      <w:r>
        <w:t xml:space="preserve"> však nelze nikdy zcela eliminovat. Na druhé straně algoritmické metody evaluace jsou z tohoto pohledu jednodušší a objektivnější, což je výhodné pro komparaci modelů, avšak jejich korelace s lidským (manuálním) posouzením kvality a smysluplnosti témat často není jednoznačná a průkazná. Algoritmická hodnocení se pak dále dělí na metriky vnitřního hodnocení</w:t>
      </w:r>
      <w:r>
        <w:rPr>
          <w:rStyle w:val="Znakapoznpodarou"/>
        </w:rPr>
        <w:footnoteReference w:id="317"/>
      </w:r>
      <w:r>
        <w:t xml:space="preserve"> a vnějšího hodnocení</w:t>
      </w:r>
      <w:r>
        <w:rPr>
          <w:rStyle w:val="Znakapoznpodarou"/>
        </w:rPr>
        <w:footnoteReference w:id="318"/>
      </w:r>
      <w:r>
        <w:t>. Evaluace metod modelování témat se dále dělí na metody hodnotící jednotlivá témata jako soubory slov</w:t>
      </w:r>
      <w:r>
        <w:rPr>
          <w:rStyle w:val="Znakapoznpodarou"/>
        </w:rPr>
        <w:footnoteReference w:id="319"/>
      </w:r>
      <w:r>
        <w:t xml:space="preserve"> a metody hodnotící vztah mezi tématy a dokumenty, k nimž jsou přiřazena</w:t>
      </w:r>
      <w:r>
        <w:rPr>
          <w:rStyle w:val="Znakapoznpodarou"/>
        </w:rPr>
        <w:footnoteReference w:id="320"/>
      </w:r>
      <w:r>
        <w:t xml:space="preserve">, což je důležité </w:t>
      </w:r>
      <w:r w:rsidR="00874573">
        <w:t>z toho důvodu</w:t>
      </w:r>
      <w:r>
        <w:t xml:space="preserve">, </w:t>
      </w:r>
      <w:r w:rsidR="00874573">
        <w:t>jak</w:t>
      </w:r>
      <w:r>
        <w:t xml:space="preserve"> bylo prokázáno, že hodnoty těchto dvou kategorií pro konkrétní model nemusí korelovat.</w:t>
      </w:r>
      <w:r>
        <w:rPr>
          <w:rStyle w:val="Znakapoznpodarou"/>
        </w:rPr>
        <w:footnoteReference w:id="321"/>
      </w:r>
      <w:r>
        <w:t xml:space="preserve"> </w:t>
      </w:r>
      <w:r w:rsidR="00874573">
        <w:t>Zjednodušeně řečeno</w:t>
      </w:r>
      <w:r>
        <w:t>, vysoká kvalita témat jako souborů slov neznamená automaticky vysokou přesnost přiřazení těchto témat dokumentům a naopak. I z tohoto důvodu byla v této práci provedena nejprve algoritmická evaluace všech natrénovaných modelů obou metod (LDA, NMF) a poté manuální evaluace vztahu téma-dokument u nejpřesnějšího modelu každé metody.</w:t>
      </w:r>
      <w:r w:rsidR="00874573">
        <w:t xml:space="preserve"> Projevuje se zde i výše diskutovaný rozpor mezi algoritmickým a manuálním hodnocením metody.</w:t>
      </w:r>
    </w:p>
    <w:p w14:paraId="1916AF58" w14:textId="141099B3" w:rsidR="00B82931" w:rsidRDefault="00B82931" w:rsidP="00B82931">
      <w:pPr>
        <w:pStyle w:val="Dalodstavce"/>
      </w:pPr>
      <w:r>
        <w:t>Jednou z užívaných algoritmických metrik vnitřního hodnocení modelování témat je tzv. koherence témat. Tato metrika souhrnně popisuje způsoby hodnocení sémantické soudružnosti slov, která tvoří dané téma. Existuje více druhů těchto koherenčních skóre</w:t>
      </w:r>
      <w:r>
        <w:rPr>
          <w:rStyle w:val="Znakapoznpodarou"/>
        </w:rPr>
        <w:footnoteReference w:id="322"/>
      </w:r>
      <w:r>
        <w:t xml:space="preserve">, v této práci bylo užito koherenční skóre </w:t>
      </w:r>
      <w:r>
        <w:rPr>
          <w:i/>
          <w:iCs/>
        </w:rPr>
        <w:t>CV</w:t>
      </w:r>
      <w:r>
        <w:rPr>
          <w:rStyle w:val="Znakapoznpodarou"/>
        </w:rPr>
        <w:footnoteReference w:id="323"/>
      </w:r>
      <w:r>
        <w:t xml:space="preserve">, které vykázalo nejlepší výsledky při srovnání s </w:t>
      </w:r>
      <w:r>
        <w:lastRenderedPageBreak/>
        <w:t>manuální evaluací témat v původní studii, kde bylo představeno.</w:t>
      </w:r>
      <w:r>
        <w:rPr>
          <w:rStyle w:val="Znakapoznpodarou"/>
        </w:rPr>
        <w:footnoteReference w:id="324"/>
      </w:r>
      <w:r>
        <w:t xml:space="preserve"> Metodika jeho výpočtu je založena na klouzavém okně, segmentaci nejpravděpodobnějších slov a metrice podobnosti slov</w:t>
      </w:r>
      <w:r>
        <w:rPr>
          <w:rStyle w:val="Znakapoznpodarou"/>
        </w:rPr>
        <w:footnoteReference w:id="325"/>
      </w:r>
      <w:r>
        <w:t>, kter</w:t>
      </w:r>
      <w:r w:rsidR="00B07AF1">
        <w:t>á</w:t>
      </w:r>
      <w:r>
        <w:t xml:space="preserve"> využívá </w:t>
      </w:r>
      <w:r w:rsidR="00AB1BC9">
        <w:t xml:space="preserve">tzv. </w:t>
      </w:r>
      <w:r w:rsidR="00106E8C">
        <w:t>normalizovanou vzájemnou bodovou informaci</w:t>
      </w:r>
      <w:r w:rsidR="00106E8C">
        <w:rPr>
          <w:rStyle w:val="Znakapoznpodarou"/>
        </w:rPr>
        <w:footnoteReference w:id="326"/>
      </w:r>
      <w:r>
        <w:t xml:space="preserve"> a kosinové podobnosti. Tento výpočet se aplikuje na nejpravděpodobnější slova definující téma, a celkové skóre se </w:t>
      </w:r>
      <w:r w:rsidR="00874573">
        <w:t xml:space="preserve">pak </w:t>
      </w:r>
      <w:r>
        <w:t>vypočítá jako součet aritmetického průměru všech těchto hodnot.</w:t>
      </w:r>
      <w:r>
        <w:rPr>
          <w:rStyle w:val="Znakapoznpodarou"/>
        </w:rPr>
        <w:footnoteReference w:id="327"/>
      </w:r>
      <w:r>
        <w:t xml:space="preserve"> Koherenční skóre tedy, zjednodušeně</w:t>
      </w:r>
      <w:r w:rsidR="00874573">
        <w:t xml:space="preserve"> řečeno</w:t>
      </w:r>
      <w:r>
        <w:t xml:space="preserve">, vyjadřuje </w:t>
      </w:r>
      <w:r w:rsidR="00874573">
        <w:t>„</w:t>
      </w:r>
      <w:r>
        <w:t xml:space="preserve">smysluplnost” témat, která jsou vygenerována modelem, nedokáže ale ohodnotit kvalitu a přesnost přiřazení těchto témat konkrétním dokumentům (to bude evaluováno </w:t>
      </w:r>
      <w:r w:rsidR="008458FB">
        <w:t xml:space="preserve">doménovými experty </w:t>
      </w:r>
      <w:r>
        <w:t>v další části experimentu).</w:t>
      </w:r>
    </w:p>
    <w:p w14:paraId="0E5163D5" w14:textId="5AEFB0F4" w:rsidR="00B82931" w:rsidRDefault="00B82931" w:rsidP="00B82931">
      <w:pPr>
        <w:pStyle w:val="Dalodstavce"/>
      </w:pPr>
      <w:r>
        <w:t xml:space="preserve">Koherenční skóre jsou často užívána pro porovnávání metod a modelů, v této studii je </w:t>
      </w:r>
      <w:r>
        <w:rPr>
          <w:i/>
          <w:iCs/>
        </w:rPr>
        <w:t>CV</w:t>
      </w:r>
      <w:r>
        <w:t xml:space="preserve"> skóre použito pro porovnání desíti LDA modelů a desíti NMF modelů. Dle relevantní literatury měla NMF metoda lepší výsledky v referovaných studiích, které ale byly provedené na výrazně kratších textech, než v této práci.</w:t>
      </w:r>
      <w:r>
        <w:rPr>
          <w:rStyle w:val="Znakapoznpodarou"/>
        </w:rPr>
        <w:footnoteReference w:id="328"/>
      </w:r>
      <w:r>
        <w:t xml:space="preserve"> A naopak, v</w:t>
      </w:r>
      <w:r w:rsidR="00874573">
        <w:t>e</w:t>
      </w:r>
      <w:r>
        <w:t xml:space="preserve"> studiích provedených na delších textech byla přesnější metoda LDA.</w:t>
      </w:r>
      <w:r>
        <w:rPr>
          <w:rStyle w:val="Znakapoznpodarou"/>
        </w:rPr>
        <w:footnoteReference w:id="329"/>
      </w:r>
      <w:r>
        <w:t xml:space="preserve"> Vzhledem k </w:t>
      </w:r>
      <w:r w:rsidR="00874573">
        <w:t>faktu</w:t>
      </w:r>
      <w:r>
        <w:t xml:space="preserve">, že účelem užití modelování témat v této práci je zlepšení vyhledávání </w:t>
      </w:r>
      <w:r>
        <w:lastRenderedPageBreak/>
        <w:t>rozhodnutí českých soudů</w:t>
      </w:r>
      <w:r>
        <w:rPr>
          <w:rStyle w:val="Znakapoznpodarou"/>
        </w:rPr>
        <w:footnoteReference w:id="330"/>
      </w:r>
      <w:r>
        <w:t>, kritériem, které bude hodnoceno v následně evaluační části, je vztah dokumentů a jim přiřazených témat. Kapacity manuální evaluace metod užitých v této práci jsou ale omezené, proto je nutné vybrat pouze jeden model LDA a jeden NMF; koherenční skóre je pak užito za účelem objektivního výběru nejlepších z modelů.</w:t>
      </w:r>
    </w:p>
    <w:p w14:paraId="43CD7208" w14:textId="32577105" w:rsidR="00535F44" w:rsidRDefault="00535F44">
      <w:pPr>
        <w:pStyle w:val="Nadpis2"/>
        <w:numPr>
          <w:ilvl w:val="1"/>
          <w:numId w:val="14"/>
        </w:numPr>
      </w:pPr>
      <w:bookmarkStart w:id="76" w:name="_Toc126909360"/>
      <w:r>
        <w:t>Trénování LDA a NMF modelů</w:t>
      </w:r>
      <w:bookmarkEnd w:id="76"/>
    </w:p>
    <w:p w14:paraId="5F97AA66" w14:textId="36CD6824" w:rsidR="00535F44" w:rsidRDefault="00535F44" w:rsidP="00535F44">
      <w:pPr>
        <w:pStyle w:val="Odstavec1"/>
      </w:pPr>
      <w:r>
        <w:t xml:space="preserve">Pro tento experiment </w:t>
      </w:r>
      <w:r w:rsidR="003E42D6">
        <w:t>byl také využit</w:t>
      </w:r>
      <w:r>
        <w:t xml:space="preserve"> dataset rozhodnutí Nejvyššího soudu dostupný v rámci </w:t>
      </w:r>
      <w:r w:rsidRPr="00126EDE">
        <w:rPr>
          <w:i/>
          <w:iCs/>
        </w:rPr>
        <w:t>Czech Court Decisions Corpus</w:t>
      </w:r>
      <w:r>
        <w:t xml:space="preserve">. Dataset obsahuje 111 977 rozhodnutí publikovaných od 1. </w:t>
      </w:r>
      <w:r w:rsidR="00BE52F2">
        <w:t>ledna</w:t>
      </w:r>
      <w:r>
        <w:t xml:space="preserve"> 1993 do 30. </w:t>
      </w:r>
      <w:r w:rsidR="00BE52F2">
        <w:t>září</w:t>
      </w:r>
      <w:r>
        <w:t xml:space="preserve"> 2018 v anonymizované verzi. Z </w:t>
      </w:r>
      <w:r w:rsidR="00126EDE">
        <w:t>určeného</w:t>
      </w:r>
      <w:r>
        <w:t xml:space="preserve"> datasetu byla odstraněna sjednocující stanoviska Nejvyššího soudu, protože svojí strukturou i obsahem se významně odlišují od standardních rozhodnutí, pro trénování modelů tedy bylo využito 111 187 rozhodnutí. Obě metody jsou sen</w:t>
      </w:r>
      <w:r w:rsidR="004412EB">
        <w:t>z</w:t>
      </w:r>
      <w:r>
        <w:t>itivní na správné předzpracování dokumentů, proto jsem z rozhodnutí odstranila tzv. metadatové hlavičky (nejsou součástí oficiálního textu rozhodnutí), všechna čísla, interpunkční znaménka a stop slova.</w:t>
      </w:r>
      <w:r>
        <w:rPr>
          <w:rStyle w:val="Znakapoznpodarou"/>
        </w:rPr>
        <w:footnoteReference w:id="331"/>
      </w:r>
      <w:r>
        <w:t xml:space="preserve"> Dále jsem provedla tzv. značkování textu</w:t>
      </w:r>
      <w:r>
        <w:rPr>
          <w:rStyle w:val="Znakapoznpodarou"/>
        </w:rPr>
        <w:footnoteReference w:id="332"/>
      </w:r>
      <w:r>
        <w:t>, což znamená přiřazení slovních druhů jednotlivým slovům</w:t>
      </w:r>
      <w:r w:rsidR="00CD683B">
        <w:t>.</w:t>
      </w:r>
      <w:r>
        <w:t xml:space="preserve"> </w:t>
      </w:r>
      <w:r w:rsidR="00CD683B">
        <w:t>Na základě tohoto značení jsou pak odstraněny všechny ostatní slovní druhy mimo podstatných a přídavných jmen</w:t>
      </w:r>
      <w:r>
        <w:t>. Poté byl tento set slov lemmatizován a byla odstraněna všechna slova kratší než třípísmenná. Na závěr byla všechna písmena změněna na malá. Pro toto předzpracování byla užita Python knihovna spaCy, pro kterou existuje rozšíření ud-pipe obsahující i český korpus.</w:t>
      </w:r>
      <w:r>
        <w:rPr>
          <w:rStyle w:val="Znakapoznpodarou"/>
        </w:rPr>
        <w:footnoteReference w:id="333"/>
      </w:r>
    </w:p>
    <w:p w14:paraId="323C50BE" w14:textId="28E1117E" w:rsidR="00535F44" w:rsidRDefault="00535F44" w:rsidP="00535F44">
      <w:pPr>
        <w:pStyle w:val="Dalodstavce"/>
      </w:pPr>
      <w:r>
        <w:t>Pro trénování modelů LDA a NMF jsme využili implementaci v Python knihovně gensim.</w:t>
      </w:r>
      <w:r>
        <w:rPr>
          <w:rStyle w:val="Znakapoznpodarou"/>
        </w:rPr>
        <w:footnoteReference w:id="334"/>
      </w:r>
      <w:r>
        <w:t xml:space="preserve"> Jedním z parametrů, </w:t>
      </w:r>
      <w:r w:rsidR="00120EE5">
        <w:t>jež</w:t>
      </w:r>
      <w:r>
        <w:t xml:space="preserve"> bylo nutné </w:t>
      </w:r>
      <w:r w:rsidR="00120EE5">
        <w:t xml:space="preserve">dopředu </w:t>
      </w:r>
      <w:r>
        <w:t>urč</w:t>
      </w:r>
      <w:r w:rsidR="00E15402">
        <w:t>i</w:t>
      </w:r>
      <w:r>
        <w:t>t, byla filtrace tzv. extrémů, tedy slov, které se v dokumentech objevují buď příliš často</w:t>
      </w:r>
      <w:r w:rsidR="00120EE5">
        <w:t>,</w:t>
      </w:r>
      <w:r>
        <w:t xml:space="preserve"> a nebo naopak velmi málo. Předpokládá se, že taková slova nenesou důležitý význam. Bylo nastaveno odstranění slov, která se objevují v méně než pěti dokumentech a ve více než polovině dokumentů. </w:t>
      </w:r>
      <w:r w:rsidR="00E15402">
        <w:lastRenderedPageBreak/>
        <w:t>Toto nastavení bylo určeno</w:t>
      </w:r>
      <w:r>
        <w:t xml:space="preserve"> na základě předpokladu, že pokud se nějaký termín objevuje ve více než polovině </w:t>
      </w:r>
      <w:r w:rsidR="00E15402">
        <w:t>rozhodnutí</w:t>
      </w:r>
      <w:r>
        <w:t xml:space="preserve">, objevuje se </w:t>
      </w:r>
      <w:r w:rsidR="00E15402">
        <w:t xml:space="preserve">jak </w:t>
      </w:r>
      <w:r>
        <w:t xml:space="preserve">v občanskoprávních </w:t>
      </w:r>
      <w:r w:rsidR="00E15402">
        <w:t>tak i v</w:t>
      </w:r>
      <w:r>
        <w:t xml:space="preserve"> trestněprávních rozhodnutích Nejvyššího soudu. To znamená, že se bude pravděpodobně jednat o velmi obecný </w:t>
      </w:r>
      <w:r w:rsidR="00E15402">
        <w:t xml:space="preserve">právní </w:t>
      </w:r>
      <w:r>
        <w:t>termín, který neponese specifický význam.</w:t>
      </w:r>
    </w:p>
    <w:p w14:paraId="4EF2596C" w14:textId="32489AB1" w:rsidR="00535F44" w:rsidRDefault="00535F44" w:rsidP="00535F44">
      <w:pPr>
        <w:pStyle w:val="Dalodstavce"/>
      </w:pPr>
      <w:r>
        <w:t xml:space="preserve">Druhým parametrem, který je nutný určit při trénování těchto modelů, je počet témat, která má model </w:t>
      </w:r>
      <w:r w:rsidR="00120EE5">
        <w:t>„</w:t>
      </w:r>
      <w:r>
        <w:t xml:space="preserve">hledat” napříč předloženými dokumenty. </w:t>
      </w:r>
      <w:r w:rsidR="000D4DCD">
        <w:t>Jak bylo uvedeno výše, v</w:t>
      </w:r>
      <w:r>
        <w:t xml:space="preserve"> tomto experimentu bylo natrénováno deset modelů od každé metody s počtem témat </w:t>
      </w:r>
      <w:r>
        <w:rPr>
          <w:i/>
          <w:iCs/>
        </w:rPr>
        <w:t>n = {10, 20, 30, 40, 50, 60, 70, 80, 90, 100}</w:t>
      </w:r>
      <w:r>
        <w:t xml:space="preserve">. Každému modelu pak bylo vypočítáno </w:t>
      </w:r>
      <w:r>
        <w:rPr>
          <w:i/>
          <w:iCs/>
        </w:rPr>
        <w:t>CV</w:t>
      </w:r>
      <w:r>
        <w:t xml:space="preserve"> koherenční skóre. Porovnání modelu dle koherenčního skóre se nachází na následujícím grafu.</w:t>
      </w:r>
    </w:p>
    <w:p w14:paraId="5CE7E64E" w14:textId="4FA029F2" w:rsidR="00535F44" w:rsidRDefault="00535F44" w:rsidP="00535F44">
      <w:pPr>
        <w:pStyle w:val="Dalodstavce"/>
      </w:pPr>
    </w:p>
    <w:p w14:paraId="18630B4E" w14:textId="55379A67" w:rsidR="00937F9A" w:rsidRDefault="0003501B" w:rsidP="008A0629">
      <w:pPr>
        <w:pStyle w:val="Obrzek"/>
      </w:pPr>
      <w:r>
        <w:rPr>
          <w:noProof/>
        </w:rPr>
        <w:drawing>
          <wp:inline distT="0" distB="0" distL="0" distR="0" wp14:anchorId="512B381C" wp14:editId="02146A16">
            <wp:extent cx="4572000" cy="2743200"/>
            <wp:effectExtent l="0" t="0" r="0" b="0"/>
            <wp:docPr id="6" name="Graf 6">
              <a:extLst xmlns:a="http://schemas.openxmlformats.org/drawingml/2006/main">
                <a:ext uri="{FF2B5EF4-FFF2-40B4-BE49-F238E27FC236}">
                  <a16:creationId xmlns:a16="http://schemas.microsoft.com/office/drawing/2014/main" id="{FC961A8A-E9D7-A818-7D75-5B7C95748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AB572FF" w14:textId="7ED96204" w:rsidR="00937F9A" w:rsidRDefault="00937F9A" w:rsidP="008A0629">
      <w:pPr>
        <w:pStyle w:val="Titulek"/>
      </w:pPr>
      <w:bookmarkStart w:id="77" w:name="_Toc126874191"/>
      <w:r>
        <w:t xml:space="preserve">Obr. </w:t>
      </w:r>
      <w:r>
        <w:rPr>
          <w:noProof/>
        </w:rPr>
        <w:fldChar w:fldCharType="begin"/>
      </w:r>
      <w:r>
        <w:rPr>
          <w:noProof/>
        </w:rPr>
        <w:instrText xml:space="preserve"> SEQ Obr. \* ARABIC </w:instrText>
      </w:r>
      <w:r>
        <w:rPr>
          <w:noProof/>
        </w:rPr>
        <w:fldChar w:fldCharType="separate"/>
      </w:r>
      <w:r>
        <w:rPr>
          <w:noProof/>
        </w:rPr>
        <w:t>23</w:t>
      </w:r>
      <w:r>
        <w:rPr>
          <w:noProof/>
        </w:rPr>
        <w:fldChar w:fldCharType="end"/>
      </w:r>
      <w:r>
        <w:t>: Porovnání CV koherenčního skóre pro LDA a NMF modely</w:t>
      </w:r>
      <w:bookmarkEnd w:id="77"/>
    </w:p>
    <w:p w14:paraId="4A30D266" w14:textId="21ECF696" w:rsidR="00535F44" w:rsidRPr="00535F44" w:rsidRDefault="00535F44" w:rsidP="00535F44">
      <w:pPr>
        <w:pStyle w:val="Dalodstavce"/>
        <w:rPr>
          <w:i/>
          <w:iCs/>
        </w:rPr>
      </w:pPr>
    </w:p>
    <w:p w14:paraId="352D99A6" w14:textId="56219BB3" w:rsidR="00535F44" w:rsidRDefault="00535F44" w:rsidP="00535F44">
      <w:pPr>
        <w:pStyle w:val="Dalodstavce"/>
      </w:pPr>
      <w:r>
        <w:t xml:space="preserve">Z přiloženého grafu na Obrázku 1 je patrné, že nejvyšší koherenční skóre bylo zjištěno u LDA modelu s </w:t>
      </w:r>
      <w:r>
        <w:rPr>
          <w:i/>
          <w:iCs/>
        </w:rPr>
        <w:t>n = 30</w:t>
      </w:r>
      <w:r>
        <w:t xml:space="preserve"> tématy a u NMF modelu s </w:t>
      </w:r>
      <w:r>
        <w:rPr>
          <w:i/>
          <w:iCs/>
        </w:rPr>
        <w:t>n = 20</w:t>
      </w:r>
      <w:r>
        <w:t xml:space="preserve"> tématy. Současně lze </w:t>
      </w:r>
      <w:r w:rsidR="0054748D">
        <w:t>pozorovat</w:t>
      </w:r>
      <w:r>
        <w:t>, že koherenční skóre všech modelů NMF jsou vyšší než u všech LDA modelů. Přesné výše koherenčních skóre pro všechny testované modely se nachází v následující tabulce:</w:t>
      </w:r>
    </w:p>
    <w:p w14:paraId="1C177DB7" w14:textId="78F2E797" w:rsidR="00DD6B0F" w:rsidRDefault="00DD6B0F" w:rsidP="00953CD9">
      <w:pPr>
        <w:pStyle w:val="Titulektabulky"/>
      </w:pPr>
      <w:bookmarkStart w:id="78" w:name="_Toc126874213"/>
      <w:r>
        <w:lastRenderedPageBreak/>
        <w:t xml:space="preserve">Tab. </w:t>
      </w:r>
      <w:r>
        <w:rPr>
          <w:noProof/>
        </w:rPr>
        <w:fldChar w:fldCharType="begin"/>
      </w:r>
      <w:r>
        <w:rPr>
          <w:noProof/>
        </w:rPr>
        <w:instrText xml:space="preserve"> SEQ Tab. \* ARABIC </w:instrText>
      </w:r>
      <w:r>
        <w:rPr>
          <w:noProof/>
        </w:rPr>
        <w:fldChar w:fldCharType="separate"/>
      </w:r>
      <w:r>
        <w:rPr>
          <w:noProof/>
        </w:rPr>
        <w:t>9</w:t>
      </w:r>
      <w:r>
        <w:rPr>
          <w:noProof/>
        </w:rPr>
        <w:fldChar w:fldCharType="end"/>
      </w:r>
      <w:r>
        <w:t xml:space="preserve">: </w:t>
      </w:r>
      <w:r w:rsidRPr="00DD6B0F">
        <w:rPr>
          <w:i/>
          <w:iCs/>
        </w:rPr>
        <w:t>CV</w:t>
      </w:r>
      <w:r>
        <w:t xml:space="preserve"> koherenční skóre pro LDA a NMF modely</w:t>
      </w:r>
      <w:bookmarkEnd w:id="78"/>
    </w:p>
    <w:tbl>
      <w:tblPr>
        <w:tblStyle w:val="ZPTabulka"/>
        <w:tblW w:w="0" w:type="auto"/>
        <w:tblLook w:val="04A0" w:firstRow="1" w:lastRow="0" w:firstColumn="1" w:lastColumn="0" w:noHBand="0" w:noVBand="1"/>
      </w:tblPr>
      <w:tblGrid>
        <w:gridCol w:w="2455"/>
        <w:gridCol w:w="2455"/>
        <w:gridCol w:w="2456"/>
      </w:tblGrid>
      <w:tr w:rsidR="00937F9A" w14:paraId="5A2C8D84" w14:textId="77777777" w:rsidTr="00937F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15DFF5F" w14:textId="76A4B280" w:rsidR="00937F9A" w:rsidRPr="00F543B7" w:rsidRDefault="00EF1BAA" w:rsidP="00EE22D1">
            <w:pPr>
              <w:jc w:val="center"/>
              <w:rPr>
                <w:sz w:val="20"/>
                <w:szCs w:val="20"/>
                <w:lang w:eastAsia="sk-SK"/>
              </w:rPr>
            </w:pPr>
            <w:r w:rsidRPr="00F543B7">
              <w:rPr>
                <w:sz w:val="20"/>
                <w:szCs w:val="20"/>
                <w:lang w:eastAsia="sk-SK"/>
              </w:rPr>
              <w:t>Počet témat</w:t>
            </w:r>
          </w:p>
        </w:tc>
        <w:tc>
          <w:tcPr>
            <w:tcW w:w="2455" w:type="dxa"/>
          </w:tcPr>
          <w:p w14:paraId="0E1A9098" w14:textId="617B3CF2" w:rsidR="00937F9A" w:rsidRPr="00F543B7" w:rsidRDefault="00EF1BAA"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F543B7">
              <w:rPr>
                <w:sz w:val="20"/>
                <w:szCs w:val="20"/>
                <w:lang w:eastAsia="sk-SK"/>
              </w:rPr>
              <w:t>LDA model</w:t>
            </w:r>
          </w:p>
        </w:tc>
        <w:tc>
          <w:tcPr>
            <w:tcW w:w="2456" w:type="dxa"/>
          </w:tcPr>
          <w:p w14:paraId="2C29C9B9" w14:textId="164592C7" w:rsidR="00937F9A" w:rsidRPr="00F543B7" w:rsidRDefault="00EF1BAA"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F543B7">
              <w:rPr>
                <w:sz w:val="20"/>
                <w:szCs w:val="20"/>
                <w:lang w:eastAsia="sk-SK"/>
              </w:rPr>
              <w:t>NMF model</w:t>
            </w:r>
          </w:p>
        </w:tc>
      </w:tr>
      <w:tr w:rsidR="00937F9A" w14:paraId="7CFFDC34" w14:textId="77777777" w:rsidTr="0093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7A3DF833" w14:textId="3D3FD5F5" w:rsidR="00937F9A" w:rsidRPr="00F543B7" w:rsidRDefault="00EF1BAA" w:rsidP="00EE22D1">
            <w:pPr>
              <w:jc w:val="center"/>
              <w:rPr>
                <w:sz w:val="20"/>
                <w:szCs w:val="20"/>
                <w:lang w:eastAsia="sk-SK"/>
              </w:rPr>
            </w:pPr>
            <w:r w:rsidRPr="00F543B7">
              <w:rPr>
                <w:sz w:val="20"/>
                <w:szCs w:val="20"/>
                <w:lang w:eastAsia="sk-SK"/>
              </w:rPr>
              <w:t>10</w:t>
            </w:r>
          </w:p>
        </w:tc>
        <w:tc>
          <w:tcPr>
            <w:tcW w:w="2455" w:type="dxa"/>
          </w:tcPr>
          <w:p w14:paraId="3667AC9F" w14:textId="64B753ED"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0,5393</w:t>
            </w:r>
          </w:p>
        </w:tc>
        <w:tc>
          <w:tcPr>
            <w:tcW w:w="2456" w:type="dxa"/>
          </w:tcPr>
          <w:p w14:paraId="42561F69" w14:textId="645F2828"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0,7357</w:t>
            </w:r>
          </w:p>
        </w:tc>
      </w:tr>
      <w:tr w:rsidR="00937F9A" w14:paraId="664F4F0F" w14:textId="77777777" w:rsidTr="00937F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7EAFA7A7" w14:textId="418A7CA3" w:rsidR="00937F9A" w:rsidRPr="00F543B7" w:rsidRDefault="00EF1BAA" w:rsidP="00EE22D1">
            <w:pPr>
              <w:jc w:val="center"/>
              <w:rPr>
                <w:sz w:val="20"/>
                <w:szCs w:val="20"/>
                <w:lang w:eastAsia="sk-SK"/>
              </w:rPr>
            </w:pPr>
            <w:r w:rsidRPr="00F543B7">
              <w:rPr>
                <w:sz w:val="20"/>
                <w:szCs w:val="20"/>
                <w:lang w:eastAsia="sk-SK"/>
              </w:rPr>
              <w:t>20</w:t>
            </w:r>
          </w:p>
        </w:tc>
        <w:tc>
          <w:tcPr>
            <w:tcW w:w="2455" w:type="dxa"/>
          </w:tcPr>
          <w:p w14:paraId="33BFC01C" w14:textId="0E096422"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0,6117</w:t>
            </w:r>
          </w:p>
        </w:tc>
        <w:tc>
          <w:tcPr>
            <w:tcW w:w="2456" w:type="dxa"/>
          </w:tcPr>
          <w:p w14:paraId="5E39B12F" w14:textId="57F0D020"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0,7418</w:t>
            </w:r>
          </w:p>
        </w:tc>
      </w:tr>
      <w:tr w:rsidR="00937F9A" w14:paraId="38B87748" w14:textId="77777777" w:rsidTr="0093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B98DD60" w14:textId="353CEAAE" w:rsidR="00937F9A" w:rsidRPr="00F543B7" w:rsidRDefault="00EF1BAA" w:rsidP="00EE22D1">
            <w:pPr>
              <w:jc w:val="center"/>
              <w:rPr>
                <w:sz w:val="20"/>
                <w:szCs w:val="20"/>
                <w:lang w:eastAsia="sk-SK"/>
              </w:rPr>
            </w:pPr>
            <w:r w:rsidRPr="00F543B7">
              <w:rPr>
                <w:sz w:val="20"/>
                <w:szCs w:val="20"/>
                <w:lang w:eastAsia="sk-SK"/>
              </w:rPr>
              <w:t>30</w:t>
            </w:r>
          </w:p>
        </w:tc>
        <w:tc>
          <w:tcPr>
            <w:tcW w:w="2455" w:type="dxa"/>
          </w:tcPr>
          <w:p w14:paraId="02716713" w14:textId="7523E395"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0,6387</w:t>
            </w:r>
          </w:p>
        </w:tc>
        <w:tc>
          <w:tcPr>
            <w:tcW w:w="2456" w:type="dxa"/>
          </w:tcPr>
          <w:p w14:paraId="538BE40C" w14:textId="27DAE890"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0,7355</w:t>
            </w:r>
          </w:p>
        </w:tc>
      </w:tr>
      <w:tr w:rsidR="00937F9A" w14:paraId="41FDF631" w14:textId="77777777" w:rsidTr="00937F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17C4C440" w14:textId="048FEFB4" w:rsidR="00937F9A" w:rsidRPr="00F543B7" w:rsidRDefault="00EF1BAA" w:rsidP="00EE22D1">
            <w:pPr>
              <w:jc w:val="center"/>
              <w:rPr>
                <w:sz w:val="20"/>
                <w:szCs w:val="20"/>
                <w:lang w:eastAsia="sk-SK"/>
              </w:rPr>
            </w:pPr>
            <w:r w:rsidRPr="00F543B7">
              <w:rPr>
                <w:sz w:val="20"/>
                <w:szCs w:val="20"/>
                <w:lang w:eastAsia="sk-SK"/>
              </w:rPr>
              <w:t>40</w:t>
            </w:r>
          </w:p>
        </w:tc>
        <w:tc>
          <w:tcPr>
            <w:tcW w:w="2455" w:type="dxa"/>
          </w:tcPr>
          <w:p w14:paraId="72A97C7A" w14:textId="375F9C30"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0,6256</w:t>
            </w:r>
          </w:p>
        </w:tc>
        <w:tc>
          <w:tcPr>
            <w:tcW w:w="2456" w:type="dxa"/>
          </w:tcPr>
          <w:p w14:paraId="6B193B1F" w14:textId="0B1606AD"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0,7256</w:t>
            </w:r>
          </w:p>
        </w:tc>
      </w:tr>
      <w:tr w:rsidR="00937F9A" w14:paraId="3AD753FB" w14:textId="77777777" w:rsidTr="0093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46DA9F3A" w14:textId="4E053B11" w:rsidR="00937F9A" w:rsidRPr="00F543B7" w:rsidRDefault="00EF1BAA" w:rsidP="00EE22D1">
            <w:pPr>
              <w:jc w:val="center"/>
              <w:rPr>
                <w:sz w:val="20"/>
                <w:szCs w:val="20"/>
                <w:lang w:eastAsia="sk-SK"/>
              </w:rPr>
            </w:pPr>
            <w:r w:rsidRPr="00F543B7">
              <w:rPr>
                <w:sz w:val="20"/>
                <w:szCs w:val="20"/>
                <w:lang w:eastAsia="sk-SK"/>
              </w:rPr>
              <w:t>50</w:t>
            </w:r>
          </w:p>
        </w:tc>
        <w:tc>
          <w:tcPr>
            <w:tcW w:w="2455" w:type="dxa"/>
          </w:tcPr>
          <w:p w14:paraId="4C1B3D5A" w14:textId="24553CD0"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0,6299</w:t>
            </w:r>
          </w:p>
        </w:tc>
        <w:tc>
          <w:tcPr>
            <w:tcW w:w="2456" w:type="dxa"/>
          </w:tcPr>
          <w:p w14:paraId="4C0D71E6" w14:textId="01B29EE6"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0,7368</w:t>
            </w:r>
          </w:p>
        </w:tc>
      </w:tr>
      <w:tr w:rsidR="00937F9A" w14:paraId="2EF3D19B" w14:textId="77777777" w:rsidTr="00937F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71BD8C56" w14:textId="02D53C42" w:rsidR="00937F9A" w:rsidRPr="00F543B7" w:rsidRDefault="00EF1BAA" w:rsidP="00EE22D1">
            <w:pPr>
              <w:jc w:val="center"/>
              <w:rPr>
                <w:sz w:val="20"/>
                <w:szCs w:val="20"/>
                <w:lang w:eastAsia="sk-SK"/>
              </w:rPr>
            </w:pPr>
            <w:r w:rsidRPr="00F543B7">
              <w:rPr>
                <w:sz w:val="20"/>
                <w:szCs w:val="20"/>
                <w:lang w:eastAsia="sk-SK"/>
              </w:rPr>
              <w:t>60</w:t>
            </w:r>
          </w:p>
        </w:tc>
        <w:tc>
          <w:tcPr>
            <w:tcW w:w="2455" w:type="dxa"/>
          </w:tcPr>
          <w:p w14:paraId="0FBDBC60" w14:textId="2D8C3384"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0,6204</w:t>
            </w:r>
          </w:p>
        </w:tc>
        <w:tc>
          <w:tcPr>
            <w:tcW w:w="2456" w:type="dxa"/>
          </w:tcPr>
          <w:p w14:paraId="7CF06F89" w14:textId="2E1C97CD"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0,72</w:t>
            </w:r>
          </w:p>
        </w:tc>
      </w:tr>
      <w:tr w:rsidR="00937F9A" w14:paraId="1033BA44" w14:textId="77777777" w:rsidTr="0093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5ABD0471" w14:textId="4CC73B5E" w:rsidR="00937F9A" w:rsidRPr="00F543B7" w:rsidRDefault="00EF1BAA" w:rsidP="00EE22D1">
            <w:pPr>
              <w:jc w:val="center"/>
              <w:rPr>
                <w:sz w:val="20"/>
                <w:szCs w:val="20"/>
                <w:lang w:eastAsia="sk-SK"/>
              </w:rPr>
            </w:pPr>
            <w:r w:rsidRPr="00F543B7">
              <w:rPr>
                <w:sz w:val="20"/>
                <w:szCs w:val="20"/>
                <w:lang w:eastAsia="sk-SK"/>
              </w:rPr>
              <w:t>70</w:t>
            </w:r>
          </w:p>
        </w:tc>
        <w:tc>
          <w:tcPr>
            <w:tcW w:w="2455" w:type="dxa"/>
          </w:tcPr>
          <w:p w14:paraId="20605ACA" w14:textId="165FD797"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0,6268</w:t>
            </w:r>
          </w:p>
        </w:tc>
        <w:tc>
          <w:tcPr>
            <w:tcW w:w="2456" w:type="dxa"/>
          </w:tcPr>
          <w:p w14:paraId="2B87B4E7" w14:textId="61992B1D"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0,7348</w:t>
            </w:r>
          </w:p>
        </w:tc>
      </w:tr>
      <w:tr w:rsidR="00937F9A" w14:paraId="2E7DB824" w14:textId="77777777" w:rsidTr="00937F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2B7D8CF5" w14:textId="3C66ED09" w:rsidR="00937F9A" w:rsidRPr="00F543B7" w:rsidRDefault="00EF1BAA" w:rsidP="00EE22D1">
            <w:pPr>
              <w:jc w:val="center"/>
              <w:rPr>
                <w:sz w:val="20"/>
                <w:szCs w:val="20"/>
                <w:lang w:eastAsia="sk-SK"/>
              </w:rPr>
            </w:pPr>
            <w:r w:rsidRPr="00F543B7">
              <w:rPr>
                <w:sz w:val="20"/>
                <w:szCs w:val="20"/>
                <w:lang w:eastAsia="sk-SK"/>
              </w:rPr>
              <w:t>80</w:t>
            </w:r>
          </w:p>
        </w:tc>
        <w:tc>
          <w:tcPr>
            <w:tcW w:w="2455" w:type="dxa"/>
          </w:tcPr>
          <w:p w14:paraId="0A956D12" w14:textId="3AF45E75"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0,629</w:t>
            </w:r>
          </w:p>
        </w:tc>
        <w:tc>
          <w:tcPr>
            <w:tcW w:w="2456" w:type="dxa"/>
          </w:tcPr>
          <w:p w14:paraId="21860BC1" w14:textId="26C51040"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0,7165</w:t>
            </w:r>
          </w:p>
        </w:tc>
      </w:tr>
      <w:tr w:rsidR="00937F9A" w14:paraId="3A5069CE" w14:textId="77777777" w:rsidTr="00937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280E0C6E" w14:textId="0DDC4881" w:rsidR="00937F9A" w:rsidRPr="00F543B7" w:rsidRDefault="00EF1BAA" w:rsidP="00EE22D1">
            <w:pPr>
              <w:jc w:val="center"/>
              <w:rPr>
                <w:sz w:val="20"/>
                <w:szCs w:val="20"/>
                <w:lang w:eastAsia="sk-SK"/>
              </w:rPr>
            </w:pPr>
            <w:r w:rsidRPr="00F543B7">
              <w:rPr>
                <w:sz w:val="20"/>
                <w:szCs w:val="20"/>
                <w:lang w:eastAsia="sk-SK"/>
              </w:rPr>
              <w:t>90</w:t>
            </w:r>
          </w:p>
        </w:tc>
        <w:tc>
          <w:tcPr>
            <w:tcW w:w="2455" w:type="dxa"/>
          </w:tcPr>
          <w:p w14:paraId="3DFF9926" w14:textId="2B730640"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0,6146</w:t>
            </w:r>
          </w:p>
        </w:tc>
        <w:tc>
          <w:tcPr>
            <w:tcW w:w="2456" w:type="dxa"/>
          </w:tcPr>
          <w:p w14:paraId="11A321B2" w14:textId="53A43EFB" w:rsidR="00937F9A" w:rsidRPr="00F543B7" w:rsidRDefault="00F543B7"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F543B7">
              <w:rPr>
                <w:sz w:val="20"/>
                <w:szCs w:val="20"/>
                <w:lang w:eastAsia="sk-SK"/>
              </w:rPr>
              <w:t>0,7202</w:t>
            </w:r>
          </w:p>
        </w:tc>
      </w:tr>
      <w:tr w:rsidR="00937F9A" w14:paraId="08180287" w14:textId="77777777" w:rsidTr="00937F9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39F7C9E5" w14:textId="3796D911" w:rsidR="00937F9A" w:rsidRPr="00F543B7" w:rsidRDefault="00EF1BAA" w:rsidP="00EE22D1">
            <w:pPr>
              <w:jc w:val="center"/>
              <w:rPr>
                <w:sz w:val="20"/>
                <w:szCs w:val="20"/>
                <w:lang w:eastAsia="sk-SK"/>
              </w:rPr>
            </w:pPr>
            <w:r w:rsidRPr="00F543B7">
              <w:rPr>
                <w:sz w:val="20"/>
                <w:szCs w:val="20"/>
                <w:lang w:eastAsia="sk-SK"/>
              </w:rPr>
              <w:t>100</w:t>
            </w:r>
          </w:p>
        </w:tc>
        <w:tc>
          <w:tcPr>
            <w:tcW w:w="2455" w:type="dxa"/>
          </w:tcPr>
          <w:p w14:paraId="720929A9" w14:textId="018C28DF"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0,6086</w:t>
            </w:r>
          </w:p>
        </w:tc>
        <w:tc>
          <w:tcPr>
            <w:tcW w:w="2456" w:type="dxa"/>
          </w:tcPr>
          <w:p w14:paraId="64901F92" w14:textId="382E7815" w:rsidR="00937F9A" w:rsidRPr="00F543B7" w:rsidRDefault="00F543B7" w:rsidP="00EE22D1">
            <w:pPr>
              <w:jc w:val="center"/>
              <w:cnfStyle w:val="000000010000" w:firstRow="0" w:lastRow="0" w:firstColumn="0" w:lastColumn="0" w:oddVBand="0" w:evenVBand="0" w:oddHBand="0" w:evenHBand="1" w:firstRowFirstColumn="0" w:firstRowLastColumn="0" w:lastRowFirstColumn="0" w:lastRowLastColumn="0"/>
              <w:rPr>
                <w:sz w:val="20"/>
                <w:szCs w:val="20"/>
                <w:lang w:eastAsia="sk-SK"/>
              </w:rPr>
            </w:pPr>
            <w:r w:rsidRPr="00F543B7">
              <w:rPr>
                <w:sz w:val="20"/>
                <w:szCs w:val="20"/>
                <w:lang w:eastAsia="sk-SK"/>
              </w:rPr>
              <w:t>0,713</w:t>
            </w:r>
          </w:p>
        </w:tc>
      </w:tr>
    </w:tbl>
    <w:p w14:paraId="4C3E9984" w14:textId="77777777" w:rsidR="00DD6B0F" w:rsidRPr="00EE22D1" w:rsidRDefault="00DD6B0F" w:rsidP="00EE22D1">
      <w:pPr>
        <w:jc w:val="center"/>
        <w:rPr>
          <w:lang w:eastAsia="sk-SK"/>
        </w:rPr>
      </w:pPr>
    </w:p>
    <w:p w14:paraId="49674E59" w14:textId="4C8D51F6" w:rsidR="00535F44" w:rsidRDefault="00535F44" w:rsidP="00AF3740">
      <w:pPr>
        <w:pStyle w:val="Dalodstavce"/>
        <w:ind w:firstLine="0"/>
      </w:pPr>
    </w:p>
    <w:p w14:paraId="40124B3E" w14:textId="2688B890" w:rsidR="00535F44" w:rsidRDefault="00535F44" w:rsidP="00535F44">
      <w:pPr>
        <w:pStyle w:val="Dalodstavce"/>
      </w:pPr>
      <w:r>
        <w:t>V</w:t>
      </w:r>
      <w:r w:rsidR="0054748D">
        <w:t>eškeré</w:t>
      </w:r>
      <w:r>
        <w:t xml:space="preserve"> modely a vygenerovaná témata jsou dostupná jako pyLDAvis</w:t>
      </w:r>
      <w:r>
        <w:rPr>
          <w:rStyle w:val="Znakapoznpodarou"/>
        </w:rPr>
        <w:footnoteReference w:id="335"/>
      </w:r>
      <w:r>
        <w:t xml:space="preserve"> vizualizace na github stránce tohoto dílčího experimentu.</w:t>
      </w:r>
      <w:r>
        <w:rPr>
          <w:rStyle w:val="Znakapoznpodarou"/>
        </w:rPr>
        <w:footnoteReference w:id="336"/>
      </w:r>
      <w:r>
        <w:t xml:space="preserve"> </w:t>
      </w:r>
      <w:r w:rsidR="00DC0F5C">
        <w:t>Vizualice modelů obsahuje také ú</w:t>
      </w:r>
      <w:r>
        <w:t>plný seznam všech témat všech modelů</w:t>
      </w:r>
      <w:r w:rsidR="00DC0F5C">
        <w:t>.</w:t>
      </w:r>
      <w:r>
        <w:t xml:space="preserve"> Obecně jsou koherenční skóre všech testovaných modelů relativně vysoká, např. v komparaci s referovanou prací Rödera a kol.,</w:t>
      </w:r>
      <w:r>
        <w:rPr>
          <w:rStyle w:val="Znakapoznpodarou"/>
        </w:rPr>
        <w:footnoteReference w:id="337"/>
      </w:r>
      <w:r>
        <w:t xml:space="preserve"> což by mělo být předpokladem smysluplných témat, tedy témat složených ze vzájemně sémanticky souvisejících a koherentních slov. Avšak, jak již bylo řečeno výše, toto skóre měří pouze kvalitu témat, ne jejich přiřazení konkrétním dokumentům (</w:t>
      </w:r>
      <w:r w:rsidR="0054748D" w:rsidRPr="0054748D">
        <w:t xml:space="preserve">v tomto případě </w:t>
      </w:r>
      <w:r>
        <w:t>soudním rozhodnutím). Dle některých referovaných studií</w:t>
      </w:r>
      <w:r>
        <w:rPr>
          <w:rStyle w:val="Znakapoznpodarou"/>
        </w:rPr>
        <w:footnoteReference w:id="338"/>
      </w:r>
      <w:r>
        <w:t xml:space="preserve"> je vztah mezi vysokou koherencí témat a </w:t>
      </w:r>
      <w:r>
        <w:lastRenderedPageBreak/>
        <w:t>přesností jejich přiřazení konkrétním dokumentům velmi různorodý a rozhodně nelze deklarovat jasnou korelaci.</w:t>
      </w:r>
    </w:p>
    <w:p w14:paraId="732BFF90" w14:textId="538423F0" w:rsidR="00F40D0C" w:rsidRDefault="00535F44" w:rsidP="00535F44">
      <w:pPr>
        <w:pStyle w:val="Dalodstavce"/>
      </w:pPr>
      <w:r>
        <w:t>Pro ověření, zda daná témata opravdu vyjadřují právní otázky, které jsou v rozhodnutích řešeny, je nutná další kvalitativní evaluace vztahu mezi tématy a dokumenty. Ta proběhla v rámci navazujícího evaluačního experimentu</w:t>
      </w:r>
      <w:r w:rsidR="003E42D6">
        <w:t xml:space="preserve"> s doménovými experty</w:t>
      </w:r>
      <w:r>
        <w:t xml:space="preserve">. V </w:t>
      </w:r>
      <w:r w:rsidR="0054748D">
        <w:t>něm</w:t>
      </w:r>
      <w:r>
        <w:t xml:space="preserve">, jak bude popsáno </w:t>
      </w:r>
      <w:r w:rsidR="0054748D">
        <w:t>níže</w:t>
      </w:r>
      <w:r>
        <w:t>, byl hodnocen vztah přiřazených témat a soudních rozhodnutí. Pro evaluační experiment byly vybrány právě ty dva modely s nejvyšším koherenčním skóre, tedy LDA model s 30 tématy a NMF model s 20 tématy. Z hlediska kategorizace dle van Opijnena a Santos</w:t>
      </w:r>
      <w:r>
        <w:rPr>
          <w:rStyle w:val="Znakapoznpodarou"/>
        </w:rPr>
        <w:footnoteReference w:id="339"/>
      </w:r>
      <w:r>
        <w:t xml:space="preserve"> se jedná o relevanci t</w:t>
      </w:r>
      <w:r w:rsidR="0054748D">
        <w:t>e</w:t>
      </w:r>
      <w:r>
        <w:t xml:space="preserve">matickou. Ta je definována v citované práci jako </w:t>
      </w:r>
      <w:r w:rsidR="0054748D">
        <w:t>„</w:t>
      </w:r>
      <w:r>
        <w:rPr>
          <w:i/>
          <w:iCs/>
        </w:rPr>
        <w:t xml:space="preserve">vztah mezi </w:t>
      </w:r>
      <w:r w:rsidR="0054748D">
        <w:rPr>
          <w:i/>
          <w:iCs/>
        </w:rPr>
        <w:t>tématem</w:t>
      </w:r>
      <w:r>
        <w:rPr>
          <w:i/>
          <w:iCs/>
        </w:rPr>
        <w:t xml:space="preserve"> (konceptem, předmětem) požadavku a informačními objekty získanými o tomto tématu</w:t>
      </w:r>
      <w:r>
        <w:t>”,</w:t>
      </w:r>
      <w:r>
        <w:rPr>
          <w:rStyle w:val="Znakapoznpodarou"/>
        </w:rPr>
        <w:footnoteReference w:id="340"/>
      </w:r>
      <w:r>
        <w:t xml:space="preserve"> a je typická pro klasifikační a kategorizační metody a algoritmy.</w:t>
      </w:r>
    </w:p>
    <w:p w14:paraId="57581FAB" w14:textId="1D9AF5C1" w:rsidR="00535F44" w:rsidRDefault="00535F44">
      <w:pPr>
        <w:pStyle w:val="Nadpis2"/>
        <w:numPr>
          <w:ilvl w:val="1"/>
          <w:numId w:val="14"/>
        </w:numPr>
      </w:pPr>
      <w:bookmarkStart w:id="79" w:name="_Toc126909361"/>
      <w:r>
        <w:t>Evaluační metodologie</w:t>
      </w:r>
      <w:bookmarkEnd w:id="79"/>
    </w:p>
    <w:p w14:paraId="5CD2A72E" w14:textId="214F179A" w:rsidR="00535F44" w:rsidRDefault="00535F44" w:rsidP="00535F44">
      <w:pPr>
        <w:pStyle w:val="Odstavec1"/>
      </w:pPr>
      <w:r>
        <w:t>Evaluace modelování témat je posledním dílčím exp</w:t>
      </w:r>
      <w:r w:rsidR="0054748D">
        <w:t>e</w:t>
      </w:r>
      <w:r>
        <w:t>rimentem provedeným v rámci první fáze evaluačních experimentů. Základní metodologie je zde tedy stejná jako u předchozích dvou experimentů - 26 právních expertů je rozděleno do náhodných dvojic a každá dvojice hodnotí stejná rozhodnutí tak, aby každé bylo hodnoceno právě dvěma experty.</w:t>
      </w:r>
    </w:p>
    <w:p w14:paraId="0138121B" w14:textId="77777777" w:rsidR="00535F44" w:rsidRDefault="00535F44" w:rsidP="00535F44">
      <w:pPr>
        <w:pStyle w:val="Odstavec1"/>
      </w:pPr>
      <w:r>
        <w:t>Rozdílem v tomto evaluačním experimentu je samozřejmě to, co je hodnoceno. Metody modelování témat popsané výše jsou od předchozích dvou metod rozdílné v tom, že generují nové informace o rozhodnutích - témata - a ta jsou předkládána k evaluaci vždy ve vztahu k příslušným soudním rozhodnutím. Prakticky to znamená, že chci zjistit, zda jsou získaná témata.</w:t>
      </w:r>
    </w:p>
    <w:p w14:paraId="43C35A2F" w14:textId="61C12960" w:rsidR="00535F44" w:rsidRDefault="00535F44" w:rsidP="00535F44">
      <w:pPr>
        <w:pStyle w:val="Dalodstavce"/>
      </w:pPr>
      <w:r>
        <w:t>Dle výše popsané metodologie porovnání modelů pomocí koherenčního skóre byly vybrány dva modely (LDA model s 30 tématy a NMF model s 20 tématy) k evaluaci skupinou právních expertů. Základní myšlenkou je ohodnotit relevanci nejpravděpodobnějších témat přiř</w:t>
      </w:r>
      <w:r w:rsidR="0054748D">
        <w:t>aze</w:t>
      </w:r>
      <w:r>
        <w:t xml:space="preserve">ných modely vůči soudním rozhodnutím. Zajímá mě tedy opět vztah mezi tématy a textem soudního rozhodnutí. Jedná se </w:t>
      </w:r>
      <w:r w:rsidR="0054748D">
        <w:t>tak</w:t>
      </w:r>
      <w:r>
        <w:t xml:space="preserve"> o metodologický posun v evaluaci od nejčastějších metod evaluace modelování témat, </w:t>
      </w:r>
      <w:r w:rsidR="0054748D">
        <w:t>jež</w:t>
      </w:r>
      <w:r>
        <w:t xml:space="preserve"> se </w:t>
      </w:r>
      <w:r>
        <w:lastRenderedPageBreak/>
        <w:t>soustředí na témata samotná a slova, ze kterých jsou složena (jako např. v této práci užité koherenční skóre nebo dále tzv. označování témat jedním sjednocujícím výrazem</w:t>
      </w:r>
      <w:r>
        <w:rPr>
          <w:rStyle w:val="Znakapoznpodarou"/>
        </w:rPr>
        <w:footnoteReference w:id="341"/>
      </w:r>
      <w:r>
        <w:t>). Z důvodu maximalizace počtu evaluovaných rozhodnutí jsou právním expertům předkládána soudní rozhodnutí vždy společně s tématy získanými oběma modely současně. Tato metoda současně umožní důvěryhodnější porovnání témat obou modelů, protože je hodnotím</w:t>
      </w:r>
      <w:r w:rsidR="0054748D">
        <w:t>e</w:t>
      </w:r>
      <w:r>
        <w:t xml:space="preserve"> vždy ve vztahu ke stejnému soudnímu rozhodnutí</w:t>
      </w:r>
      <w:r w:rsidR="0054748D">
        <w:t>,</w:t>
      </w:r>
      <w:r>
        <w:t xml:space="preserve"> a to vždy právě dvěma evaluátory.</w:t>
      </w:r>
    </w:p>
    <w:p w14:paraId="3867860E" w14:textId="1C7BA731" w:rsidR="00535F44" w:rsidRDefault="00535F44" w:rsidP="00535F44">
      <w:pPr>
        <w:pStyle w:val="Dalodstavce"/>
      </w:pPr>
      <w:r>
        <w:t>Metodologie evaluace v tomto dílčím experimentu byla inspirována metodou hledání tzv. vetřelce</w:t>
      </w:r>
      <w:r>
        <w:rPr>
          <w:rStyle w:val="Znakapoznpodarou"/>
        </w:rPr>
        <w:footnoteReference w:id="342"/>
      </w:r>
      <w:r>
        <w:t xml:space="preserve"> v seznamu témat přiřazených dokumentu či v seznamu slov, která tvoří konkrétní téma dle toho, kterou úroveň hodnotíme. Tato metodologie byla představena v práci od Chang et al.</w:t>
      </w:r>
      <w:r>
        <w:rPr>
          <w:rStyle w:val="Znakapoznpodarou"/>
        </w:rPr>
        <w:footnoteReference w:id="343"/>
      </w:r>
      <w:r>
        <w:t xml:space="preserve"> a užita např. v diplomové práci Remmitse, kde byla užita taktéž k hodnocení LDA metody aplikované na soudní rozhodnutí.</w:t>
      </w:r>
      <w:r>
        <w:rPr>
          <w:rStyle w:val="Znakapoznpodarou"/>
        </w:rPr>
        <w:footnoteReference w:id="344"/>
      </w:r>
      <w:r>
        <w:t xml:space="preserve"> Podstatou </w:t>
      </w:r>
      <w:r w:rsidR="0054748D">
        <w:t>určené</w:t>
      </w:r>
      <w:r>
        <w:t xml:space="preserve"> metody v kontextu této práce je představení nejvíce pravděpodobných témat přiřazených konkrétnímu dokumentu evaluátorům spolu s jedním tématem s velmi nízkou pravděpodobností </w:t>
      </w:r>
      <w:r w:rsidR="00BD4E00">
        <w:t>–</w:t>
      </w:r>
      <w:r>
        <w:t xml:space="preserve"> tz</w:t>
      </w:r>
      <w:r w:rsidR="00BD4E00">
        <w:t>v.</w:t>
      </w:r>
      <w:r>
        <w:t xml:space="preserve"> vetřelec. Evaluátoři mohou být obvykle tázáni</w:t>
      </w:r>
      <w:r w:rsidR="0054748D">
        <w:t>, aby našli</w:t>
      </w:r>
      <w:r>
        <w:t xml:space="preserve"> mezi předloženými tématy tohoto vetřelce. Výhodou metody je její nízká subjektivita a </w:t>
      </w:r>
      <w:r w:rsidR="0054748D">
        <w:t>snadná</w:t>
      </w:r>
      <w:r>
        <w:t xml:space="preserve"> interpretace výsledků bez nutnosti je dále kvalitativně analyzovat. V tomto dílčím experimentu ale byla </w:t>
      </w:r>
      <w:r w:rsidR="0054748D">
        <w:t>určená</w:t>
      </w:r>
      <w:r>
        <w:t xml:space="preserve"> metodologie lehce modifikována. Důvodem byl účel, pro který byl experiment proveden - a to zjistit, zda jsou témata získaná modely relevantní vůči rozhodnutím a zda by mohla být užita při vyhledávání, klasifikaci či sumarizac</w:t>
      </w:r>
      <w:r w:rsidR="00027D69">
        <w:t>i</w:t>
      </w:r>
      <w:r>
        <w:t xml:space="preserve"> soudních rozhodnutí. V takovém případě úkon vyhledávání vetřelce nevede ke zjištěním, která potřebuji k zodpovězení této výzkumné otázky. </w:t>
      </w:r>
      <w:r w:rsidR="00027D69">
        <w:t>„</w:t>
      </w:r>
      <w:r>
        <w:t>Vetřelecké</w:t>
      </w:r>
      <w:r w:rsidR="00027D69">
        <w:t>“</w:t>
      </w:r>
      <w:r>
        <w:t xml:space="preserve"> téma však bude v tomto evaluačním experimentu využito k porovnání hodnocení s </w:t>
      </w:r>
      <w:r>
        <w:lastRenderedPageBreak/>
        <w:t>ostatními předloženými tématy, které model generuje jako pravděpodobná.</w:t>
      </w:r>
    </w:p>
    <w:p w14:paraId="768E9DC6" w14:textId="69BEDF60" w:rsidR="00535F44" w:rsidRDefault="00535F44" w:rsidP="00535F44">
      <w:pPr>
        <w:pStyle w:val="Dalodstavce"/>
      </w:pPr>
      <w:r>
        <w:t xml:space="preserve">Prakticky je evaluátorům vždy předloženo soudní rozhodnutí a k němu 8 témat představovaných 10 slovy. Jedná se vždy o 4 témata LDA modelu a 4 témata NMF modelu. Z těchto 4 témat jsou u obou metod vždy 3 témata generovaná modelem jako nejpravděpodobnější a jedno nejméně pravděpodobné (vetřelec). Evaluátoři opět nejsou instruováni o detailech týkajících se použitých metod či vetřelce. Jsou pouze instruováni hodnotit relevanci předložených témat, každého zvlášť, vůči rozhodnutí (zda konkrétní téma vyjadřuje právní otázku řešenou v rozhodnutí). Relevanci hodnotí opět na škále od </w:t>
      </w:r>
      <w:r w:rsidR="00027D69">
        <w:t>„</w:t>
      </w:r>
      <w:r>
        <w:t>6 - nejvíce relevantní</w:t>
      </w:r>
      <w:r w:rsidR="00027D69">
        <w:t>“</w:t>
      </w:r>
      <w:r>
        <w:t xml:space="preserve"> po </w:t>
      </w:r>
      <w:r w:rsidR="00027D69">
        <w:t>„</w:t>
      </w:r>
      <w:r>
        <w:t>1 - nejméně relevantní</w:t>
      </w:r>
      <w:r w:rsidR="00027D69">
        <w:t>“</w:t>
      </w:r>
      <w:r>
        <w:t>. Evaluátoři poté odpovídají na druhou otázku týkající se stejného soudního rozhodnutí</w:t>
      </w:r>
      <w:r w:rsidR="00027D69">
        <w:t>,</w:t>
      </w:r>
      <w:r>
        <w:t xml:space="preserve"> a to zda by určili některé z témat jako téma definující rozhodnutí - tzv. definiční téma. V </w:t>
      </w:r>
      <w:r w:rsidR="00027D69">
        <w:t>dané</w:t>
      </w:r>
      <w:r>
        <w:t xml:space="preserve"> otázce mohou odpovědět i </w:t>
      </w:r>
      <w:r w:rsidR="00027D69">
        <w:t>„</w:t>
      </w:r>
      <w:r>
        <w:t>žádné z témat”. Soudní rozhodnutí jsou opět vybírána náhodně z celého datasetu rozhodnutí Nejvyššího soudu, nicméně jsou dále kvalitativně analyzována z</w:t>
      </w:r>
      <w:r w:rsidR="00027D69">
        <w:t xml:space="preserve"> toho </w:t>
      </w:r>
      <w:r>
        <w:t>důvodu, aby byla k evaluaci předkládána rozhodnutí, ve kterých soud rozhoduje v meritu věci. Nevhodná rozhodnutí jsou poté nahrazena. Soudní rozhodnutí jsou opět prezentována evaluační skupině prostřednictvím Google Forms formuláře jako celé texty bez hlaviček a čísel jednacích či spisových značek. Všechna témata k hodnocení (LDA i NMF model, pravděpodobná i vetřelci) jsou u každého soudního rozhodnutí náhodně namíchána.</w:t>
      </w:r>
    </w:p>
    <w:p w14:paraId="4696848E" w14:textId="6441D64D" w:rsidR="009A3EA3" w:rsidRDefault="009A3EA3" w:rsidP="00535F44">
      <w:pPr>
        <w:pStyle w:val="Dalodstavce"/>
      </w:pPr>
      <w:r>
        <w:t>Konkrétní znění otázky z evaluačního formuláře bylo následující:</w:t>
      </w:r>
    </w:p>
    <w:p w14:paraId="4CC72E79" w14:textId="72720BB0" w:rsidR="009A3EA3" w:rsidRDefault="009A3EA3" w:rsidP="00535F44">
      <w:pPr>
        <w:pStyle w:val="Dalodstavce"/>
      </w:pPr>
      <w:r>
        <w:t>„</w:t>
      </w:r>
      <w:r w:rsidRPr="009A3EA3">
        <w:rPr>
          <w:i/>
          <w:iCs/>
        </w:rPr>
        <w:t>V tomto dotazníku Vám bude předloženo 6 soudních rozhodnutí a ke každému rozhodnutí 8 témat, každé téma je vyjádřeno právě 10 slovy. Právě dvě otázky se budou týkat každého rozhodnutí. Prosím o přečtení rozhodnutí</w:t>
      </w:r>
      <w:r>
        <w:rPr>
          <w:i/>
          <w:iCs/>
        </w:rPr>
        <w:t xml:space="preserve"> </w:t>
      </w:r>
      <w:r w:rsidRPr="009A3EA3">
        <w:rPr>
          <w:i/>
          <w:iCs/>
        </w:rPr>
        <w:t>a</w:t>
      </w:r>
      <w:r>
        <w:rPr>
          <w:i/>
          <w:iCs/>
        </w:rPr>
        <w:t xml:space="preserve"> </w:t>
      </w:r>
      <w:r w:rsidRPr="009A3EA3">
        <w:rPr>
          <w:i/>
          <w:iCs/>
        </w:rPr>
        <w:t>zodpovězení následujících otázek.</w:t>
      </w:r>
      <w:r>
        <w:rPr>
          <w:i/>
          <w:iCs/>
        </w:rPr>
        <w:t xml:space="preserve"> </w:t>
      </w:r>
      <w:r w:rsidRPr="009A3EA3">
        <w:rPr>
          <w:i/>
          <w:iCs/>
        </w:rPr>
        <w:t>První otázka se týká hodnocení, jak moc relevantní je každé z témat vůči soudnímu rozhodnutí. Hodnocení je následující: nejvíce relevantní je 6 a nejméně 1, známky se mohou opakovat (tzn. je možné zvolit např. více témat jako nejvíce relevantních, tedy 6).</w:t>
      </w:r>
      <w:r>
        <w:rPr>
          <w:i/>
          <w:iCs/>
        </w:rPr>
        <w:t xml:space="preserve"> </w:t>
      </w:r>
      <w:r w:rsidRPr="009A3EA3">
        <w:rPr>
          <w:i/>
          <w:iCs/>
        </w:rPr>
        <w:t>Ke každému rozhodnutí je pak nutné odpovědět druhou otázku, a to, zda byste uvedli některé z témat jako téma definující soudní rozhodnutí (zde lze zvolit i možnost "žádné z uvedených témat")</w:t>
      </w:r>
      <w:r w:rsidRPr="009A3EA3">
        <w:t>.</w:t>
      </w:r>
      <w:r>
        <w:t>“</w:t>
      </w:r>
    </w:p>
    <w:p w14:paraId="5847BB33" w14:textId="2AEBE59C" w:rsidR="00535F44" w:rsidRDefault="00535F44" w:rsidP="00535F44">
      <w:pPr>
        <w:pStyle w:val="Dalodstavce"/>
      </w:pPr>
      <w:r>
        <w:t xml:space="preserve">Jednalo se o poslední dílčí experiment v rámci první fáze evaluačních experimentů a opět z časových a finančních důvodů bylo předloženo každému členu evaluační skupiny právě 6 rozhodnutí s tématy. Takovým to způsobem bylo získáno 78 evaluovaných soudních rozhodnutí a každé </w:t>
      </w:r>
      <w:r>
        <w:lastRenderedPageBreak/>
        <w:t>právě dvěma evaluátory.</w:t>
      </w:r>
      <w:r w:rsidR="009A3EA3">
        <w:t xml:space="preserve"> Výsledky evaluace těchto metod představuji a diskutuji v podkapitole 10.3.</w:t>
      </w:r>
    </w:p>
    <w:p w14:paraId="4BC79046" w14:textId="2C7E1440" w:rsidR="00526B0F" w:rsidRDefault="00526B0F">
      <w:pPr>
        <w:pStyle w:val="Nadpis1"/>
        <w:numPr>
          <w:ilvl w:val="0"/>
          <w:numId w:val="14"/>
        </w:numPr>
      </w:pPr>
      <w:bookmarkStart w:id="80" w:name="_Toc126909362"/>
      <w:r>
        <w:lastRenderedPageBreak/>
        <w:t>Vícevrstvá aplikace metod</w:t>
      </w:r>
      <w:bookmarkEnd w:id="80"/>
    </w:p>
    <w:p w14:paraId="7BDBB0BD" w14:textId="5F60DDCA" w:rsidR="00526B0F" w:rsidRDefault="00526B0F" w:rsidP="00526B0F">
      <w:pPr>
        <w:pStyle w:val="Odstavec1"/>
      </w:pPr>
      <w:r>
        <w:t>Poslední experiment, který odpovídá na výzkumnou otázku 4, je zvolen pra</w:t>
      </w:r>
      <w:r w:rsidR="00027D69">
        <w:t>kticky</w:t>
      </w:r>
      <w:r>
        <w:t xml:space="preserve"> jako kombinace tří metod popsaných v předchozích třech experimentech. Kombinování metod zpracovávání textu je standardním postupem v designu informačních systémů.</w:t>
      </w:r>
      <w:r>
        <w:rPr>
          <w:rStyle w:val="Znakapoznpodarou"/>
        </w:rPr>
        <w:footnoteReference w:id="345"/>
      </w:r>
      <w:r>
        <w:t xml:space="preserve"> V této práci je takový postup nazván jako vícevrstvá aplikace metod, protože metody jsou aplikovány za sebe </w:t>
      </w:r>
      <w:r w:rsidR="00400BB6">
        <w:t>„</w:t>
      </w:r>
      <w:r>
        <w:t xml:space="preserve">ve vrstvách”. Metoda sémantické podobnosti rozhodnutí byla zvolena jako metoda základní a citační analýza a modelování témat jako dodatečné </w:t>
      </w:r>
      <w:r w:rsidR="00400BB6">
        <w:t>„</w:t>
      </w:r>
      <w:r>
        <w:t xml:space="preserve">filtry” informací získaných pomocí modelu sémantické podobnosti. Předpokladem zde </w:t>
      </w:r>
      <w:r w:rsidR="00400BB6">
        <w:t>byla skutečnost</w:t>
      </w:r>
      <w:r>
        <w:t>, že v případě vyhledávání rozhodnutí pomocí dvou metod, které se aplikují po sobě, budou zvýrazněny silné stránky obou metod. Metoda sémantické podobnosti založená na strojovém učení je metoda nejnovější a dle některých srovnávacích studií</w:t>
      </w:r>
      <w:r>
        <w:rPr>
          <w:rStyle w:val="Znakapoznpodarou"/>
        </w:rPr>
        <w:footnoteReference w:id="346"/>
      </w:r>
      <w:r>
        <w:t xml:space="preserve"> poskytuje lepší výsledky než další dvě metody použité v této práci, proto byla zvolena jako</w:t>
      </w:r>
      <w:r w:rsidR="00400BB6">
        <w:t>žto</w:t>
      </w:r>
      <w:r>
        <w:t xml:space="preserve"> metoda základní. Citační analýza (respektive data, která lze díky ní získat) a modelování témat pak byly zvoleny jako metody následně filtrující výsledky ve dvou dílčích oddělených experimentech.</w:t>
      </w:r>
    </w:p>
    <w:p w14:paraId="2A9F9ABA" w14:textId="3929C0AD" w:rsidR="00526B0F" w:rsidRDefault="00526B0F" w:rsidP="00526B0F">
      <w:pPr>
        <w:pStyle w:val="Dalodstavce"/>
      </w:pPr>
      <w:r>
        <w:lastRenderedPageBreak/>
        <w:t xml:space="preserve">V prvním dílčím experimentu je zkombinována sémantická podobnost dle doc2vec modelu s existencí vzájemné citační vazby mezi soudními rozhodnutími a v druhém se stejným přiřazeným tématem k oběma soudním rozhodnutím. Dle této zvolené metodologie je poté </w:t>
      </w:r>
      <w:r w:rsidR="00400BB6">
        <w:t>vybrána</w:t>
      </w:r>
      <w:r>
        <w:t xml:space="preserve"> i evaluační metodologie a konkretizována výzkumná otázka. Budu se tedy opět ptát na to, zda jsou si soudní rozhodnutí v obou dílčích experimentech podobná v právní otázce. </w:t>
      </w:r>
      <w:r w:rsidR="00400BB6">
        <w:t>Také mě</w:t>
      </w:r>
      <w:r>
        <w:t xml:space="preserve"> bude zajímat, zda jsou soudní rozhodnutí, která jsou získána pomocí popsané metodologie, považována evaluační skupinou obecně jako podobnější než rozhodnutí získána </w:t>
      </w:r>
      <w:r w:rsidR="00400BB6">
        <w:t>„</w:t>
      </w:r>
      <w:r>
        <w:t xml:space="preserve">pouze” pomocí doc2vec modelu jako v druhém experimentu. Výsledky </w:t>
      </w:r>
      <w:r w:rsidR="00400BB6">
        <w:t>tak</w:t>
      </w:r>
      <w:r>
        <w:t xml:space="preserve"> budou komparovány s výsledky </w:t>
      </w:r>
      <w:r w:rsidR="00400BB6">
        <w:t xml:space="preserve">z </w:t>
      </w:r>
      <w:r>
        <w:t>předchozích experiment</w:t>
      </w:r>
      <w:r w:rsidR="00400BB6">
        <w:t>ů</w:t>
      </w:r>
      <w:r>
        <w:t>.</w:t>
      </w:r>
    </w:p>
    <w:p w14:paraId="47FF966E" w14:textId="30252AD4" w:rsidR="00526B0F" w:rsidRDefault="00526B0F" w:rsidP="00526B0F">
      <w:pPr>
        <w:pStyle w:val="Dalodstavce"/>
      </w:pPr>
      <w:r>
        <w:t xml:space="preserve">Z důvodu, že je vícevrstvá metodologie založena na metodě doc2vec, </w:t>
      </w:r>
      <w:r w:rsidR="00400BB6">
        <w:t xml:space="preserve">proto </w:t>
      </w:r>
      <w:r>
        <w:t>získáváme sémanticky podobná rozhodnutí, která jsou navíc dodatečně filtrována existencí citační vazby či příslušností k t</w:t>
      </w:r>
      <w:r w:rsidR="00400BB6">
        <w:t>e</w:t>
      </w:r>
      <w:r>
        <w:t>matickému celku. Dle kategorizace podle van Opijnena a Santos</w:t>
      </w:r>
      <w:r>
        <w:rPr>
          <w:rStyle w:val="Znakapoznpodarou"/>
        </w:rPr>
        <w:footnoteReference w:id="347"/>
      </w:r>
      <w:r>
        <w:t xml:space="preserve"> se jedná znovu o algoritmickou relevanci, která je hodnocena skupinou právních expertů.</w:t>
      </w:r>
    </w:p>
    <w:p w14:paraId="38B6B147" w14:textId="36939FCB" w:rsidR="00526B0F" w:rsidRDefault="00526B0F">
      <w:pPr>
        <w:pStyle w:val="Nadpis2"/>
        <w:numPr>
          <w:ilvl w:val="1"/>
          <w:numId w:val="14"/>
        </w:numPr>
      </w:pPr>
      <w:bookmarkStart w:id="81" w:name="_Toc126909363"/>
      <w:r>
        <w:t>Metodologie vícevrstvé aplikace metod</w:t>
      </w:r>
      <w:bookmarkEnd w:id="81"/>
    </w:p>
    <w:p w14:paraId="5865EFC8" w14:textId="7EE78A04" w:rsidR="00526B0F" w:rsidRDefault="00526B0F" w:rsidP="00526B0F">
      <w:pPr>
        <w:pStyle w:val="Odstavec1"/>
      </w:pPr>
      <w:r>
        <w:t xml:space="preserve">Jak bylo uvedeno výše, doc2vec model byl natrénován na datasetu soudních rozhodnutí Nejvyššího soudu dostupném v rámci Czech Court Decisions Corpus 1.0. Stejný dataset byl </w:t>
      </w:r>
      <w:r w:rsidR="007322A3">
        <w:t>z toho důvodu</w:t>
      </w:r>
      <w:r>
        <w:t xml:space="preserve"> použit i v rámci tohoto experimentu, který je založen na stejném modelu.</w:t>
      </w:r>
    </w:p>
    <w:p w14:paraId="18BBEC0A" w14:textId="1498EDC2" w:rsidR="00526B0F" w:rsidRDefault="00526B0F" w:rsidP="00526B0F">
      <w:pPr>
        <w:pStyle w:val="Dalodstavce"/>
      </w:pPr>
      <w:r>
        <w:t>V prvním dílčím experimentu je využit natrénovaný doc2vec model v kombinaci s kosinovou metrikou k vyhledávání sémanticky podobných rozhodnutí Nejvyššího soudu.</w:t>
      </w:r>
      <w:r>
        <w:rPr>
          <w:rStyle w:val="Znakapoznpodarou"/>
        </w:rPr>
        <w:footnoteReference w:id="348"/>
      </w:r>
      <w:r>
        <w:t xml:space="preserve"> Jako dodatečný filtr je zde pak použita informace o vzájemné citaci. Předpokladem je to, že dvě soudní rozhodnutí jsou si podobnější s ohledem na právní otázku, kterou řeší, pokud jsou si sémanticky podobná dle doc2vec modelu a jejich vysoké kosinové podobnosti a navíc se ještě vzájemně citují (směr citace v tomto případě nehraje </w:t>
      </w:r>
      <w:r w:rsidR="007322A3">
        <w:t xml:space="preserve">žádnou </w:t>
      </w:r>
      <w:r>
        <w:t xml:space="preserve">roli). Dodatečná informace o existující citační vazbě mezi podobnými soudními rozhodnutími tedy hraje roli dalšího filtru při vyhledávání podobných rozhodnutí. Pro tuto dodatečnou filtrační vrstvu je </w:t>
      </w:r>
      <w:r>
        <w:lastRenderedPageBreak/>
        <w:t>užit Czech Court Citations Dataset</w:t>
      </w:r>
      <w:r>
        <w:rPr>
          <w:rStyle w:val="Znakapoznpodarou"/>
        </w:rPr>
        <w:footnoteReference w:id="349"/>
      </w:r>
      <w:r>
        <w:t>, který je užit k obohacení získaných rozhodnutí o informaci o existenci společné citační vazby.</w:t>
      </w:r>
    </w:p>
    <w:p w14:paraId="7C5AEBCF" w14:textId="305BC75B" w:rsidR="00526B0F" w:rsidRDefault="00526B0F" w:rsidP="00526B0F">
      <w:pPr>
        <w:pStyle w:val="Dalodstavce"/>
      </w:pPr>
      <w:r>
        <w:t xml:space="preserve">Znamená to tedy, že k původnímu rozhodnutí získáme seznam sémanticky podobných rozhodnutí na základě kosinové podobnosti jejich vektorových reprezentací. </w:t>
      </w:r>
      <w:r w:rsidR="007322A3">
        <w:t>Daný</w:t>
      </w:r>
      <w:r>
        <w:t xml:space="preserve"> seznam je dále obohacen o informaci, zda existuje citační vazba mezi původním rozhodnutím a takto získanými rozhodnutími. Rozhodnutí, kter</w:t>
      </w:r>
      <w:r w:rsidR="007322A3">
        <w:t>á</w:t>
      </w:r>
      <w:r>
        <w:t xml:space="preserve"> neobsahují vzájemnou citační vazbu s původním rozhodnutím jsou vyřazena a získávám seznam sémanticky podobných rozhodnutí se společnou citační vazbou, která jsou dále před</w:t>
      </w:r>
      <w:r w:rsidR="00004D6F">
        <w:t>ložena</w:t>
      </w:r>
      <w:r>
        <w:t xml:space="preserve"> k evaluaci.</w:t>
      </w:r>
    </w:p>
    <w:p w14:paraId="47155C89" w14:textId="48440724" w:rsidR="00526B0F" w:rsidRDefault="00526B0F" w:rsidP="00526B0F">
      <w:pPr>
        <w:pStyle w:val="Dalodstavce"/>
      </w:pPr>
      <w:r>
        <w:t>Ve druhém dílčím experimentu je opět využit doc2vec model s kosinovou metrikou, nicméně získaná sémanticky podobná soudní rozhodnutí jsou obohacena o informaci o přiřazených tématech LDA modelem užitým ve třetím experimentu.</w:t>
      </w:r>
      <w:r>
        <w:rPr>
          <w:rStyle w:val="Znakapoznpodarou"/>
        </w:rPr>
        <w:footnoteReference w:id="350"/>
      </w:r>
      <w:r>
        <w:t xml:space="preserve"> Předpokladem je zde to, že dvě soudní rozhodnutí jsou si podobnější s ohledem na právní otázku, kterou řeší, pokud jsou si sémanticky podobná dle doc2vec modelu a navíc jsou jim přiřazena stejná témata LDA modelem. Informace o přiřazení pravděpodobných témat LDA modelem je tedy opět užita jako další filtr pro získání podobných soudních rozhodnutí. Rozhodnutí získaná doc2vec modelem jako sémanticky nejpodobnější dle kosinové metriky jsou t</w:t>
      </w:r>
      <w:r w:rsidR="00004D6F">
        <w:t>ak</w:t>
      </w:r>
      <w:r>
        <w:t xml:space="preserve"> obohacena o informaci o nejpravděpodobnějších tématech přiřazených LDA modelem, tedy</w:t>
      </w:r>
      <w:r w:rsidR="00004D6F">
        <w:t>,</w:t>
      </w:r>
      <w:r>
        <w:t xml:space="preserve"> zjednodušeně </w:t>
      </w:r>
      <w:r w:rsidR="00004D6F">
        <w:t xml:space="preserve">řečeno, </w:t>
      </w:r>
      <w:r>
        <w:t>o informaci o jejich t</w:t>
      </w:r>
      <w:r w:rsidR="00004D6F">
        <w:t>e</w:t>
      </w:r>
      <w:r>
        <w:t>matickém zařazení. Předpokládám, že stejné t</w:t>
      </w:r>
      <w:r w:rsidR="00004D6F">
        <w:t>e</w:t>
      </w:r>
      <w:r>
        <w:t>matické zařazení dvou rozhodnutí by mělo znamenat větší právní podobnost soudních rozhodnutí.</w:t>
      </w:r>
    </w:p>
    <w:p w14:paraId="198BC2D2" w14:textId="514CA8CC" w:rsidR="00526B0F" w:rsidRDefault="00526B0F" w:rsidP="00526B0F">
      <w:pPr>
        <w:pStyle w:val="Dalodstavce"/>
      </w:pPr>
      <w:r>
        <w:t>Prakticky je tedy jak seznam sémanticky podobných rozhodnutí na základě kosinové podobnosti jejich vektorových reprezentací tak původní rozhodnutí obohaceno o informaci o nejpravděpodobnějším tématu přiřazeném LDA modelem. Z tohoto seznamu jsou pak k evaluaci zvolena dvě rozhodnutí: nejpodobnější se stejným přiřazeným tématem a nejpodobnější s jiným přiřazeným témate</w:t>
      </w:r>
      <w:r w:rsidR="00004D6F">
        <w:t>m,</w:t>
      </w:r>
      <w:r>
        <w:t xml:space="preserve"> a to kvůli komparaci hodnocení.</w:t>
      </w:r>
    </w:p>
    <w:p w14:paraId="1E5AB1DE" w14:textId="6FA431B6" w:rsidR="00526B0F" w:rsidRDefault="00526B0F">
      <w:pPr>
        <w:pStyle w:val="Nadpis2"/>
        <w:numPr>
          <w:ilvl w:val="1"/>
          <w:numId w:val="14"/>
        </w:numPr>
      </w:pPr>
      <w:bookmarkStart w:id="82" w:name="_Toc126909364"/>
      <w:r>
        <w:lastRenderedPageBreak/>
        <w:t>Evaluační metodologie</w:t>
      </w:r>
      <w:bookmarkEnd w:id="82"/>
    </w:p>
    <w:p w14:paraId="0913FB92" w14:textId="286F73D7" w:rsidR="00526B0F" w:rsidRDefault="00526B0F" w:rsidP="00526B0F">
      <w:pPr>
        <w:pStyle w:val="Odstavec1"/>
      </w:pPr>
      <w:r>
        <w:t xml:space="preserve">Evaluace dvou dílčích experimentů v rámci vícevrstvé aplikace metod byla provedena taktéž skupinou právních expertů, nicméně </w:t>
      </w:r>
      <w:r w:rsidR="00004D6F">
        <w:t xml:space="preserve">až </w:t>
      </w:r>
      <w:r>
        <w:t xml:space="preserve">ve druhé fázi evaluačních experimentů. V této fázi se experimentu zúčastnila skupina 20 právních expertů, avšak i v této byl zachován přibližný poměr poloviny soudců a asistentů a poloviny právníků soukromého i veřejného sektoru. Současně v druhé fázi již nebyla hodnocena subjektivita evaluace. Metodologie evaluace byla zvolena tak, aby byla opět co nejpodobnější předchozím experimentům kvůli komparaci. Současně bylo nutné respektovat </w:t>
      </w:r>
      <w:r w:rsidR="00004D6F">
        <w:t>skutečnost</w:t>
      </w:r>
      <w:r>
        <w:t>, že vícevrstvá metodologie je založena na metodě sémantické podobnosti doc2vec, ptám se tedy opět na podobnost právní otázky rozhodnutí a zajímá mě zejména to, jak se v tomto kontextu bude podobnost právní otázky v hodnocení právních expertů lišit od předchozích experimentů.</w:t>
      </w:r>
    </w:p>
    <w:p w14:paraId="2F6BB05B" w14:textId="0E84141F" w:rsidR="00526B0F" w:rsidRDefault="00526B0F" w:rsidP="00526B0F">
      <w:pPr>
        <w:pStyle w:val="Dalodstavce"/>
      </w:pPr>
      <w:r>
        <w:t xml:space="preserve">Evaluátorům byly v této fázi položeny dvě otázky. První se týkala aplikace doc2vec metody a citační analýzy. </w:t>
      </w:r>
      <w:r w:rsidR="003E18AF">
        <w:t>V této otázce evaluátoři hodnotili dvě dvojice rozhodnutí. Vždy rozhodnutí původní a d</w:t>
      </w:r>
      <w:r>
        <w:t xml:space="preserve">le výše popsané metodologie bylo z výsledného seznamu soudních rozhodnutí Nejvyššího soudu vybráno nejpodobnější rozhodnutí s citační vazbou a to bylo předloženo k evaluaci. Otázka zde vedla na hodnocení podobnosti právních otázek původního a získaného rozhodnutí, detaily o metodách nebyly zahrnuty. Podobnost se hodnotila na škále od </w:t>
      </w:r>
      <w:r w:rsidR="00004D6F">
        <w:t>„</w:t>
      </w:r>
      <w:r>
        <w:t>6 - nejvíce podobná právní otázka</w:t>
      </w:r>
      <w:r w:rsidR="00004D6F">
        <w:t>“</w:t>
      </w:r>
      <w:r>
        <w:t xml:space="preserve"> po </w:t>
      </w:r>
      <w:r w:rsidR="00004D6F">
        <w:t>„</w:t>
      </w:r>
      <w:r>
        <w:t>1 - nejméně podobná právní otázka</w:t>
      </w:r>
      <w:r w:rsidR="00004D6F">
        <w:t>“</w:t>
      </w:r>
      <w:r>
        <w:t>.</w:t>
      </w:r>
      <w:r w:rsidR="003E18AF">
        <w:t xml:space="preserve"> Tímto způsobem jsem získala 40 evaluovaných dvojic rozhodnutí.</w:t>
      </w:r>
    </w:p>
    <w:p w14:paraId="51595AEA" w14:textId="3C1667BC" w:rsidR="00526B0F" w:rsidRDefault="00526B0F" w:rsidP="00526B0F">
      <w:pPr>
        <w:pStyle w:val="Dalodstavce"/>
      </w:pPr>
      <w:r>
        <w:t xml:space="preserve">Druhá otázka se týkala doc2vec modelu a LDA metody. Evaluátorům zde bylo předloženo opět původní rozhodnutí a dvě rozhodnutí k evaluaci z výše popsaného seznamu: jedno nejpodobnější dle kosinové podobnosti se stejným přiřazeným tématem a druhé nejpodobnější dle kosinové podobnosti s jiným přiřazeným tématem. Tyto informace opět nebyly evaluátorům známy a rozhodnutí byla náhodně promíchána. Otázka </w:t>
      </w:r>
      <w:r w:rsidR="00580B84">
        <w:t>zase směřovala k ohodnocení</w:t>
      </w:r>
      <w:r>
        <w:t xml:space="preserve"> podobnost</w:t>
      </w:r>
      <w:r w:rsidR="00580B84">
        <w:t>i</w:t>
      </w:r>
      <w:r>
        <w:t xml:space="preserve"> právních otázek původního rozhodnutí a obou získaných rozhodnutí zvlášť na stejné škále od </w:t>
      </w:r>
      <w:r w:rsidR="00004D6F">
        <w:t>„</w:t>
      </w:r>
      <w:r>
        <w:t>6 - nejvíce podobná právní otázka</w:t>
      </w:r>
      <w:r w:rsidR="00004D6F">
        <w:t>“</w:t>
      </w:r>
      <w:r>
        <w:t xml:space="preserve"> po </w:t>
      </w:r>
      <w:r w:rsidR="00004D6F">
        <w:t>„</w:t>
      </w:r>
      <w:r>
        <w:t>1 - nejméně podobná právní otázka</w:t>
      </w:r>
      <w:r w:rsidR="00004D6F">
        <w:t>“</w:t>
      </w:r>
      <w:r>
        <w:t>.</w:t>
      </w:r>
      <w:r w:rsidR="00972EAF">
        <w:t xml:space="preserve"> Takto jsem získala 20 trojic rozhodnutí – vždy jedno původní a dvě přiřazená.</w:t>
      </w:r>
    </w:p>
    <w:p w14:paraId="6C01A443" w14:textId="49A5D436" w:rsidR="00526B0F" w:rsidRDefault="00526B0F" w:rsidP="00526B0F">
      <w:pPr>
        <w:pStyle w:val="Dalodstavce"/>
      </w:pPr>
      <w:r>
        <w:t xml:space="preserve">Stejně jako v předchozích evaluačních experimentech, i zde byl seznam původních rozhodnutí vygenerován náhodně z celého datasetu rozhodnutí Nejvyššího soudu, nicméně opět byl tento seznam </w:t>
      </w:r>
      <w:r w:rsidR="00580B84">
        <w:t xml:space="preserve">znovu </w:t>
      </w:r>
      <w:r>
        <w:lastRenderedPageBreak/>
        <w:t xml:space="preserve">kvalitativně analyzován a rozhodnutí neobsahující argumentaci k meritu věci byla nahrazena dalším náhodným výběrem. Všechna rozhodnutí byla evaluátorům </w:t>
      </w:r>
      <w:r w:rsidR="00580B84">
        <w:t xml:space="preserve">opětovně </w:t>
      </w:r>
      <w:r>
        <w:t>prezentována jako celé texty bez hlaviček a čísel jednacích či spisových značek prostřednictvím Google Forms formulářů.</w:t>
      </w:r>
    </w:p>
    <w:p w14:paraId="0EA05E5F" w14:textId="6CFBFB6B" w:rsidR="009A3EA3" w:rsidRDefault="009A3EA3" w:rsidP="00526B0F">
      <w:pPr>
        <w:pStyle w:val="Dalodstavce"/>
      </w:pPr>
      <w:r>
        <w:t>Konkrétní znění evaluačních otázek bylo následující:</w:t>
      </w:r>
    </w:p>
    <w:p w14:paraId="3E030E58" w14:textId="118E3243" w:rsidR="009A3EA3" w:rsidRPr="009A3EA3" w:rsidRDefault="009A3EA3" w:rsidP="00526B0F">
      <w:pPr>
        <w:pStyle w:val="Dalodstavce"/>
        <w:rPr>
          <w:i/>
          <w:iCs/>
        </w:rPr>
      </w:pPr>
      <w:r>
        <w:t>„</w:t>
      </w:r>
      <w:r w:rsidRPr="009A3EA3">
        <w:rPr>
          <w:i/>
          <w:iCs/>
        </w:rPr>
        <w:t>1. V prvních dvou otázkách bude vždy v zadání uvedeno jedno soudní rozhodnutí Nejvyššího soudu. K tomuto rozhodnutí je v odpovědi přiřazeno pod odkazem druhé rozhodnutí. V obou otázkách je nutné odpovědět na to, jak podobné je rozhodnutí v odpovědi vzhledem k původnímu rozhodnutí v zadání, neboli jak moc se tato rozhodnutí týkají podobné právní otázky. Odpověď je škálovatelná: nejvíce podobné je 6 a nejméně 1.</w:t>
      </w:r>
    </w:p>
    <w:p w14:paraId="19E9184E" w14:textId="32AC88FB" w:rsidR="009A3EA3" w:rsidRDefault="009A3EA3" w:rsidP="00526B0F">
      <w:pPr>
        <w:pStyle w:val="Dalodstavce"/>
      </w:pPr>
      <w:r w:rsidRPr="009A3EA3">
        <w:rPr>
          <w:i/>
          <w:iCs/>
        </w:rPr>
        <w:t>2. Ve třetí otázce se nachází tři rozhodnutí Nejvyššího soudu – jedno rozhodnutí je v zadání a dvě v odpovědích. I v této otázce se hodnotí podobnost právní otázky řešené v rozhodnutích, avšak hodnotí se vždy jednotlivé rozhodnutí v odpovědi vůči rozhodnutí v zadání. Odpověď je škálovatelná: nejvíce podobné je 6 a nejméně 1.</w:t>
      </w:r>
      <w:r>
        <w:t>“</w:t>
      </w:r>
    </w:p>
    <w:p w14:paraId="7B073173" w14:textId="7C26A643" w:rsidR="00217F12" w:rsidRDefault="00217F12" w:rsidP="00526B0F">
      <w:pPr>
        <w:pStyle w:val="Dalodstavce"/>
      </w:pPr>
      <w:r>
        <w:t>Výsledky posledního dílčího experimentu představuji a komparuji s předchozími výsledky v podkapitole 10.4.</w:t>
      </w:r>
    </w:p>
    <w:p w14:paraId="1F641E3E" w14:textId="3BAABF59" w:rsidR="00526B0F" w:rsidRDefault="00526B0F">
      <w:pPr>
        <w:pStyle w:val="Nadpis1"/>
        <w:numPr>
          <w:ilvl w:val="0"/>
          <w:numId w:val="14"/>
        </w:numPr>
      </w:pPr>
      <w:bookmarkStart w:id="83" w:name="_Toc126909365"/>
      <w:r>
        <w:lastRenderedPageBreak/>
        <w:t>Výsledky experimentů a diskuze</w:t>
      </w:r>
      <w:r w:rsidR="00232DE7">
        <w:rPr>
          <w:rStyle w:val="Znakapoznpodarou"/>
        </w:rPr>
        <w:footnoteReference w:id="351"/>
      </w:r>
      <w:bookmarkEnd w:id="83"/>
    </w:p>
    <w:p w14:paraId="5556A842" w14:textId="4C659D62" w:rsidR="00526B0F" w:rsidRDefault="00526B0F" w:rsidP="00526B0F">
      <w:pPr>
        <w:pStyle w:val="Odstavec1"/>
      </w:pPr>
      <w:r>
        <w:t xml:space="preserve">Jak bylo uvedeno v úvodu této práce, cílem </w:t>
      </w:r>
      <w:r w:rsidR="006B1E7A">
        <w:t>mého</w:t>
      </w:r>
      <w:r>
        <w:t xml:space="preserve"> výzkumu bylo zjistit, zda mohou být užité metody zastřešené síťovou analýzou vhodné a použitelné k lepšímu vyhledávání soudních rozhodnutí. Metodou, která má odpovídat na tuto obecnou i dílčí konkrétní výzkumné otázky, je pak manuální evaluace metod skupinou právní</w:t>
      </w:r>
      <w:r w:rsidR="00DE2579">
        <w:t>ků</w:t>
      </w:r>
      <w:r>
        <w:t xml:space="preserve"> z hlediska jejich praktického užití pro úkony vyhledávání soudních rozhodnutí. Velmi zjednodušeně lze říci, že se ptám na to, jak by výsledky jednotlivých metod byly pro právníky přesné v případě, že by užili některou ze zkoumaných metod v praxi k rešerši judikatury. Zajímá mě tedy názor právních expertů</w:t>
      </w:r>
      <w:r w:rsidR="006B1E7A">
        <w:t>,</w:t>
      </w:r>
      <w:r>
        <w:t xml:space="preserve"> zredukovaný do kvantitativního hodnocení jednotlivých metod na škále. Kvantitativní hodnocení na škále bylo zvoleno z důvodu jednodušší interpretace a hlavně možnosti porovnání výsledků, které by u kvalitativního manuálního hodnocení metod nebylo možné (a pokud ano, tak </w:t>
      </w:r>
      <w:r w:rsidR="006B1E7A">
        <w:t xml:space="preserve">jen </w:t>
      </w:r>
      <w:r>
        <w:t>velmi komplikovaně).</w:t>
      </w:r>
    </w:p>
    <w:p w14:paraId="7524C98F" w14:textId="1438C993" w:rsidR="00526B0F" w:rsidRDefault="00526B0F" w:rsidP="00526B0F">
      <w:pPr>
        <w:pStyle w:val="Dalodstavce"/>
      </w:pPr>
      <w:r>
        <w:t>V této kapitole představím výsledky jednotlivých dílčích experimentů. Evaluační experimenty probíhaly ve dvou fázích, jak bylo uvedeno výše, a to zejména z důvodu velké časové náročnosti přípravy a vyhodnocení manuálních evaluací, proto se liší velikost (i složení) evaluačních skupin v první i druhé fázi</w:t>
      </w:r>
      <w:r>
        <w:rPr>
          <w:rStyle w:val="Znakapoznpodarou"/>
        </w:rPr>
        <w:footnoteReference w:id="352"/>
      </w:r>
      <w:r>
        <w:t xml:space="preserve">. Velikostní rozdíl však nepovažuji za významný natolik, aby </w:t>
      </w:r>
      <w:r w:rsidR="006B1E7A">
        <w:t>zkreslil</w:t>
      </w:r>
      <w:r>
        <w:t xml:space="preserve"> interpretaci výsledků experimentů. Současně budu v rámci analýzy výsledků první fáze evaluačních experimentů hodnotit i subjektiv</w:t>
      </w:r>
      <w:r w:rsidR="00F84BB4">
        <w:t>nost</w:t>
      </w:r>
      <w:r>
        <w:t xml:space="preserve"> evaluátorů.</w:t>
      </w:r>
    </w:p>
    <w:p w14:paraId="1F557075" w14:textId="08A43BD7" w:rsidR="00526B0F" w:rsidRDefault="00526B0F" w:rsidP="00526B0F">
      <w:pPr>
        <w:pStyle w:val="Dalodstavce"/>
      </w:pPr>
      <w:r>
        <w:t>Pro vyhodnocení vhodnosti metod, jejich přesnosti a relevance výsledků z hlediska právních expertů použij</w:t>
      </w:r>
      <w:r w:rsidR="006B1E7A">
        <w:t>i</w:t>
      </w:r>
      <w:r>
        <w:t xml:space="preserve"> standardní statistické metriky. Vyhodnocen</w:t>
      </w:r>
      <w:r w:rsidR="006B1E7A">
        <w:t>a</w:t>
      </w:r>
      <w:r>
        <w:t xml:space="preserve"> budou zejména průměrná hodnocení na škále a četnosti udělených hodnocení, u některých dílčích experimentů pak dále i korelac</w:t>
      </w:r>
      <w:r w:rsidR="006B1E7A">
        <w:t>e</w:t>
      </w:r>
      <w:r>
        <w:t xml:space="preserve"> mezi algoritmickými proměnnými, které jsou užity k získávání soudních rozhodnutí v konkrétních experimentech. Na závěr provedu hodnocení subjektiv</w:t>
      </w:r>
      <w:r w:rsidR="00DE2579">
        <w:t>nosti</w:t>
      </w:r>
      <w:r w:rsidR="00DE2579">
        <w:rPr>
          <w:rStyle w:val="Znakapoznpodarou"/>
        </w:rPr>
        <w:footnoteReference w:id="353"/>
      </w:r>
      <w:r>
        <w:t xml:space="preserve">, což je důležité pro podpoření (či vyvrácení) </w:t>
      </w:r>
      <w:r>
        <w:lastRenderedPageBreak/>
        <w:t>významnosti evaluačních výsledků experimentů. Takto získané výsledky budou diskutovány z hlediska kontextu užitých metod i metod hodnocení a budou ukázány i limity metodologie.</w:t>
      </w:r>
    </w:p>
    <w:p w14:paraId="17EB6F37" w14:textId="1D0D724F" w:rsidR="000B5DCC" w:rsidRDefault="000B5DCC">
      <w:pPr>
        <w:pStyle w:val="Nadpis2"/>
        <w:numPr>
          <w:ilvl w:val="1"/>
          <w:numId w:val="14"/>
        </w:numPr>
      </w:pPr>
      <w:bookmarkStart w:id="84" w:name="_Toc126909366"/>
      <w:r>
        <w:t>Výsledky evaluace citační síťové analýzy</w:t>
      </w:r>
      <w:bookmarkEnd w:id="84"/>
    </w:p>
    <w:p w14:paraId="27E70795" w14:textId="19362DF5" w:rsidR="000B5DCC" w:rsidRDefault="000B5DCC" w:rsidP="000B5DCC">
      <w:pPr>
        <w:pStyle w:val="Odstavec1"/>
      </w:pPr>
      <w:r>
        <w:t>V prvním dílčím experimentu byly evaluovány dvě sady soudních rozhodnutí - jedna sada rozhodnutí s nejvyšším authority score a druhá s nulovým authority score. Jednalo se o rozhodnutí Nejvyššího, Nejvyššího správního či Ústavního soudu týkající se autorského zákona, dataset rozhodnutí byl tedy t</w:t>
      </w:r>
      <w:r w:rsidR="00EE49FB">
        <w:t>e</w:t>
      </w:r>
      <w:r>
        <w:t>maticky omezen a tímto způsobem předzpracován (nejednalo se o náhodný výběr, jako v následujících experimentech). Dohromady bylo evaluováno 26 soudních rozhodnutí a každé právě dvěma experty.</w:t>
      </w:r>
    </w:p>
    <w:p w14:paraId="0F1A3DD8" w14:textId="3E37CB00" w:rsidR="000B5DCC" w:rsidRDefault="000B5DCC" w:rsidP="000B5DCC">
      <w:pPr>
        <w:pStyle w:val="Dalodstavce"/>
      </w:pPr>
      <w:r>
        <w:t>Průměrné hodnocení soudních rozhodnutí s nejvyšším a nulovým authority score je uvedeno v následující tabulce</w:t>
      </w:r>
      <w:r w:rsidR="00EE49FB">
        <w:t>.</w:t>
      </w:r>
    </w:p>
    <w:p w14:paraId="6F9E82C4" w14:textId="2916F495" w:rsidR="00EE49FB" w:rsidRDefault="00EE49FB" w:rsidP="00953CD9">
      <w:pPr>
        <w:pStyle w:val="Titulektabulky"/>
      </w:pPr>
      <w:bookmarkStart w:id="85" w:name="_Toc126874214"/>
      <w:r>
        <w:t xml:space="preserve">Tab. </w:t>
      </w:r>
      <w:r>
        <w:rPr>
          <w:noProof/>
        </w:rPr>
        <w:fldChar w:fldCharType="begin"/>
      </w:r>
      <w:r>
        <w:rPr>
          <w:noProof/>
        </w:rPr>
        <w:instrText xml:space="preserve"> SEQ Tab. \* ARABIC </w:instrText>
      </w:r>
      <w:r>
        <w:rPr>
          <w:noProof/>
        </w:rPr>
        <w:fldChar w:fldCharType="separate"/>
      </w:r>
      <w:r>
        <w:rPr>
          <w:noProof/>
        </w:rPr>
        <w:t>10</w:t>
      </w:r>
      <w:r>
        <w:rPr>
          <w:noProof/>
        </w:rPr>
        <w:fldChar w:fldCharType="end"/>
      </w:r>
      <w:r>
        <w:t>: Průměrné hodnocení důležitosti rozhodnutí s nejvyšším a nulovým authority score</w:t>
      </w:r>
      <w:bookmarkEnd w:id="85"/>
    </w:p>
    <w:tbl>
      <w:tblPr>
        <w:tblStyle w:val="ZPTabulka"/>
        <w:tblW w:w="0" w:type="auto"/>
        <w:tblLook w:val="04A0" w:firstRow="1" w:lastRow="0" w:firstColumn="1" w:lastColumn="0" w:noHBand="0" w:noVBand="1"/>
      </w:tblPr>
      <w:tblGrid>
        <w:gridCol w:w="2455"/>
        <w:gridCol w:w="2455"/>
        <w:gridCol w:w="2456"/>
      </w:tblGrid>
      <w:tr w:rsidR="00EE49FB" w:rsidRPr="00EE49FB" w14:paraId="1C6419F2" w14:textId="77777777" w:rsidTr="00EE49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11E74A13" w14:textId="5DFB82FE" w:rsidR="00EE49FB" w:rsidRPr="00EE49FB" w:rsidRDefault="00EE49FB" w:rsidP="00EE22D1">
            <w:pPr>
              <w:jc w:val="center"/>
              <w:rPr>
                <w:sz w:val="20"/>
                <w:szCs w:val="20"/>
                <w:lang w:eastAsia="sk-SK"/>
              </w:rPr>
            </w:pPr>
          </w:p>
        </w:tc>
        <w:tc>
          <w:tcPr>
            <w:tcW w:w="2455" w:type="dxa"/>
          </w:tcPr>
          <w:p w14:paraId="7111805C" w14:textId="4EAC1199" w:rsidR="00EE49FB" w:rsidRPr="00EE49FB" w:rsidRDefault="00EE49FB"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EE49FB">
              <w:rPr>
                <w:sz w:val="20"/>
                <w:szCs w:val="20"/>
                <w:lang w:eastAsia="sk-SK"/>
              </w:rPr>
              <w:t>Rozhodnutí s nejvyšším authority score</w:t>
            </w:r>
          </w:p>
        </w:tc>
        <w:tc>
          <w:tcPr>
            <w:tcW w:w="2456" w:type="dxa"/>
          </w:tcPr>
          <w:p w14:paraId="477631DF" w14:textId="774CB2FE" w:rsidR="00EE49FB" w:rsidRPr="00EE49FB" w:rsidRDefault="00EE49FB"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EE49FB">
              <w:rPr>
                <w:sz w:val="20"/>
                <w:szCs w:val="20"/>
                <w:lang w:eastAsia="sk-SK"/>
              </w:rPr>
              <w:t>Rozhodnutí s nulovým authority score</w:t>
            </w:r>
          </w:p>
        </w:tc>
      </w:tr>
      <w:tr w:rsidR="00EE49FB" w:rsidRPr="00EE49FB" w14:paraId="75507386" w14:textId="77777777" w:rsidTr="00EE49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47441BE6" w14:textId="5F7A89A0" w:rsidR="00EE49FB" w:rsidRPr="00EE49FB" w:rsidRDefault="00EE49FB" w:rsidP="00EE22D1">
            <w:pPr>
              <w:jc w:val="center"/>
              <w:rPr>
                <w:sz w:val="20"/>
                <w:szCs w:val="20"/>
                <w:lang w:eastAsia="sk-SK"/>
              </w:rPr>
            </w:pPr>
            <w:r w:rsidRPr="00EE49FB">
              <w:rPr>
                <w:sz w:val="20"/>
                <w:szCs w:val="20"/>
                <w:lang w:eastAsia="sk-SK"/>
              </w:rPr>
              <w:t>Průměrná hodnota</w:t>
            </w:r>
          </w:p>
        </w:tc>
        <w:tc>
          <w:tcPr>
            <w:tcW w:w="2455" w:type="dxa"/>
          </w:tcPr>
          <w:p w14:paraId="1AEF2F3B" w14:textId="30DC90B6" w:rsidR="00EE49FB" w:rsidRPr="00EE49FB" w:rsidRDefault="00EE49FB"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EE49FB">
              <w:rPr>
                <w:sz w:val="20"/>
                <w:szCs w:val="20"/>
                <w:lang w:eastAsia="sk-SK"/>
              </w:rPr>
              <w:t>3,42</w:t>
            </w:r>
          </w:p>
        </w:tc>
        <w:tc>
          <w:tcPr>
            <w:tcW w:w="2456" w:type="dxa"/>
          </w:tcPr>
          <w:p w14:paraId="64F3BAC1" w14:textId="05065084" w:rsidR="00EE49FB" w:rsidRPr="00EE49FB" w:rsidRDefault="00EE49FB"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EE49FB">
              <w:rPr>
                <w:sz w:val="20"/>
                <w:szCs w:val="20"/>
                <w:lang w:eastAsia="sk-SK"/>
              </w:rPr>
              <w:t>2,73</w:t>
            </w:r>
          </w:p>
        </w:tc>
      </w:tr>
    </w:tbl>
    <w:p w14:paraId="2F0B8D32" w14:textId="77777777" w:rsidR="00EE49FB" w:rsidRPr="00EE49FB" w:rsidRDefault="00EE49FB" w:rsidP="00EE22D1">
      <w:pPr>
        <w:jc w:val="center"/>
        <w:rPr>
          <w:sz w:val="20"/>
          <w:szCs w:val="20"/>
          <w:lang w:eastAsia="sk-SK"/>
        </w:rPr>
      </w:pPr>
    </w:p>
    <w:p w14:paraId="631B6081" w14:textId="3F918EB3" w:rsidR="000B5DCC" w:rsidRDefault="000B5DCC" w:rsidP="00EE49FB">
      <w:pPr>
        <w:pStyle w:val="Dalodstavce"/>
        <w:ind w:firstLine="0"/>
      </w:pPr>
    </w:p>
    <w:p w14:paraId="7ED95CE1" w14:textId="2504B24A" w:rsidR="000B5DCC" w:rsidRDefault="000B5DCC" w:rsidP="000B5DCC">
      <w:pPr>
        <w:pStyle w:val="Dalodstavce"/>
      </w:pPr>
      <w:r>
        <w:t xml:space="preserve">Z průměrných hodnot je patrné, že rozdíl hodnocení důležitosti soudních rozhodnutí s vysokým authority score od nulového je poměrně významný. Avšak, hodnocení důležitosti rozhodnutí s nulovým authority score může být zkresleno </w:t>
      </w:r>
      <w:r w:rsidR="006B1E7A">
        <w:t>skutečností</w:t>
      </w:r>
      <w:r>
        <w:t>, že dataset rozhodnutí použit v tomto dílčím experimentu byl již předzpracován. Znamená to, že všechna soudní rozhodnutí v tomto t</w:t>
      </w:r>
      <w:r w:rsidR="00EE49FB">
        <w:t>e</w:t>
      </w:r>
      <w:r>
        <w:t xml:space="preserve">maticky ohraničeném datasetu byla již subjektivně zpracována a vyhodnocena jako (alespoň </w:t>
      </w:r>
      <w:r w:rsidR="006B1E7A">
        <w:t>přibližně</w:t>
      </w:r>
      <w:r>
        <w:t xml:space="preserve">) důležitá, protože byla zařazena do relevantní judikatury související s autorským zákonem jedním ze tří českých právních informačních systémů. Lze tedy říci, že taková rozhodnutí už jedním filtrem </w:t>
      </w:r>
      <w:r w:rsidR="000C50F3">
        <w:t>„</w:t>
      </w:r>
      <w:r>
        <w:t xml:space="preserve">užitečnosti” či </w:t>
      </w:r>
      <w:r w:rsidR="000C50F3">
        <w:t>„</w:t>
      </w:r>
      <w:r>
        <w:t xml:space="preserve">důležitosti” prošla. I přesto je však průměrné hodnocení důležitosti těchto dvou skupin ve srovnání poměrně rozdílné, lze tedy opatrně </w:t>
      </w:r>
      <w:r w:rsidR="000C50F3">
        <w:t>dedukovat</w:t>
      </w:r>
      <w:r>
        <w:t>, že authority score lze považovat za metriku vhodnou k určení doménově důležitých rozhodnutí.</w:t>
      </w:r>
    </w:p>
    <w:p w14:paraId="73CD22BD" w14:textId="77777777" w:rsidR="000B5DCC" w:rsidRDefault="000B5DCC" w:rsidP="000B5DCC">
      <w:pPr>
        <w:pStyle w:val="Dalodstavce"/>
      </w:pPr>
      <w:r>
        <w:lastRenderedPageBreak/>
        <w:t>Současně je však nutné zdůraznit, že i přes signifikantní rozdíl hodnocení dvou skupin soudních rozhodnutí není hodnocení důležitosti skupiny rozhodnutí s nejvyšším authority score příliš vysoké.</w:t>
      </w:r>
    </w:p>
    <w:p w14:paraId="1FBAA85E" w14:textId="44639EC0" w:rsidR="000B5DCC" w:rsidRDefault="000B5DCC" w:rsidP="000B5DCC">
      <w:pPr>
        <w:pStyle w:val="Dalodstavce"/>
      </w:pPr>
      <w:r>
        <w:t>Frekvence jednotlivých udělených hodnocení důležitosti pro obě skupiny soudních rozhodnutí j</w:t>
      </w:r>
      <w:r w:rsidR="002D6DCC">
        <w:t>sou</w:t>
      </w:r>
      <w:r>
        <w:t xml:space="preserve"> uvedena v následujících diagramech:</w:t>
      </w:r>
    </w:p>
    <w:p w14:paraId="3F90B86A" w14:textId="61413CB2" w:rsidR="00D64DE6" w:rsidRDefault="00D64DE6" w:rsidP="008A0629">
      <w:pPr>
        <w:pStyle w:val="Obrzek"/>
      </w:pPr>
      <w:r>
        <w:rPr>
          <w:noProof/>
        </w:rPr>
        <w:drawing>
          <wp:inline distT="0" distB="0" distL="0" distR="0" wp14:anchorId="13E51EB8" wp14:editId="57D8365C">
            <wp:extent cx="3895725" cy="2743200"/>
            <wp:effectExtent l="0" t="0" r="9525" b="0"/>
            <wp:docPr id="10" name="Graf 10">
              <a:extLst xmlns:a="http://schemas.openxmlformats.org/drawingml/2006/main">
                <a:ext uri="{FF2B5EF4-FFF2-40B4-BE49-F238E27FC236}">
                  <a16:creationId xmlns:a16="http://schemas.microsoft.com/office/drawing/2014/main" id="{F9F0ABC2-FFAB-451C-A447-C09C7CE49D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DFF7E18" w14:textId="53E63A0A" w:rsidR="00D64DE6" w:rsidRDefault="00D64DE6" w:rsidP="008A0629">
      <w:pPr>
        <w:pStyle w:val="Titulek"/>
      </w:pPr>
      <w:bookmarkStart w:id="86" w:name="_Toc126874192"/>
      <w:r>
        <w:t xml:space="preserve">Obr. </w:t>
      </w:r>
      <w:r>
        <w:rPr>
          <w:noProof/>
        </w:rPr>
        <w:fldChar w:fldCharType="begin"/>
      </w:r>
      <w:r>
        <w:rPr>
          <w:noProof/>
        </w:rPr>
        <w:instrText xml:space="preserve"> SEQ Obr. \* ARABIC </w:instrText>
      </w:r>
      <w:r>
        <w:rPr>
          <w:noProof/>
        </w:rPr>
        <w:fldChar w:fldCharType="separate"/>
      </w:r>
      <w:r>
        <w:rPr>
          <w:noProof/>
        </w:rPr>
        <w:t>24</w:t>
      </w:r>
      <w:r>
        <w:rPr>
          <w:noProof/>
        </w:rPr>
        <w:fldChar w:fldCharType="end"/>
      </w:r>
      <w:r>
        <w:t>: Frekvence hodnocení důležitosti rozhodnutí s nejvyšším</w:t>
      </w:r>
      <w:r w:rsidR="00DB0F93">
        <w:t>i</w:t>
      </w:r>
      <w:r>
        <w:t xml:space="preserve"> authority score</w:t>
      </w:r>
      <w:r w:rsidR="00DB0F93">
        <w:t>s</w:t>
      </w:r>
      <w:bookmarkEnd w:id="86"/>
    </w:p>
    <w:p w14:paraId="478CA78E" w14:textId="0D20C9B3" w:rsidR="00D64DE6" w:rsidRDefault="00D64DE6" w:rsidP="008A0629">
      <w:pPr>
        <w:pStyle w:val="Obrzek"/>
      </w:pPr>
      <w:r>
        <w:rPr>
          <w:noProof/>
        </w:rPr>
        <w:drawing>
          <wp:inline distT="0" distB="0" distL="0" distR="0" wp14:anchorId="7058E87C" wp14:editId="1DDBCCEB">
            <wp:extent cx="3457575" cy="2743200"/>
            <wp:effectExtent l="0" t="0" r="9525" b="0"/>
            <wp:docPr id="14" name="Graf 14">
              <a:extLst xmlns:a="http://schemas.openxmlformats.org/drawingml/2006/main">
                <a:ext uri="{FF2B5EF4-FFF2-40B4-BE49-F238E27FC236}">
                  <a16:creationId xmlns:a16="http://schemas.microsoft.com/office/drawing/2014/main" id="{5405C899-EAD5-4489-9A14-15205C125B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967B397" w14:textId="2F052BF5" w:rsidR="000B5DCC" w:rsidRDefault="00D64DE6" w:rsidP="00F84BB4">
      <w:pPr>
        <w:pStyle w:val="Titulek"/>
      </w:pPr>
      <w:bookmarkStart w:id="87" w:name="_Toc126874193"/>
      <w:r>
        <w:t xml:space="preserve">Obr. </w:t>
      </w:r>
      <w:r>
        <w:rPr>
          <w:noProof/>
        </w:rPr>
        <w:fldChar w:fldCharType="begin"/>
      </w:r>
      <w:r>
        <w:rPr>
          <w:noProof/>
        </w:rPr>
        <w:instrText xml:space="preserve"> SEQ Obr. \* ARABIC </w:instrText>
      </w:r>
      <w:r>
        <w:rPr>
          <w:noProof/>
        </w:rPr>
        <w:fldChar w:fldCharType="separate"/>
      </w:r>
      <w:r>
        <w:rPr>
          <w:noProof/>
        </w:rPr>
        <w:t>25</w:t>
      </w:r>
      <w:r>
        <w:rPr>
          <w:noProof/>
        </w:rPr>
        <w:fldChar w:fldCharType="end"/>
      </w:r>
      <w:r>
        <w:t>: Frekvence hodnocení důležitosti rozhodnutí s nulovým</w:t>
      </w:r>
      <w:r w:rsidR="00DB0F93">
        <w:t>i</w:t>
      </w:r>
      <w:r>
        <w:t xml:space="preserve"> authority score</w:t>
      </w:r>
      <w:r w:rsidR="00DB0F93">
        <w:t>s</w:t>
      </w:r>
      <w:bookmarkEnd w:id="87"/>
    </w:p>
    <w:p w14:paraId="026A7DD4" w14:textId="1A77B9D7" w:rsidR="000B5DCC" w:rsidRDefault="000B5DCC" w:rsidP="000B5DCC">
      <w:pPr>
        <w:pStyle w:val="Dalodstavce"/>
      </w:pPr>
      <w:r>
        <w:lastRenderedPageBreak/>
        <w:t>Četnost různých hodnocení se výrazně liší v případě rozhodnutí s nejvyššími hodnotami autority, kde vyšší hodnocení (4, 5 nebo 6 bodů) tvoří polovinu hodnocení ve srovnání s rozhodnutími s nulovými hodnotami autority, kde vyšší hodnocení tvoří jen o něco více než čtvrtinu všech hodnocení. Tyto údaje potvrzují výše uvedený závěr o vhodnosti užití authority score pro identifikaci důležitých rozhodnutí při vyhledávání soudních rozhodnutí.</w:t>
      </w:r>
    </w:p>
    <w:p w14:paraId="4A69E1A4" w14:textId="20D7F7A4" w:rsidR="000B5DCC" w:rsidRDefault="000B5DCC" w:rsidP="000B5DCC">
      <w:pPr>
        <w:pStyle w:val="Dalodstavce"/>
      </w:pPr>
      <w:r>
        <w:t>Další analyzov</w:t>
      </w:r>
      <w:r w:rsidR="008442A4">
        <w:t>a</w:t>
      </w:r>
      <w:r>
        <w:t xml:space="preserve">nou hodnotou byla v tomto dílčím experimentu korelace authority score a hodnocení jednotlivých soudních rozhodnutí. Na základě příslušné literatury a způsobu výpočtu authority score jsem předpokládala, že vyšší skóre autority znamená vyšší právní význam rozhodnutí a že by se tento trend měl projevit i tzv. na škále a ne jen v průměrném hodnocení obou skupin soudních rozhodnutí. Pearsonův korelační koeficient je však 0,22, což znamená velmi nízkou korelaci těchto dvou metrik. </w:t>
      </w:r>
      <w:r w:rsidR="008442A4">
        <w:t>V</w:t>
      </w:r>
      <w:r>
        <w:t>ýsledek však není úplně překvapivým. Pro adekvátní zjišťování korelace je vhodnější mít hodnoty celého spektra zkoumané veličiny, to znamená ideálně celého spektra authority score pro daný soubor rozhodnutí, ne pouze nejvyšší a nejnižší (nulové) hodnoty. Navíc je authority score obecně nízké u všech rozhodnutí Nejvyšší</w:t>
      </w:r>
      <w:r w:rsidR="008442A4">
        <w:t>ho</w:t>
      </w:r>
      <w:r>
        <w:t>, Nejvyššího správního a Ústavního soudu, jak vyplývá z referovaného výzkumu</w:t>
      </w:r>
      <w:r>
        <w:rPr>
          <w:rStyle w:val="Znakapoznpodarou"/>
        </w:rPr>
        <w:footnoteReference w:id="354"/>
      </w:r>
      <w:r>
        <w:t xml:space="preserve">, což souvisí s tím, že citační síť soudních rozhodnutí uvedených </w:t>
      </w:r>
      <w:r w:rsidR="008442A4">
        <w:t xml:space="preserve">českých </w:t>
      </w:r>
      <w:r>
        <w:t xml:space="preserve">soudů má nízkou hustotu. Proto existuje velké množství rozhodnutí s velmi nízkým nebo nulovým authority score a jen několik rozhodnutí s vyšším authority score, </w:t>
      </w:r>
      <w:r w:rsidR="008442A4">
        <w:t>a to</w:t>
      </w:r>
      <w:r>
        <w:t xml:space="preserve"> ovlivňuje tento experiment. Přestože u jedné kategorie rozhodnutí bylo authority score nulové, stále byla vyhodnocena jako relativně důležitá. To, že je korelační koeficient pro soudní rozhodnutí s nejvyšším authority score tedy nízký</w:t>
      </w:r>
      <w:r w:rsidR="008442A4">
        <w:t>,</w:t>
      </w:r>
      <w:r>
        <w:t xml:space="preserve"> není samo o sobě překvapující a významně to neovlivňuje objektivní interpretaci hodnocení důležitosti rozhodnutí.</w:t>
      </w:r>
    </w:p>
    <w:p w14:paraId="3098F3E9" w14:textId="19799E6E" w:rsidR="000B5DCC" w:rsidRDefault="000B5DCC">
      <w:pPr>
        <w:pStyle w:val="Nadpis2"/>
        <w:numPr>
          <w:ilvl w:val="1"/>
          <w:numId w:val="14"/>
        </w:numPr>
      </w:pPr>
      <w:bookmarkStart w:id="88" w:name="_Toc126909367"/>
      <w:r>
        <w:t>Výsledky evaluace doc2vec modelu</w:t>
      </w:r>
      <w:bookmarkEnd w:id="88"/>
    </w:p>
    <w:p w14:paraId="5B81D822" w14:textId="14D2DA91" w:rsidR="000B5DCC" w:rsidRDefault="000B5DCC" w:rsidP="000B5DCC">
      <w:pPr>
        <w:pStyle w:val="Odstavec1"/>
      </w:pPr>
      <w:r>
        <w:t xml:space="preserve">Ve druhém dílčím experimentu byla skupinou právních expertů hodnocena podobnost právní otázky rozhodnutí Nejvyššího soudu. Nejprve jsem se </w:t>
      </w:r>
      <w:r w:rsidR="008442A4">
        <w:t xml:space="preserve">znovu </w:t>
      </w:r>
      <w:r>
        <w:t xml:space="preserve">zajímala o průměrné hodnocení podobnosti. V tomto experimentu byly zvlášť vyhodnocovány průměrné hodnoty hodnocení </w:t>
      </w:r>
      <w:r>
        <w:lastRenderedPageBreak/>
        <w:t xml:space="preserve">pro soubor nejpodobnějších rozhodnutí získané doc2vec modelem a soubor desátých nejpodobnějších rozhodnutí, dle metodologie popsané v </w:t>
      </w:r>
      <w:r w:rsidR="00402431">
        <w:t>pod</w:t>
      </w:r>
      <w:r>
        <w:t xml:space="preserve">kapitole 7.2. Právní experti v tomto experimentu hodnotili podobnost právních otázek předložených rozhodnutí. Obecně je průměrná hodnota poměrně vysoká a rozdíl mezi hodnocením prvního a desátého podobného rozhodnutí je patrný, jak lze </w:t>
      </w:r>
      <w:r w:rsidR="008442A4">
        <w:t>pozorovat</w:t>
      </w:r>
      <w:r>
        <w:t xml:space="preserve"> v následující tabulce výsledků:</w:t>
      </w:r>
    </w:p>
    <w:p w14:paraId="3AABF579" w14:textId="09BBBE96" w:rsidR="007C687B" w:rsidRDefault="007C687B" w:rsidP="00953CD9">
      <w:pPr>
        <w:pStyle w:val="Titulektabulky"/>
      </w:pPr>
      <w:bookmarkStart w:id="89" w:name="_Toc126874215"/>
      <w:r>
        <w:t xml:space="preserve">Tab. </w:t>
      </w:r>
      <w:r>
        <w:rPr>
          <w:noProof/>
        </w:rPr>
        <w:fldChar w:fldCharType="begin"/>
      </w:r>
      <w:r>
        <w:rPr>
          <w:noProof/>
        </w:rPr>
        <w:instrText xml:space="preserve"> SEQ Tab. \* ARABIC </w:instrText>
      </w:r>
      <w:r>
        <w:rPr>
          <w:noProof/>
        </w:rPr>
        <w:fldChar w:fldCharType="separate"/>
      </w:r>
      <w:r>
        <w:rPr>
          <w:noProof/>
        </w:rPr>
        <w:t>11</w:t>
      </w:r>
      <w:r>
        <w:rPr>
          <w:noProof/>
        </w:rPr>
        <w:fldChar w:fldCharType="end"/>
      </w:r>
      <w:r>
        <w:t>: Průměrná hodnocení podobnosti rozhodnutí získaných doc2vec modelem</w:t>
      </w:r>
      <w:bookmarkEnd w:id="89"/>
    </w:p>
    <w:tbl>
      <w:tblPr>
        <w:tblStyle w:val="ZPTabulka"/>
        <w:tblW w:w="0" w:type="auto"/>
        <w:tblLook w:val="04A0" w:firstRow="1" w:lastRow="0" w:firstColumn="1" w:lastColumn="0" w:noHBand="0" w:noVBand="1"/>
      </w:tblPr>
      <w:tblGrid>
        <w:gridCol w:w="2455"/>
        <w:gridCol w:w="2455"/>
        <w:gridCol w:w="2456"/>
      </w:tblGrid>
      <w:tr w:rsidR="007C687B" w14:paraId="75580AB4" w14:textId="77777777" w:rsidTr="007C68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65FF5F8C" w14:textId="77777777" w:rsidR="007C687B" w:rsidRDefault="007C687B" w:rsidP="00953CD9">
            <w:pPr>
              <w:pStyle w:val="Titulektabulky"/>
            </w:pPr>
          </w:p>
        </w:tc>
        <w:tc>
          <w:tcPr>
            <w:tcW w:w="2455" w:type="dxa"/>
          </w:tcPr>
          <w:p w14:paraId="110168A3" w14:textId="29F811EC" w:rsidR="007C687B" w:rsidRDefault="007C687B" w:rsidP="00953CD9">
            <w:pPr>
              <w:pStyle w:val="Titulektabulky"/>
              <w:cnfStyle w:val="100000000000" w:firstRow="1" w:lastRow="0" w:firstColumn="0" w:lastColumn="0" w:oddVBand="0" w:evenVBand="0" w:oddHBand="0" w:evenHBand="0" w:firstRowFirstColumn="0" w:firstRowLastColumn="0" w:lastRowFirstColumn="0" w:lastRowLastColumn="0"/>
            </w:pPr>
            <w:r>
              <w:t>Nejpodobnější rozhodnutí</w:t>
            </w:r>
          </w:p>
        </w:tc>
        <w:tc>
          <w:tcPr>
            <w:tcW w:w="2456" w:type="dxa"/>
          </w:tcPr>
          <w:p w14:paraId="7E17E278" w14:textId="5E90BD7A" w:rsidR="007C687B" w:rsidRDefault="007C687B" w:rsidP="00953CD9">
            <w:pPr>
              <w:pStyle w:val="Titulektabulky"/>
              <w:cnfStyle w:val="100000000000" w:firstRow="1" w:lastRow="0" w:firstColumn="0" w:lastColumn="0" w:oddVBand="0" w:evenVBand="0" w:oddHBand="0" w:evenHBand="0" w:firstRowFirstColumn="0" w:firstRowLastColumn="0" w:lastRowFirstColumn="0" w:lastRowLastColumn="0"/>
            </w:pPr>
            <w:r>
              <w:t>10. nejpodobnější rozhodnutí</w:t>
            </w:r>
          </w:p>
        </w:tc>
      </w:tr>
      <w:tr w:rsidR="007C687B" w14:paraId="3A1965E1" w14:textId="77777777" w:rsidTr="007C68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4D9F97FF" w14:textId="57FD89AE" w:rsidR="007C687B" w:rsidRDefault="007C687B" w:rsidP="00953CD9">
            <w:pPr>
              <w:pStyle w:val="Titulektabulky"/>
            </w:pPr>
            <w:r>
              <w:t>Průměrná hodnota</w:t>
            </w:r>
          </w:p>
        </w:tc>
        <w:tc>
          <w:tcPr>
            <w:tcW w:w="2455" w:type="dxa"/>
          </w:tcPr>
          <w:p w14:paraId="7E96EE2B" w14:textId="6B3A12E7" w:rsidR="007C687B" w:rsidRDefault="007C687B" w:rsidP="00953CD9">
            <w:pPr>
              <w:pStyle w:val="Titulektabulky"/>
              <w:cnfStyle w:val="000000100000" w:firstRow="0" w:lastRow="0" w:firstColumn="0" w:lastColumn="0" w:oddVBand="0" w:evenVBand="0" w:oddHBand="1" w:evenHBand="0" w:firstRowFirstColumn="0" w:firstRowLastColumn="0" w:lastRowFirstColumn="0" w:lastRowLastColumn="0"/>
            </w:pPr>
            <w:r>
              <w:t>3,58</w:t>
            </w:r>
          </w:p>
        </w:tc>
        <w:tc>
          <w:tcPr>
            <w:tcW w:w="2456" w:type="dxa"/>
          </w:tcPr>
          <w:p w14:paraId="7F3BF455" w14:textId="06411577" w:rsidR="007C687B" w:rsidRDefault="007C687B" w:rsidP="00953CD9">
            <w:pPr>
              <w:pStyle w:val="Titulektabulky"/>
              <w:cnfStyle w:val="000000100000" w:firstRow="0" w:lastRow="0" w:firstColumn="0" w:lastColumn="0" w:oddVBand="0" w:evenVBand="0" w:oddHBand="1" w:evenHBand="0" w:firstRowFirstColumn="0" w:firstRowLastColumn="0" w:lastRowFirstColumn="0" w:lastRowLastColumn="0"/>
            </w:pPr>
            <w:r>
              <w:t>3,12</w:t>
            </w:r>
          </w:p>
        </w:tc>
      </w:tr>
    </w:tbl>
    <w:p w14:paraId="2E52632E" w14:textId="009467BA" w:rsidR="000B5DCC" w:rsidRDefault="000B5DCC" w:rsidP="007C687B">
      <w:pPr>
        <w:pStyle w:val="Dalodstavce"/>
        <w:ind w:firstLine="0"/>
      </w:pPr>
    </w:p>
    <w:p w14:paraId="5AB0E665" w14:textId="77777777" w:rsidR="000B5DCC" w:rsidRDefault="000B5DCC" w:rsidP="000B5DCC">
      <w:pPr>
        <w:pStyle w:val="Dalodstavce"/>
      </w:pPr>
      <w:r>
        <w:t>Četnost jednotlivých hodnocení obou souborů získaných rozhodnutí je představena v následujících diagramech. U souboru nejpodobnějších rozhodnutí převažují vyšší hodnoty hodnocení (body hodnocení 4, 5 a 6), tyto hodnoty tvoří více než polovinu hodnocení.</w:t>
      </w:r>
    </w:p>
    <w:p w14:paraId="3A86274C" w14:textId="24E74A18" w:rsidR="007C687B" w:rsidRDefault="007C687B" w:rsidP="008A0629">
      <w:pPr>
        <w:pStyle w:val="Obrzek"/>
      </w:pPr>
      <w:r>
        <w:rPr>
          <w:noProof/>
        </w:rPr>
        <w:drawing>
          <wp:inline distT="0" distB="0" distL="0" distR="0" wp14:anchorId="35D9F5D7" wp14:editId="05B8F99F">
            <wp:extent cx="3590925" cy="2905125"/>
            <wp:effectExtent l="0" t="0" r="9525" b="9525"/>
            <wp:docPr id="18" name="Graf 18">
              <a:extLst xmlns:a="http://schemas.openxmlformats.org/drawingml/2006/main">
                <a:ext uri="{FF2B5EF4-FFF2-40B4-BE49-F238E27FC236}">
                  <a16:creationId xmlns:a16="http://schemas.microsoft.com/office/drawing/2014/main" id="{8661288A-8608-43E2-8215-A5BE56584C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79E68BF" w14:textId="694CA9F6" w:rsidR="007C687B" w:rsidRDefault="007C687B" w:rsidP="008A0629">
      <w:pPr>
        <w:pStyle w:val="Titulek"/>
      </w:pPr>
      <w:bookmarkStart w:id="90" w:name="_Toc126874194"/>
      <w:r>
        <w:t xml:space="preserve">Obr. </w:t>
      </w:r>
      <w:r>
        <w:rPr>
          <w:noProof/>
        </w:rPr>
        <w:fldChar w:fldCharType="begin"/>
      </w:r>
      <w:r>
        <w:rPr>
          <w:noProof/>
        </w:rPr>
        <w:instrText xml:space="preserve"> SEQ Obr. \* ARABIC </w:instrText>
      </w:r>
      <w:r>
        <w:rPr>
          <w:noProof/>
        </w:rPr>
        <w:fldChar w:fldCharType="separate"/>
      </w:r>
      <w:r>
        <w:rPr>
          <w:noProof/>
        </w:rPr>
        <w:t>26</w:t>
      </w:r>
      <w:r>
        <w:rPr>
          <w:noProof/>
        </w:rPr>
        <w:fldChar w:fldCharType="end"/>
      </w:r>
      <w:r>
        <w:t>: Frekvence hodnocení podobnosti nejpodobnějších rozhodnutí</w:t>
      </w:r>
      <w:bookmarkEnd w:id="90"/>
    </w:p>
    <w:p w14:paraId="708451BB" w14:textId="31D2B30A" w:rsidR="007C687B" w:rsidRDefault="007C687B" w:rsidP="008A0629">
      <w:pPr>
        <w:pStyle w:val="Obrzek"/>
      </w:pPr>
      <w:r>
        <w:rPr>
          <w:noProof/>
        </w:rPr>
        <w:lastRenderedPageBreak/>
        <w:drawing>
          <wp:inline distT="0" distB="0" distL="0" distR="0" wp14:anchorId="7BB70A11" wp14:editId="380A2ED4">
            <wp:extent cx="3486149" cy="2928938"/>
            <wp:effectExtent l="0" t="0" r="635" b="5080"/>
            <wp:docPr id="22" name="Graf 22">
              <a:extLst xmlns:a="http://schemas.openxmlformats.org/drawingml/2006/main">
                <a:ext uri="{FF2B5EF4-FFF2-40B4-BE49-F238E27FC236}">
                  <a16:creationId xmlns:a16="http://schemas.microsoft.com/office/drawing/2014/main" id="{28FECAE6-5FB1-40DB-A6BF-E91038AA09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F405BC3" w14:textId="1B10BB27" w:rsidR="007C687B" w:rsidRDefault="007C687B" w:rsidP="008A0629">
      <w:pPr>
        <w:pStyle w:val="Titulek"/>
      </w:pPr>
      <w:bookmarkStart w:id="91" w:name="_Toc126874195"/>
      <w:r>
        <w:t xml:space="preserve">Obr. </w:t>
      </w:r>
      <w:r>
        <w:rPr>
          <w:noProof/>
        </w:rPr>
        <w:fldChar w:fldCharType="begin"/>
      </w:r>
      <w:r>
        <w:rPr>
          <w:noProof/>
        </w:rPr>
        <w:instrText xml:space="preserve"> SEQ Obr. \* ARABIC </w:instrText>
      </w:r>
      <w:r>
        <w:rPr>
          <w:noProof/>
        </w:rPr>
        <w:fldChar w:fldCharType="separate"/>
      </w:r>
      <w:r>
        <w:rPr>
          <w:noProof/>
        </w:rPr>
        <w:t>27</w:t>
      </w:r>
      <w:r>
        <w:rPr>
          <w:noProof/>
        </w:rPr>
        <w:fldChar w:fldCharType="end"/>
      </w:r>
      <w:r>
        <w:t>: Frekvence hodnocení podobnosti 10. nejpodobnějších rozhodnutí</w:t>
      </w:r>
      <w:bookmarkEnd w:id="91"/>
    </w:p>
    <w:p w14:paraId="2AC993C3" w14:textId="77777777" w:rsidR="000B5DCC" w:rsidRDefault="000B5DCC" w:rsidP="007C687B">
      <w:pPr>
        <w:pStyle w:val="Dalodstavce"/>
        <w:ind w:firstLine="0"/>
      </w:pPr>
    </w:p>
    <w:p w14:paraId="06745D6A" w14:textId="7C5F0601" w:rsidR="000B5DCC" w:rsidRDefault="000B5DCC" w:rsidP="000B5DCC">
      <w:pPr>
        <w:pStyle w:val="Dalodstavce"/>
      </w:pPr>
      <w:r>
        <w:t>Průměrná hodnocení doc2vec</w:t>
      </w:r>
      <w:r w:rsidR="008442A4">
        <w:t xml:space="preserve"> modelu</w:t>
      </w:r>
      <w:r>
        <w:t xml:space="preserve"> jsou </w:t>
      </w:r>
      <w:r w:rsidR="008442A4">
        <w:t>příznivá</w:t>
      </w:r>
      <w:r>
        <w:t xml:space="preserve"> v obou kategoriích - pro nejpodobnější rozhodnutí i pro 10. nejpodobnější rozhodnutí. Lze z toho opatrně usuzovat, že rozhodnutí získaná modelem doc2vec jsou si v právních otázkách podobná a právní experti je obecně považují za vzájemně </w:t>
      </w:r>
      <w:r w:rsidR="008442A4">
        <w:t>podobná</w:t>
      </w:r>
      <w:r>
        <w:t>. Tento závěr dále podporuje četnost různých hodnot hodnocení, kdy především v případě nejpodobnějších rozhodnutí tvoří vyšší hodnoty více než polovinu všech hodnot hodnocení.</w:t>
      </w:r>
    </w:p>
    <w:p w14:paraId="39306BA6" w14:textId="1B897FB7" w:rsidR="000B5DCC" w:rsidRDefault="000B5DCC" w:rsidP="000B5DCC">
      <w:pPr>
        <w:pStyle w:val="Dalodstavce"/>
      </w:pPr>
      <w:r>
        <w:t xml:space="preserve">Zároveň existuje významný rozdíl mezi průměry hodnocení obou kategorií. Kromě toho je vysoký i průměr hodnocení 10. nejpodobnějšího rozhodnutí, i když je nižší než v případě nejpodobnějších rozhodnutí. Je logické, že méně sémanticky podobná rozhodnutí se pravděpodobně zabývají méně podobnými právními otázkami. Četnost hodnot hodnocení se od četnosti hodnot hodnocení nejpodobnějších rozhodnutí také liší, lze pozorovat mírně vyšší podíl nízkých hodnot hodnocení. Podobnost právních otázek v soudních rozhodnutích obecně je komplikovaný problém vzhledem k tomu, že soud obvykle řeší v jednom rozhodnutí více právních otázek (například procesní i hmotněprávní otázky), a podobnost je tedy relativní. Metodika libovolně zvoleného prvního a 10. nejpodobnějšího rozhodnutí má také své limity. S ohledem na skutečnost, že Nejvyšší soud rozhoduje o širokém spektru právních otázek, a to jak procesních, tak hmotněprávních, a z různých právních oblastí, jsou tyto </w:t>
      </w:r>
      <w:r>
        <w:lastRenderedPageBreak/>
        <w:t xml:space="preserve">právní oblasti a právní otázky různě </w:t>
      </w:r>
      <w:r w:rsidR="008442A4">
        <w:t>propojené</w:t>
      </w:r>
      <w:r>
        <w:t xml:space="preserve"> a různě specifické. Proto v některých obecných případech může být 10. nejpodobnější rozhodnutí ještě velmi podobné a na druhé straně v případě rozhodnutí řešícího vysoce specifický právní problém může být 10. nejpodobnější rozhodnutí jen částečně podobné původnímu. Proto je popsaný limit metodiky vlastně nezávislý na modelu a souvisí spíše se vstupním souborem dat a jeho vlastnostmi.</w:t>
      </w:r>
    </w:p>
    <w:p w14:paraId="119E855E" w14:textId="1BF512A2" w:rsidR="000B5DCC" w:rsidRDefault="000B5DCC" w:rsidP="000B5DCC">
      <w:pPr>
        <w:pStyle w:val="Dalodstavce"/>
      </w:pPr>
      <w:r>
        <w:t>Při porovnání s výsledky Ranera et al.</w:t>
      </w:r>
      <w:r>
        <w:rPr>
          <w:rStyle w:val="Znakapoznpodarou"/>
        </w:rPr>
        <w:footnoteReference w:id="355"/>
      </w:r>
      <w:r>
        <w:t xml:space="preserve"> se výsledky tohoto experimentu zdají být o něco méně přesné, pokud je možné srovnávat data hodnocení vzhledem k odlišné metodice hodnocení. Je však nutné zmínit, že výsledky hodnocení v citované studii </w:t>
      </w:r>
      <w:r w:rsidR="00402431">
        <w:t>jsou méně statisticky významné</w:t>
      </w:r>
      <w:r>
        <w:t xml:space="preserve">, </w:t>
      </w:r>
      <w:r w:rsidR="008442A4">
        <w:t>neboť</w:t>
      </w:r>
      <w:r>
        <w:t xml:space="preserve"> každou z dvojic rozhodnutí hodnotil pouze jeden expert.</w:t>
      </w:r>
    </w:p>
    <w:p w14:paraId="096F1442" w14:textId="4CA12DCA" w:rsidR="000B5DCC" w:rsidRDefault="000B5DCC" w:rsidP="000B5DCC">
      <w:pPr>
        <w:pStyle w:val="Dalodstavce"/>
      </w:pPr>
      <w:r>
        <w:t>I přes poměrně vysoké hodnoty hodnocení podobnosti lze při kontrole četnosti hodnot hodnocení předpokládat, že i samotný model doc2vec má své limity. Pro přesnější výkon modelu předpokládám, že je třeba provést rozsáhlejší kroky předzpracování. Přestože doc2vec obecně není příliš citlivý na kvalitu vstupních dat, domnívám se, že použití pouze argumentačních částí rozhodnutí by mohlo model zpřesnit z hlediska vyhledávání podobných právních otázek</w:t>
      </w:r>
      <w:r w:rsidR="008442A4">
        <w:t>, p</w:t>
      </w:r>
      <w:r>
        <w:t>rotože shrnutí předchozího soudního řízení může obsahovat různé textové části, které se přímo netýkají právní otázky, jíž se soud zabývá v argumentační části rozhodnutí.</w:t>
      </w:r>
    </w:p>
    <w:p w14:paraId="0568E8CB" w14:textId="128CF177" w:rsidR="000B5DCC" w:rsidRDefault="000B5DCC" w:rsidP="000B5DCC">
      <w:pPr>
        <w:pStyle w:val="Dalodstavce"/>
      </w:pPr>
      <w:r>
        <w:t xml:space="preserve">I v tomto experimentu byla zkoumána korelace a to mezi kosinovou podobností získaných rozhodnutí (v obou kategoriích) a hodnocením podobnosti na evaluační škále. Kosinová podobnost se běžně používá v kombinaci s metodami vektorového prostoru k definování podobnosti dvou entit (v tomto případě soudních rozhodnutí) jako kosinus úhlu mezi jejich vektorovými vnořeními. Vyšší kosinová podobnost znamená vyšší sémantickou podobnost obou dokumentů. V tomto experimentu analyzuji vztah mezi hodnocením podobnosti dvou rozhodnutí hodnotiteli a hodnotou kosinové podobnosti. Protože je každá dvojice rozhodnutí hodnocena dvěma hodnotiteli, zkoumám vztah mezi průměrem jejich hodnocení s kosinovou podobností na následujícím grafu. Pearsonův korelační koeficient je 0,37, což </w:t>
      </w:r>
      <w:r w:rsidR="008442A4">
        <w:t>reprezentuje</w:t>
      </w:r>
      <w:r>
        <w:t xml:space="preserve"> nízkou, ale pozorovatelnou, korelaci.</w:t>
      </w:r>
    </w:p>
    <w:p w14:paraId="6AAA9EF5" w14:textId="70186D3B" w:rsidR="00B30622" w:rsidRDefault="00B30622" w:rsidP="008A0629">
      <w:pPr>
        <w:pStyle w:val="Obrzek"/>
      </w:pPr>
      <w:r>
        <w:rPr>
          <w:noProof/>
        </w:rPr>
        <w:lastRenderedPageBreak/>
        <w:drawing>
          <wp:inline distT="0" distB="0" distL="0" distR="0" wp14:anchorId="2E16DE58" wp14:editId="12AA2B9F">
            <wp:extent cx="4677410" cy="2127885"/>
            <wp:effectExtent l="0" t="0" r="8890" b="5715"/>
            <wp:docPr id="26" name="Graf 26">
              <a:extLst xmlns:a="http://schemas.openxmlformats.org/drawingml/2006/main">
                <a:ext uri="{FF2B5EF4-FFF2-40B4-BE49-F238E27FC236}">
                  <a16:creationId xmlns:a16="http://schemas.microsoft.com/office/drawing/2014/main" id="{7BEA70C5-6711-459E-B960-D8DB0718E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2CDB725" w14:textId="054AE41C" w:rsidR="00B30622" w:rsidRDefault="00B30622" w:rsidP="00B30622">
      <w:pPr>
        <w:pStyle w:val="Titulek"/>
      </w:pPr>
      <w:bookmarkStart w:id="92" w:name="_Toc126874196"/>
      <w:r>
        <w:t xml:space="preserve">Obr. </w:t>
      </w:r>
      <w:r>
        <w:rPr>
          <w:noProof/>
        </w:rPr>
        <w:fldChar w:fldCharType="begin"/>
      </w:r>
      <w:r>
        <w:rPr>
          <w:noProof/>
        </w:rPr>
        <w:instrText xml:space="preserve"> SEQ Obr. \* ARABIC </w:instrText>
      </w:r>
      <w:r>
        <w:rPr>
          <w:noProof/>
        </w:rPr>
        <w:fldChar w:fldCharType="separate"/>
      </w:r>
      <w:r>
        <w:rPr>
          <w:noProof/>
        </w:rPr>
        <w:t>28</w:t>
      </w:r>
      <w:r>
        <w:rPr>
          <w:noProof/>
        </w:rPr>
        <w:fldChar w:fldCharType="end"/>
      </w:r>
      <w:r>
        <w:t>: Korelace kosinové podobnosti rozhodnutí a hodnocení jejich podobnosti</w:t>
      </w:r>
      <w:bookmarkEnd w:id="92"/>
    </w:p>
    <w:p w14:paraId="19CFA642" w14:textId="77777777" w:rsidR="00B30622" w:rsidRDefault="00B30622" w:rsidP="000B5DCC">
      <w:pPr>
        <w:pStyle w:val="Dalodstavce"/>
      </w:pPr>
    </w:p>
    <w:p w14:paraId="2BAF1F7E" w14:textId="0ED7AE9B" w:rsidR="000B5DCC" w:rsidRDefault="000B5DCC" w:rsidP="000B5DCC">
      <w:pPr>
        <w:pStyle w:val="Dalodstavce"/>
      </w:pPr>
      <w:r>
        <w:t xml:space="preserve">Lze tedy předpokládat, že existuje slabý vztah mezi kosinovou podobností a hodnocením právních expertů. </w:t>
      </w:r>
      <w:r w:rsidR="008442A4">
        <w:t>Domnívám se</w:t>
      </w:r>
      <w:r>
        <w:t xml:space="preserve">, že nízká korelace je způsobena zejména velmi nízkými rozdíly v hodnotách kosinové podobnosti. Jak lze pozorovat na grafu </w:t>
      </w:r>
      <w:r w:rsidR="003502C2">
        <w:t xml:space="preserve">shluků hodnocení </w:t>
      </w:r>
      <w:r>
        <w:t>níže, nelze jednoznačně určit shluky nejpodobnějších a desátých nejpodobnějších rozhodnutí, hodnoty kosinové podobnosti v těchto kategoriích se tedy neliší</w:t>
      </w:r>
      <w:r w:rsidR="008442A4" w:rsidRPr="008442A4">
        <w:t xml:space="preserve"> výrazně</w:t>
      </w:r>
      <w:r>
        <w:t>. Na druhou stranu autoři vidí, že hodnocení (průměr a četnost hodnot) se liší</w:t>
      </w:r>
      <w:r w:rsidR="008442A4" w:rsidRPr="008442A4">
        <w:t xml:space="preserve"> velmi</w:t>
      </w:r>
      <w:r>
        <w:t>. Tato skutečnost spíše znamená, že pořadí rozhodnutí získaných modelem je více srovnatelné s lidským hodnocením než jeho kosinová podobnost jako absolutní číslo.</w:t>
      </w:r>
    </w:p>
    <w:p w14:paraId="7857E8F4" w14:textId="4D50E2D8" w:rsidR="000B5DCC" w:rsidRDefault="000B5DCC" w:rsidP="000B5DCC">
      <w:pPr>
        <w:pStyle w:val="Dalodstavce"/>
      </w:pPr>
      <w:r>
        <w:t>Hodnota korelace Ranera et al. v citované studii</w:t>
      </w:r>
      <w:r>
        <w:rPr>
          <w:rStyle w:val="Znakapoznpodarou"/>
        </w:rPr>
        <w:footnoteReference w:id="356"/>
      </w:r>
      <w:r>
        <w:t xml:space="preserve"> byla přibližně dvakrát vyšší než hodnota korelace v tomto experimentu. To může být opět způsobeno rozdílnou metodikou a tím, že rozdíly v kosinové podobnosti mezi rozhodnutími jsou nízké a vztah mezi hodnocením a kosinovou podobností je pak méně průkazný. Srovnatelné korelace by bylo možné dosáhnout při užití širšího spektra získaných rozhodnutí, než jsou pouze dvě kategorie užité v této práci. Cílem tohoto experimentu ale bylo vyhodnotit podobnost právních otázek rozhodnutí získaných modelem na předních příčkách</w:t>
      </w:r>
      <w:r w:rsidR="008442A4">
        <w:t>,</w:t>
      </w:r>
      <w:r>
        <w:t xml:space="preserve"> a to </w:t>
      </w:r>
      <w:r w:rsidR="008442A4">
        <w:t xml:space="preserve">z </w:t>
      </w:r>
      <w:r>
        <w:t xml:space="preserve">čistě praktického hlediska, že </w:t>
      </w:r>
      <w:r w:rsidR="008442A4">
        <w:t xml:space="preserve">by mělo jít o </w:t>
      </w:r>
      <w:r>
        <w:t xml:space="preserve">ta </w:t>
      </w:r>
      <w:r>
        <w:lastRenderedPageBreak/>
        <w:t>rozhodnutí, která budou předkládána právníkům při případné praktické aplikaci metody k rešerši judikatury Nejvyššího soudu.</w:t>
      </w:r>
    </w:p>
    <w:p w14:paraId="331B474B" w14:textId="7D8E87F3" w:rsidR="008638F8" w:rsidRDefault="008638F8" w:rsidP="000B5DCC">
      <w:pPr>
        <w:pStyle w:val="Dalodstavce"/>
      </w:pPr>
      <w:r>
        <w:t>V následujícím grafu pak pro úplnost vyobrazuji shluky hodnocených rozhodnutí. Je vidět jemná tendence potvrzující nízkou korelaci na předchozím grafu – tedy nejpodobnější rozhodnutí s vyšší kosinovou podobností jsou hodnoceny vyššími hodnotami.</w:t>
      </w:r>
    </w:p>
    <w:p w14:paraId="0A77EB72" w14:textId="0BAEAB64" w:rsidR="00B30622" w:rsidRDefault="00B30622" w:rsidP="008A0629">
      <w:pPr>
        <w:pStyle w:val="Obrzek"/>
      </w:pPr>
      <w:r>
        <w:rPr>
          <w:noProof/>
        </w:rPr>
        <w:drawing>
          <wp:inline distT="0" distB="0" distL="0" distR="0" wp14:anchorId="2CFD40A9" wp14:editId="5EFC1A31">
            <wp:extent cx="4677410" cy="2247265"/>
            <wp:effectExtent l="0" t="0" r="8890" b="635"/>
            <wp:docPr id="30" name="Graf 30">
              <a:extLst xmlns:a="http://schemas.openxmlformats.org/drawingml/2006/main">
                <a:ext uri="{FF2B5EF4-FFF2-40B4-BE49-F238E27FC236}">
                  <a16:creationId xmlns:a16="http://schemas.microsoft.com/office/drawing/2014/main" id="{233EDDD1-617E-44AD-94DB-990A72512F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5902FFC" w14:textId="7ABBA6BE" w:rsidR="00B30622" w:rsidRDefault="00B30622" w:rsidP="008A0629">
      <w:pPr>
        <w:pStyle w:val="Titulek"/>
      </w:pPr>
      <w:bookmarkStart w:id="93" w:name="_Toc126874197"/>
      <w:r>
        <w:t xml:space="preserve">Obr. </w:t>
      </w:r>
      <w:r>
        <w:rPr>
          <w:noProof/>
        </w:rPr>
        <w:fldChar w:fldCharType="begin"/>
      </w:r>
      <w:r>
        <w:rPr>
          <w:noProof/>
        </w:rPr>
        <w:instrText xml:space="preserve"> SEQ Obr. \* ARABIC </w:instrText>
      </w:r>
      <w:r>
        <w:rPr>
          <w:noProof/>
        </w:rPr>
        <w:fldChar w:fldCharType="separate"/>
      </w:r>
      <w:r>
        <w:rPr>
          <w:noProof/>
        </w:rPr>
        <w:t>29</w:t>
      </w:r>
      <w:r>
        <w:rPr>
          <w:noProof/>
        </w:rPr>
        <w:fldChar w:fldCharType="end"/>
      </w:r>
      <w:r>
        <w:t>: Shluky hodnocení nejpodobnějších a 10. nejpodobnějších rozhodnutí</w:t>
      </w:r>
      <w:bookmarkEnd w:id="93"/>
    </w:p>
    <w:p w14:paraId="7A8DEE8D" w14:textId="7BE2C9CC" w:rsidR="000B5DCC" w:rsidRDefault="000B5DCC" w:rsidP="00B30622">
      <w:pPr>
        <w:pStyle w:val="Dalodstavce"/>
        <w:ind w:firstLine="0"/>
      </w:pPr>
    </w:p>
    <w:p w14:paraId="46647E83" w14:textId="50E6EBB5" w:rsidR="000B5DCC" w:rsidRDefault="000B5DCC">
      <w:pPr>
        <w:pStyle w:val="Nadpis2"/>
        <w:numPr>
          <w:ilvl w:val="1"/>
          <w:numId w:val="14"/>
        </w:numPr>
      </w:pPr>
      <w:bookmarkStart w:id="94" w:name="_Toc126909368"/>
      <w:r>
        <w:t xml:space="preserve">Výsledky evaluace </w:t>
      </w:r>
      <w:r w:rsidR="00B9675F">
        <w:t xml:space="preserve">metod </w:t>
      </w:r>
      <w:r>
        <w:t>modelování témat</w:t>
      </w:r>
      <w:bookmarkEnd w:id="94"/>
    </w:p>
    <w:p w14:paraId="6AD8D08E" w14:textId="794A5C79" w:rsidR="000B5DCC" w:rsidRDefault="000B5DCC" w:rsidP="000B5DCC">
      <w:pPr>
        <w:pStyle w:val="Odstavec1"/>
      </w:pPr>
      <w:r>
        <w:t>Jelikož je metoda modelování témat odlišná od předchozích dvou a dle toho byl i evaluační experiment designován odlišně, jsou pro analýzu výsledků tohoto experimentu také zvoleny některé odlišné statistické metriky. Nejprve bud</w:t>
      </w:r>
      <w:r w:rsidR="008442A4">
        <w:t>u</w:t>
      </w:r>
      <w:r>
        <w:t xml:space="preserve"> vyhodnocovat obecnou relevanci přiřazených témat vůči rozhodnutím Nejvyššího soudu pro obě metody modelování témat (LDA, NMF) pro </w:t>
      </w:r>
      <w:r w:rsidR="008442A4">
        <w:t xml:space="preserve">účely </w:t>
      </w:r>
      <w:r>
        <w:t xml:space="preserve">srovnání. Zejména mě zajímá, zda výsledky hodnocení právních expertů následují hodnoty koherenčního skóre, nebo </w:t>
      </w:r>
      <w:r w:rsidR="008442A4">
        <w:t>jinak řečeno</w:t>
      </w:r>
      <w:r>
        <w:t>, zda témata modelu NMF jsou relevantnější i dle výsledků evaluačního experimentu než témata LDA modelu a nebo zda bude tato teze vyvrácena. Dále budu zkoumat rozdíl v hodnocení relevance u tzv. vetřelců, tedy témat s nízkou pravděpodobností, protože tato data umožňují alespoň přibližně porovnat tyto výsledky s výsledky předchozích výzkumů využívajících tuto metodiku hodnocení.</w:t>
      </w:r>
    </w:p>
    <w:p w14:paraId="08CFFBF9" w14:textId="73499110" w:rsidR="000B5DCC" w:rsidRDefault="000B5DCC" w:rsidP="000B5DCC">
      <w:pPr>
        <w:pStyle w:val="Dalodstavce"/>
      </w:pPr>
      <w:r>
        <w:lastRenderedPageBreak/>
        <w:t>V následující tabulce jsou uvedeny průměry hodnocení pro první z nich, druhé a třetí nejpravděpodobnější přidělené téma pro každý model a pro všechna tři přidělená témata dohromady. Toto srovnání je doplněno o průměry hodnocení témat</w:t>
      </w:r>
      <w:r w:rsidR="00EF5D95">
        <w:t xml:space="preserve"> „vetřelců“</w:t>
      </w:r>
      <w:r>
        <w:t>.</w:t>
      </w:r>
    </w:p>
    <w:p w14:paraId="3C144C56" w14:textId="615C0D48" w:rsidR="00076120" w:rsidRDefault="00076120" w:rsidP="00953CD9">
      <w:pPr>
        <w:pStyle w:val="Titulektabulky"/>
      </w:pPr>
      <w:bookmarkStart w:id="95" w:name="_Toc126874216"/>
      <w:r>
        <w:t xml:space="preserve">Tab. </w:t>
      </w:r>
      <w:r>
        <w:rPr>
          <w:noProof/>
        </w:rPr>
        <w:fldChar w:fldCharType="begin"/>
      </w:r>
      <w:r>
        <w:rPr>
          <w:noProof/>
        </w:rPr>
        <w:instrText xml:space="preserve"> SEQ Tab. \* ARABIC </w:instrText>
      </w:r>
      <w:r>
        <w:rPr>
          <w:noProof/>
        </w:rPr>
        <w:fldChar w:fldCharType="separate"/>
      </w:r>
      <w:r>
        <w:rPr>
          <w:noProof/>
        </w:rPr>
        <w:t>12</w:t>
      </w:r>
      <w:r>
        <w:rPr>
          <w:noProof/>
        </w:rPr>
        <w:fldChar w:fldCharType="end"/>
      </w:r>
      <w:r>
        <w:t>: Průměrná hodnocení témat LDA a NMF modelů</w:t>
      </w:r>
      <w:bookmarkEnd w:id="95"/>
    </w:p>
    <w:tbl>
      <w:tblPr>
        <w:tblStyle w:val="ZPTabulka"/>
        <w:tblW w:w="0" w:type="auto"/>
        <w:tblLook w:val="04A0" w:firstRow="1" w:lastRow="0" w:firstColumn="1" w:lastColumn="0" w:noHBand="0" w:noVBand="1"/>
      </w:tblPr>
      <w:tblGrid>
        <w:gridCol w:w="2455"/>
        <w:gridCol w:w="2455"/>
        <w:gridCol w:w="2456"/>
      </w:tblGrid>
      <w:tr w:rsidR="00076120" w:rsidRPr="00076120" w14:paraId="717FEFA8" w14:textId="77777777" w:rsidTr="004175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B9304B4" w14:textId="3FEF17ED" w:rsidR="00076120" w:rsidRPr="00076120" w:rsidRDefault="00076120" w:rsidP="00076120">
            <w:pPr>
              <w:pStyle w:val="Titulektabulky"/>
            </w:pPr>
            <w:r>
              <w:t>Téma</w:t>
            </w:r>
          </w:p>
        </w:tc>
        <w:tc>
          <w:tcPr>
            <w:tcW w:w="2455" w:type="dxa"/>
          </w:tcPr>
          <w:p w14:paraId="22283519" w14:textId="5F511C87" w:rsidR="00076120" w:rsidRPr="00076120" w:rsidRDefault="00076120" w:rsidP="00076120">
            <w:pPr>
              <w:pStyle w:val="Titulektabulky"/>
              <w:cnfStyle w:val="100000000000" w:firstRow="1" w:lastRow="0" w:firstColumn="0" w:lastColumn="0" w:oddVBand="0" w:evenVBand="0" w:oddHBand="0" w:evenHBand="0" w:firstRowFirstColumn="0" w:firstRowLastColumn="0" w:lastRowFirstColumn="0" w:lastRowLastColumn="0"/>
            </w:pPr>
            <w:r>
              <w:t>Průměrné hodnocení – LDA model</w:t>
            </w:r>
          </w:p>
        </w:tc>
        <w:tc>
          <w:tcPr>
            <w:tcW w:w="2456" w:type="dxa"/>
          </w:tcPr>
          <w:p w14:paraId="7B89D366" w14:textId="7453F351" w:rsidR="00076120" w:rsidRPr="00076120" w:rsidRDefault="00076120" w:rsidP="00076120">
            <w:pPr>
              <w:pStyle w:val="Titulektabulky"/>
              <w:cnfStyle w:val="100000000000" w:firstRow="1" w:lastRow="0" w:firstColumn="0" w:lastColumn="0" w:oddVBand="0" w:evenVBand="0" w:oddHBand="0" w:evenHBand="0" w:firstRowFirstColumn="0" w:firstRowLastColumn="0" w:lastRowFirstColumn="0" w:lastRowLastColumn="0"/>
            </w:pPr>
            <w:r>
              <w:t>Průměrné hodnocení – NMF model</w:t>
            </w:r>
          </w:p>
        </w:tc>
      </w:tr>
      <w:tr w:rsidR="00076120" w:rsidRPr="00076120" w14:paraId="593E01B9" w14:textId="77777777" w:rsidTr="00417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5419E6C2" w14:textId="69AAD83A" w:rsidR="00076120" w:rsidRPr="00076120" w:rsidRDefault="00076120" w:rsidP="00076120">
            <w:pPr>
              <w:pStyle w:val="Titulektabulky"/>
            </w:pPr>
            <w:r>
              <w:t>1.</w:t>
            </w:r>
            <w:r w:rsidR="00516D56">
              <w:t xml:space="preserve"> </w:t>
            </w:r>
            <w:r>
              <w:t>nejpravděpodobnější</w:t>
            </w:r>
          </w:p>
        </w:tc>
        <w:tc>
          <w:tcPr>
            <w:tcW w:w="2455" w:type="dxa"/>
          </w:tcPr>
          <w:p w14:paraId="00B67B85" w14:textId="2064DCB2" w:rsidR="00076120" w:rsidRPr="00076120" w:rsidRDefault="00076120" w:rsidP="00076120">
            <w:pPr>
              <w:pStyle w:val="Titulektabulky"/>
              <w:cnfStyle w:val="000000100000" w:firstRow="0" w:lastRow="0" w:firstColumn="0" w:lastColumn="0" w:oddVBand="0" w:evenVBand="0" w:oddHBand="1" w:evenHBand="0" w:firstRowFirstColumn="0" w:firstRowLastColumn="0" w:lastRowFirstColumn="0" w:lastRowLastColumn="0"/>
            </w:pPr>
            <w:r>
              <w:t>2,24</w:t>
            </w:r>
          </w:p>
        </w:tc>
        <w:tc>
          <w:tcPr>
            <w:tcW w:w="2456" w:type="dxa"/>
          </w:tcPr>
          <w:p w14:paraId="73AD4507" w14:textId="355D1AAF" w:rsidR="00076120" w:rsidRPr="00076120" w:rsidRDefault="00076120" w:rsidP="00076120">
            <w:pPr>
              <w:pStyle w:val="Titulektabulky"/>
              <w:cnfStyle w:val="000000100000" w:firstRow="0" w:lastRow="0" w:firstColumn="0" w:lastColumn="0" w:oddVBand="0" w:evenVBand="0" w:oddHBand="1" w:evenHBand="0" w:firstRowFirstColumn="0" w:firstRowLastColumn="0" w:lastRowFirstColumn="0" w:lastRowLastColumn="0"/>
            </w:pPr>
            <w:r>
              <w:t>1,76</w:t>
            </w:r>
          </w:p>
        </w:tc>
      </w:tr>
      <w:tr w:rsidR="00076120" w:rsidRPr="00076120" w14:paraId="26F8B296" w14:textId="77777777" w:rsidTr="004175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45E4CBF9" w14:textId="14BDFA44" w:rsidR="00076120" w:rsidRDefault="00076120" w:rsidP="00076120">
            <w:pPr>
              <w:pStyle w:val="Titulektabulky"/>
            </w:pPr>
            <w:r>
              <w:t>2.</w:t>
            </w:r>
            <w:r w:rsidR="00516D56">
              <w:t xml:space="preserve"> </w:t>
            </w:r>
            <w:r>
              <w:t>nejpravděpodobnější</w:t>
            </w:r>
          </w:p>
        </w:tc>
        <w:tc>
          <w:tcPr>
            <w:tcW w:w="2455" w:type="dxa"/>
          </w:tcPr>
          <w:p w14:paraId="7571F907" w14:textId="271BC2E1" w:rsidR="00076120" w:rsidRPr="00076120" w:rsidRDefault="00516D56" w:rsidP="00076120">
            <w:pPr>
              <w:pStyle w:val="Titulektabulky"/>
              <w:cnfStyle w:val="000000010000" w:firstRow="0" w:lastRow="0" w:firstColumn="0" w:lastColumn="0" w:oddVBand="0" w:evenVBand="0" w:oddHBand="0" w:evenHBand="1" w:firstRowFirstColumn="0" w:firstRowLastColumn="0" w:lastRowFirstColumn="0" w:lastRowLastColumn="0"/>
            </w:pPr>
            <w:r>
              <w:t>2,38</w:t>
            </w:r>
          </w:p>
        </w:tc>
        <w:tc>
          <w:tcPr>
            <w:tcW w:w="2456" w:type="dxa"/>
          </w:tcPr>
          <w:p w14:paraId="306B7F20" w14:textId="4DD1AC2B" w:rsidR="00076120" w:rsidRPr="00076120" w:rsidRDefault="00516D56" w:rsidP="00076120">
            <w:pPr>
              <w:pStyle w:val="Titulektabulky"/>
              <w:cnfStyle w:val="000000010000" w:firstRow="0" w:lastRow="0" w:firstColumn="0" w:lastColumn="0" w:oddVBand="0" w:evenVBand="0" w:oddHBand="0" w:evenHBand="1" w:firstRowFirstColumn="0" w:firstRowLastColumn="0" w:lastRowFirstColumn="0" w:lastRowLastColumn="0"/>
            </w:pPr>
            <w:r>
              <w:t>1,66</w:t>
            </w:r>
          </w:p>
        </w:tc>
      </w:tr>
      <w:tr w:rsidR="00076120" w:rsidRPr="00076120" w14:paraId="6D7CFB38" w14:textId="77777777" w:rsidTr="00417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56A64756" w14:textId="07FA5AB7" w:rsidR="00076120" w:rsidRDefault="00076120" w:rsidP="00076120">
            <w:pPr>
              <w:pStyle w:val="Titulektabulky"/>
            </w:pPr>
            <w:r>
              <w:t>3.</w:t>
            </w:r>
            <w:r w:rsidR="00516D56">
              <w:t xml:space="preserve"> </w:t>
            </w:r>
            <w:r>
              <w:t>nejpravděpodobnější</w:t>
            </w:r>
          </w:p>
        </w:tc>
        <w:tc>
          <w:tcPr>
            <w:tcW w:w="2455" w:type="dxa"/>
          </w:tcPr>
          <w:p w14:paraId="440BA2E8" w14:textId="4538D247" w:rsidR="00076120" w:rsidRPr="00076120" w:rsidRDefault="00516D56" w:rsidP="00076120">
            <w:pPr>
              <w:pStyle w:val="Titulektabulky"/>
              <w:cnfStyle w:val="000000100000" w:firstRow="0" w:lastRow="0" w:firstColumn="0" w:lastColumn="0" w:oddVBand="0" w:evenVBand="0" w:oddHBand="1" w:evenHBand="0" w:firstRowFirstColumn="0" w:firstRowLastColumn="0" w:lastRowFirstColumn="0" w:lastRowLastColumn="0"/>
            </w:pPr>
            <w:r>
              <w:t>1,99</w:t>
            </w:r>
          </w:p>
        </w:tc>
        <w:tc>
          <w:tcPr>
            <w:tcW w:w="2456" w:type="dxa"/>
          </w:tcPr>
          <w:p w14:paraId="0D757101" w14:textId="3421438D" w:rsidR="00076120" w:rsidRPr="00076120" w:rsidRDefault="00516D56" w:rsidP="00076120">
            <w:pPr>
              <w:pStyle w:val="Titulektabulky"/>
              <w:cnfStyle w:val="000000100000" w:firstRow="0" w:lastRow="0" w:firstColumn="0" w:lastColumn="0" w:oddVBand="0" w:evenVBand="0" w:oddHBand="1" w:evenHBand="0" w:firstRowFirstColumn="0" w:firstRowLastColumn="0" w:lastRowFirstColumn="0" w:lastRowLastColumn="0"/>
            </w:pPr>
            <w:r>
              <w:t>2,32</w:t>
            </w:r>
          </w:p>
        </w:tc>
      </w:tr>
      <w:tr w:rsidR="00076120" w:rsidRPr="00076120" w14:paraId="00BA9D35" w14:textId="77777777" w:rsidTr="004175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F0543F1" w14:textId="1CBD09B8" w:rsidR="00076120" w:rsidRDefault="00516D56" w:rsidP="00076120">
            <w:pPr>
              <w:pStyle w:val="Titulektabulky"/>
            </w:pPr>
            <w:r>
              <w:t>Vetřelec</w:t>
            </w:r>
          </w:p>
        </w:tc>
        <w:tc>
          <w:tcPr>
            <w:tcW w:w="2455" w:type="dxa"/>
          </w:tcPr>
          <w:p w14:paraId="580C2EFE" w14:textId="7388249F" w:rsidR="00076120" w:rsidRPr="00076120" w:rsidRDefault="00516D56" w:rsidP="00076120">
            <w:pPr>
              <w:pStyle w:val="Titulektabulky"/>
              <w:cnfStyle w:val="000000010000" w:firstRow="0" w:lastRow="0" w:firstColumn="0" w:lastColumn="0" w:oddVBand="0" w:evenVBand="0" w:oddHBand="0" w:evenHBand="1" w:firstRowFirstColumn="0" w:firstRowLastColumn="0" w:lastRowFirstColumn="0" w:lastRowLastColumn="0"/>
            </w:pPr>
            <w:r>
              <w:t>1,29</w:t>
            </w:r>
          </w:p>
        </w:tc>
        <w:tc>
          <w:tcPr>
            <w:tcW w:w="2456" w:type="dxa"/>
          </w:tcPr>
          <w:p w14:paraId="6673BA2F" w14:textId="6518A484" w:rsidR="00076120" w:rsidRPr="00076120" w:rsidRDefault="00516D56" w:rsidP="00076120">
            <w:pPr>
              <w:pStyle w:val="Titulektabulky"/>
              <w:cnfStyle w:val="000000010000" w:firstRow="0" w:lastRow="0" w:firstColumn="0" w:lastColumn="0" w:oddVBand="0" w:evenVBand="0" w:oddHBand="0" w:evenHBand="1" w:firstRowFirstColumn="0" w:firstRowLastColumn="0" w:lastRowFirstColumn="0" w:lastRowLastColumn="0"/>
            </w:pPr>
            <w:r>
              <w:t>1,44</w:t>
            </w:r>
          </w:p>
        </w:tc>
      </w:tr>
      <w:tr w:rsidR="00076120" w:rsidRPr="00076120" w14:paraId="5D683516" w14:textId="77777777" w:rsidTr="00417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E52E4BC" w14:textId="4AFE5D70" w:rsidR="00076120" w:rsidRDefault="00516D56" w:rsidP="00076120">
            <w:pPr>
              <w:pStyle w:val="Titulektabulky"/>
            </w:pPr>
            <w:r>
              <w:t>Všechna 3 pravděpodobná témata</w:t>
            </w:r>
          </w:p>
        </w:tc>
        <w:tc>
          <w:tcPr>
            <w:tcW w:w="2455" w:type="dxa"/>
          </w:tcPr>
          <w:p w14:paraId="1D1DBC2B" w14:textId="1F9B4C65" w:rsidR="00076120" w:rsidRPr="00076120" w:rsidRDefault="00516D56" w:rsidP="00076120">
            <w:pPr>
              <w:pStyle w:val="Titulektabulky"/>
              <w:cnfStyle w:val="000000100000" w:firstRow="0" w:lastRow="0" w:firstColumn="0" w:lastColumn="0" w:oddVBand="0" w:evenVBand="0" w:oddHBand="1" w:evenHBand="0" w:firstRowFirstColumn="0" w:firstRowLastColumn="0" w:lastRowFirstColumn="0" w:lastRowLastColumn="0"/>
            </w:pPr>
            <w:r>
              <w:t>2,20</w:t>
            </w:r>
          </w:p>
        </w:tc>
        <w:tc>
          <w:tcPr>
            <w:tcW w:w="2456" w:type="dxa"/>
          </w:tcPr>
          <w:p w14:paraId="18C8761F" w14:textId="1F9BDD34" w:rsidR="00076120" w:rsidRPr="00076120" w:rsidRDefault="00516D56" w:rsidP="00076120">
            <w:pPr>
              <w:pStyle w:val="Titulektabulky"/>
              <w:cnfStyle w:val="000000100000" w:firstRow="0" w:lastRow="0" w:firstColumn="0" w:lastColumn="0" w:oddVBand="0" w:evenVBand="0" w:oddHBand="1" w:evenHBand="0" w:firstRowFirstColumn="0" w:firstRowLastColumn="0" w:lastRowFirstColumn="0" w:lastRowLastColumn="0"/>
            </w:pPr>
            <w:r>
              <w:t>1,91</w:t>
            </w:r>
          </w:p>
        </w:tc>
      </w:tr>
    </w:tbl>
    <w:p w14:paraId="50A1F695" w14:textId="49760D43" w:rsidR="00535F44" w:rsidRDefault="00535F44" w:rsidP="000B5DCC">
      <w:pPr>
        <w:pStyle w:val="Dalodstavce"/>
        <w:ind w:firstLine="0"/>
      </w:pPr>
    </w:p>
    <w:p w14:paraId="1997D80E" w14:textId="099C1DE8" w:rsidR="00001CAB" w:rsidRDefault="000B5DCC" w:rsidP="000B5DCC">
      <w:pPr>
        <w:pStyle w:val="Dalodstavce"/>
      </w:pPr>
      <w:r>
        <w:t>Porovnám-li tyto výsledky se studií od Bhatia et al. </w:t>
      </w:r>
      <w:r>
        <w:rPr>
          <w:rStyle w:val="Znakapoznpodarou"/>
        </w:rPr>
        <w:footnoteReference w:id="357"/>
      </w:r>
      <w:r>
        <w:t>, kde je průměrné hodnocení nejpravděpodobnějšího tématu 1,26 pro model LDA na čtyřbodové stupnici 0 až 3, je v tomto experimentu průměrná hodnota LDA témat o něco nižší, nicméně srovnatelná s těmito výsledky. Kromě toho, témata hodnocená jako nejrelevantnější jsou druhé nejpravděpodobnější téma modelu LDA a dokonce třetí nejpravděpodobnější téma modelu NMF. Při analýze vetřelce platí, že čím nižší hodnocení, tím je lepší, očekává se, že tato témata by měla být v ideálním případě v</w:t>
      </w:r>
      <w:r w:rsidR="003502C2">
        <w:t>e</w:t>
      </w:r>
      <w:r>
        <w:t xml:space="preserve"> všech případech hodnocena jako nerelevantní (rovná se hodnocení 1). Podobně jako v ostatních případech, model LDA funguje lépe, protože průměr hodnocení vetřelce je nižší. Současně lze </w:t>
      </w:r>
      <w:r w:rsidR="00CE5507">
        <w:t>tvrdit</w:t>
      </w:r>
      <w:r>
        <w:t xml:space="preserve">, že ačkoli průměrná přesnost obou modelů není příliš vysoká, je rozdíl mezi průměrným </w:t>
      </w:r>
      <w:r>
        <w:lastRenderedPageBreak/>
        <w:t>hodnocením všech tří nejpravděpodobnějších témat a průměrným hodnocením vetřeleckých témat relativně významný pro model LDA a méně významný pro model NMF.</w:t>
      </w:r>
      <w:r w:rsidR="00596DA3">
        <w:t xml:space="preserve"> </w:t>
      </w:r>
    </w:p>
    <w:p w14:paraId="12AD9E24" w14:textId="4DB5CFE8" w:rsidR="000B5DCC" w:rsidRDefault="00596DA3" w:rsidP="000B5DCC">
      <w:pPr>
        <w:pStyle w:val="Dalodstavce"/>
      </w:pPr>
      <w:r>
        <w:t xml:space="preserve">Na tomto místě je nutné zdůraznit, že jedním z důležitých poznatků této práce vyplývajících ze srovnání kvantitativních a kvalitativních metrik je </w:t>
      </w:r>
      <w:r w:rsidR="003502C2">
        <w:t>potvrzení toho</w:t>
      </w:r>
      <w:r>
        <w:t>, že ne vždy si odpovídají. Dle kohere</w:t>
      </w:r>
      <w:r w:rsidR="00001CAB">
        <w:t>n</w:t>
      </w:r>
      <w:r>
        <w:t xml:space="preserve">čního skóre měly totiž všechny NMF modely lepší výsledky než LDA. Ovšem v manuální evaluaci zase ve všech kategoriích vychází LDA jako přesnější metoda. </w:t>
      </w:r>
      <w:r w:rsidR="00001CAB">
        <w:t>Kvantitativní metriky, ač určitě mají svůj účel, tedy nemusí být vždy spolehlivé a takový výsledek nahrává motivaci evaluovat výsledky i manuálně.</w:t>
      </w:r>
    </w:p>
    <w:p w14:paraId="29987DCE" w14:textId="5B9E463A" w:rsidR="000B5DCC" w:rsidRDefault="000B5DCC" w:rsidP="000B5DCC">
      <w:pPr>
        <w:pStyle w:val="Dalodstavce"/>
      </w:pPr>
      <w:r>
        <w:t>Zadruhé jsem analyzovala četnost</w:t>
      </w:r>
      <w:r w:rsidR="003502C2">
        <w:t xml:space="preserve"> (frekvenci)</w:t>
      </w:r>
      <w:r>
        <w:t xml:space="preserve"> hodnot evaluace tří nejpravděpodobnějších témat u obou metod. Výsledky jsou uvedeny v následujících diagramech pro každou metodu zvlášť. Pro tuto metriku bylo jedno rozhodnutí hodnocené dvěma experty posuzováno samostatně, jako by se jednalo o dvě různá rozhodnutí, protože mě zajímá celkové hodnocení. Četnost různých hodnot evaluace (1, 2, 3, 4, 5, 6 bodů) nám ukazuje značnou převahu nízkých hodnocení (1, 2 nebo 3 body); tato hodnocení považujeme za spíše nereleva</w:t>
      </w:r>
      <w:r w:rsidR="008D074F">
        <w:t>n</w:t>
      </w:r>
      <w:r>
        <w:t xml:space="preserve">tní nebo velmi málo relevantní. </w:t>
      </w:r>
      <w:r w:rsidR="00CE5507">
        <w:t>Daný</w:t>
      </w:r>
      <w:r>
        <w:t xml:space="preserve"> výsledek je v souladu s průměrnou hodnotou všech pravděpodobných témat obou metod popsaných výše. Při porovnání průměrných výsledků i četnosti hodnocení obou metod lze pozorovat, že hodnocení LDA modelu je o něco vyšší, a to i přes to, že koherenční skóre modelu LDA bylo nižší než modelu NMF.</w:t>
      </w:r>
    </w:p>
    <w:p w14:paraId="63C0F332" w14:textId="66BDF5B8" w:rsidR="008D074F" w:rsidRDefault="008D074F" w:rsidP="008A0629">
      <w:pPr>
        <w:pStyle w:val="Obrzek"/>
      </w:pPr>
      <w:r>
        <w:rPr>
          <w:noProof/>
        </w:rPr>
        <w:lastRenderedPageBreak/>
        <w:drawing>
          <wp:inline distT="0" distB="0" distL="0" distR="0" wp14:anchorId="55087E7C" wp14:editId="09AFD8DD">
            <wp:extent cx="3886200" cy="3362325"/>
            <wp:effectExtent l="0" t="0" r="0" b="9525"/>
            <wp:docPr id="34" name="Graf 34">
              <a:extLst xmlns:a="http://schemas.openxmlformats.org/drawingml/2006/main">
                <a:ext uri="{FF2B5EF4-FFF2-40B4-BE49-F238E27FC236}">
                  <a16:creationId xmlns:a16="http://schemas.microsoft.com/office/drawing/2014/main" id="{B0146C32-FA4F-4B31-BB26-FA96CF35AC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C3EBDCC" w14:textId="51D2EBF2" w:rsidR="008D074F" w:rsidRDefault="008D074F" w:rsidP="008A0629">
      <w:pPr>
        <w:pStyle w:val="Titulek"/>
      </w:pPr>
      <w:bookmarkStart w:id="96" w:name="_Toc126874198"/>
      <w:r>
        <w:t xml:space="preserve">Obr. </w:t>
      </w:r>
      <w:r>
        <w:rPr>
          <w:noProof/>
        </w:rPr>
        <w:fldChar w:fldCharType="begin"/>
      </w:r>
      <w:r>
        <w:rPr>
          <w:noProof/>
        </w:rPr>
        <w:instrText xml:space="preserve"> SEQ Obr. \* ARABIC </w:instrText>
      </w:r>
      <w:r>
        <w:rPr>
          <w:noProof/>
        </w:rPr>
        <w:fldChar w:fldCharType="separate"/>
      </w:r>
      <w:r>
        <w:rPr>
          <w:noProof/>
        </w:rPr>
        <w:t>30</w:t>
      </w:r>
      <w:r>
        <w:rPr>
          <w:noProof/>
        </w:rPr>
        <w:fldChar w:fldCharType="end"/>
      </w:r>
      <w:r>
        <w:t>: Frekvence hodnocení relevance témat – LDA</w:t>
      </w:r>
      <w:bookmarkEnd w:id="96"/>
    </w:p>
    <w:p w14:paraId="4AC57CE8" w14:textId="2D855751" w:rsidR="008D074F" w:rsidRDefault="008D074F" w:rsidP="008A0629">
      <w:pPr>
        <w:pStyle w:val="Obrzek"/>
      </w:pPr>
      <w:r>
        <w:rPr>
          <w:noProof/>
        </w:rPr>
        <w:drawing>
          <wp:inline distT="0" distB="0" distL="0" distR="0" wp14:anchorId="6EF875CF" wp14:editId="3A1F421E">
            <wp:extent cx="3638551" cy="3395663"/>
            <wp:effectExtent l="0" t="0" r="0" b="14605"/>
            <wp:docPr id="38" name="Graf 38">
              <a:extLst xmlns:a="http://schemas.openxmlformats.org/drawingml/2006/main">
                <a:ext uri="{FF2B5EF4-FFF2-40B4-BE49-F238E27FC236}">
                  <a16:creationId xmlns:a16="http://schemas.microsoft.com/office/drawing/2014/main" id="{C48F81DC-3FB4-444D-840D-DC175F5B6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3B2751D" w14:textId="152562F1" w:rsidR="008D074F" w:rsidRPr="008D074F" w:rsidRDefault="008D074F" w:rsidP="00797755">
      <w:pPr>
        <w:pStyle w:val="Titulek"/>
      </w:pPr>
      <w:bookmarkStart w:id="97" w:name="_Toc126874199"/>
      <w:r>
        <w:t xml:space="preserve">Obr. </w:t>
      </w:r>
      <w:r>
        <w:rPr>
          <w:noProof/>
        </w:rPr>
        <w:fldChar w:fldCharType="begin"/>
      </w:r>
      <w:r>
        <w:rPr>
          <w:noProof/>
        </w:rPr>
        <w:instrText xml:space="preserve"> SEQ Obr. \* ARABIC </w:instrText>
      </w:r>
      <w:r>
        <w:rPr>
          <w:noProof/>
        </w:rPr>
        <w:fldChar w:fldCharType="separate"/>
      </w:r>
      <w:r>
        <w:rPr>
          <w:noProof/>
        </w:rPr>
        <w:t>31</w:t>
      </w:r>
      <w:r>
        <w:rPr>
          <w:noProof/>
        </w:rPr>
        <w:fldChar w:fldCharType="end"/>
      </w:r>
      <w:r>
        <w:t>: Frekvence hodnocení relevance témat - NM</w:t>
      </w:r>
      <w:r w:rsidR="00797755">
        <w:t>F</w:t>
      </w:r>
      <w:bookmarkEnd w:id="97"/>
    </w:p>
    <w:p w14:paraId="0AD3AB81" w14:textId="77777777" w:rsidR="008D074F" w:rsidRDefault="008D074F" w:rsidP="000B5DCC">
      <w:pPr>
        <w:pStyle w:val="Dalodstavce"/>
      </w:pPr>
    </w:p>
    <w:p w14:paraId="7DAF860D" w14:textId="2E918311" w:rsidR="000B5DCC" w:rsidRDefault="000B5DCC" w:rsidP="00AD785D">
      <w:pPr>
        <w:pStyle w:val="Dalodstavce"/>
      </w:pPr>
      <w:r>
        <w:t xml:space="preserve">Kromě toho jsem zjišťovala </w:t>
      </w:r>
      <w:r w:rsidR="00CE5507">
        <w:t xml:space="preserve">i </w:t>
      </w:r>
      <w:r>
        <w:t xml:space="preserve">četnost hodnocení </w:t>
      </w:r>
      <w:r w:rsidR="00CE5507">
        <w:t>„</w:t>
      </w:r>
      <w:r>
        <w:t>vetřeleckých</w:t>
      </w:r>
      <w:r w:rsidR="00CE5507">
        <w:t>“</w:t>
      </w:r>
      <w:r>
        <w:t xml:space="preserve"> témat. </w:t>
      </w:r>
      <w:r w:rsidR="00CE5507">
        <w:t>Výsledky přesvědčivě ukazují, že tato byla hodnocena stabilně jako nerelevantní –</w:t>
      </w:r>
      <w:r>
        <w:t xml:space="preserve"> </w:t>
      </w:r>
      <w:r w:rsidR="00CE5507">
        <w:t xml:space="preserve">v </w:t>
      </w:r>
      <w:r>
        <w:t>80,77 % pro model LDA a 75,64 % pro model NMF</w:t>
      </w:r>
      <w:r w:rsidR="008E66CA">
        <w:t xml:space="preserve"> byla</w:t>
      </w:r>
      <w:r>
        <w:t xml:space="preserve"> </w:t>
      </w:r>
      <w:r w:rsidR="00CE5507">
        <w:t xml:space="preserve">hodnocena </w:t>
      </w:r>
      <w:r w:rsidR="008E66CA">
        <w:t xml:space="preserve">jako </w:t>
      </w:r>
      <w:r w:rsidR="00CE5507">
        <w:t>„1 – nejméně relevantní“</w:t>
      </w:r>
      <w:r>
        <w:t>. Ačkoli není obecně možné tyto výsledky porovnat s výsledky modelu vetřeleckých témat v citované práci</w:t>
      </w:r>
      <w:r>
        <w:rPr>
          <w:rStyle w:val="Znakapoznpodarou"/>
        </w:rPr>
        <w:footnoteReference w:id="358"/>
      </w:r>
      <w:r>
        <w:t xml:space="preserve"> z důvodu odlišné metodologie, můžeme pozorovat, že výsledky v obou pracích se pohybují přinejmenším kolem stejné hodnoty relevance.</w:t>
      </w:r>
      <w:r w:rsidR="008E66CA">
        <w:t xml:space="preserve"> Současně </w:t>
      </w:r>
      <w:r w:rsidR="003502C2">
        <w:t>je hodnocení těchto témat výrazně nižší než</w:t>
      </w:r>
      <w:r w:rsidR="008E66CA">
        <w:t xml:space="preserve"> hodnocení témat pravděpodobných.</w:t>
      </w:r>
    </w:p>
    <w:p w14:paraId="783A5280" w14:textId="527BC61F" w:rsidR="000B5DCC" w:rsidRDefault="000B5DCC" w:rsidP="000B5DCC">
      <w:pPr>
        <w:pStyle w:val="Dalodstavce"/>
      </w:pPr>
      <w:r>
        <w:t xml:space="preserve">Dále chci zjistit, zda je výkonnost modelů relativně srovnatelná napříč korpusem soudních rozhodnutí, </w:t>
      </w:r>
      <w:r w:rsidR="008E1A46">
        <w:t>a</w:t>
      </w:r>
      <w:r>
        <w:t>nebo zda je výkonnost modelů silně závislá na konkrétních soudních rozhodnutích, tj. zda se hodnocení správnosti témat výrazně liší. K řešení této otázky je užita statistická metrika směrodatné odchylky.</w:t>
      </w:r>
    </w:p>
    <w:p w14:paraId="707BFDA5" w14:textId="3148FDB9" w:rsidR="000B5DCC" w:rsidRDefault="000B5DCC" w:rsidP="000B5DCC">
      <w:pPr>
        <w:pStyle w:val="Dalodstavce"/>
      </w:pPr>
      <w:r>
        <w:t>Byla vypočítána směrodatná odchylka a variační koeficient průměrných hodnocení jednotlivých rozhodnutí pro všechny tři nejpravděpodobnější témata obou modelů a pro vetřelecká témata zvlášť</w:t>
      </w:r>
      <w:r w:rsidR="00270405">
        <w:t>,</w:t>
      </w:r>
      <w:r>
        <w:t xml:space="preserve"> výsledky jsou v následujících tabulkách:</w:t>
      </w:r>
    </w:p>
    <w:p w14:paraId="4CB90852" w14:textId="5EE74502" w:rsidR="00CC32EC" w:rsidRDefault="00CC32EC" w:rsidP="00953CD9">
      <w:pPr>
        <w:pStyle w:val="Titulektabulky"/>
      </w:pPr>
      <w:bookmarkStart w:id="98" w:name="_Toc126874217"/>
      <w:r>
        <w:t xml:space="preserve">Tab. </w:t>
      </w:r>
      <w:r>
        <w:rPr>
          <w:noProof/>
        </w:rPr>
        <w:fldChar w:fldCharType="begin"/>
      </w:r>
      <w:r>
        <w:rPr>
          <w:noProof/>
        </w:rPr>
        <w:instrText xml:space="preserve"> SEQ Tab. \* ARABIC </w:instrText>
      </w:r>
      <w:r>
        <w:rPr>
          <w:noProof/>
        </w:rPr>
        <w:fldChar w:fldCharType="separate"/>
      </w:r>
      <w:r>
        <w:rPr>
          <w:noProof/>
        </w:rPr>
        <w:t>13</w:t>
      </w:r>
      <w:r>
        <w:rPr>
          <w:noProof/>
        </w:rPr>
        <w:fldChar w:fldCharType="end"/>
      </w:r>
      <w:r>
        <w:t>: Směrodatná odchylka a variační koeficient - LDA model</w:t>
      </w:r>
      <w:bookmarkEnd w:id="98"/>
    </w:p>
    <w:tbl>
      <w:tblPr>
        <w:tblStyle w:val="ZPTabulka"/>
        <w:tblW w:w="0" w:type="auto"/>
        <w:tblLook w:val="04A0" w:firstRow="1" w:lastRow="0" w:firstColumn="1" w:lastColumn="0" w:noHBand="0" w:noVBand="1"/>
      </w:tblPr>
      <w:tblGrid>
        <w:gridCol w:w="2455"/>
        <w:gridCol w:w="2455"/>
        <w:gridCol w:w="2456"/>
      </w:tblGrid>
      <w:tr w:rsidR="00CC32EC" w14:paraId="30F1D494" w14:textId="77777777" w:rsidTr="00CC32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078BC255" w14:textId="443F10EC" w:rsidR="00CC32EC" w:rsidRDefault="00CC32EC" w:rsidP="00953CD9">
            <w:pPr>
              <w:pStyle w:val="Titulektabulky"/>
            </w:pPr>
            <w:r>
              <w:t>Metrika</w:t>
            </w:r>
          </w:p>
        </w:tc>
        <w:tc>
          <w:tcPr>
            <w:tcW w:w="2455" w:type="dxa"/>
          </w:tcPr>
          <w:p w14:paraId="17AAF05A" w14:textId="0F91F4A3" w:rsidR="00CC32EC" w:rsidRDefault="00CC32EC" w:rsidP="00953CD9">
            <w:pPr>
              <w:pStyle w:val="Titulektabulky"/>
              <w:cnfStyle w:val="100000000000" w:firstRow="1" w:lastRow="0" w:firstColumn="0" w:lastColumn="0" w:oddVBand="0" w:evenVBand="0" w:oddHBand="0" w:evenHBand="0" w:firstRowFirstColumn="0" w:firstRowLastColumn="0" w:lastRowFirstColumn="0" w:lastRowLastColumn="0"/>
            </w:pPr>
            <w:r>
              <w:t>3 nejpravděpodobnější témata</w:t>
            </w:r>
          </w:p>
        </w:tc>
        <w:tc>
          <w:tcPr>
            <w:tcW w:w="2456" w:type="dxa"/>
          </w:tcPr>
          <w:p w14:paraId="13D36C63" w14:textId="342C6858" w:rsidR="00CC32EC" w:rsidRDefault="008E1A46" w:rsidP="00953CD9">
            <w:pPr>
              <w:pStyle w:val="Titulektabulky"/>
              <w:cnfStyle w:val="100000000000" w:firstRow="1" w:lastRow="0" w:firstColumn="0" w:lastColumn="0" w:oddVBand="0" w:evenVBand="0" w:oddHBand="0" w:evenHBand="0" w:firstRowFirstColumn="0" w:firstRowLastColumn="0" w:lastRowFirstColumn="0" w:lastRowLastColumn="0"/>
            </w:pPr>
            <w:r>
              <w:t>„</w:t>
            </w:r>
            <w:r w:rsidR="00CC32EC">
              <w:t>Vetřelecké</w:t>
            </w:r>
            <w:r>
              <w:t>“</w:t>
            </w:r>
            <w:r w:rsidR="00CC32EC">
              <w:t xml:space="preserve"> téma</w:t>
            </w:r>
          </w:p>
        </w:tc>
      </w:tr>
      <w:tr w:rsidR="00CC32EC" w14:paraId="15B0E77E" w14:textId="77777777" w:rsidTr="00CC3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4874F799" w14:textId="5E99A99E" w:rsidR="00CC32EC" w:rsidRDefault="00CC32EC" w:rsidP="00953CD9">
            <w:pPr>
              <w:pStyle w:val="Titulektabulky"/>
            </w:pPr>
            <w:r>
              <w:t>Průměr hodnocení</w:t>
            </w:r>
          </w:p>
        </w:tc>
        <w:tc>
          <w:tcPr>
            <w:tcW w:w="2455" w:type="dxa"/>
          </w:tcPr>
          <w:p w14:paraId="4A4B8D83" w14:textId="4C05C4FC" w:rsidR="00CC32EC" w:rsidRDefault="00CC32EC" w:rsidP="00953CD9">
            <w:pPr>
              <w:pStyle w:val="Titulektabulky"/>
              <w:cnfStyle w:val="000000100000" w:firstRow="0" w:lastRow="0" w:firstColumn="0" w:lastColumn="0" w:oddVBand="0" w:evenVBand="0" w:oddHBand="1" w:evenHBand="0" w:firstRowFirstColumn="0" w:firstRowLastColumn="0" w:lastRowFirstColumn="0" w:lastRowLastColumn="0"/>
            </w:pPr>
            <w:r>
              <w:t>2,20</w:t>
            </w:r>
          </w:p>
        </w:tc>
        <w:tc>
          <w:tcPr>
            <w:tcW w:w="2456" w:type="dxa"/>
          </w:tcPr>
          <w:p w14:paraId="4F80A7C4" w14:textId="41AE4F94" w:rsidR="00CC32EC" w:rsidRDefault="00CC32EC" w:rsidP="00953CD9">
            <w:pPr>
              <w:pStyle w:val="Titulektabulky"/>
              <w:cnfStyle w:val="000000100000" w:firstRow="0" w:lastRow="0" w:firstColumn="0" w:lastColumn="0" w:oddVBand="0" w:evenVBand="0" w:oddHBand="1" w:evenHBand="0" w:firstRowFirstColumn="0" w:firstRowLastColumn="0" w:lastRowFirstColumn="0" w:lastRowLastColumn="0"/>
            </w:pPr>
            <w:r>
              <w:t>1,29</w:t>
            </w:r>
          </w:p>
        </w:tc>
      </w:tr>
      <w:tr w:rsidR="00CC32EC" w14:paraId="41459BA7" w14:textId="77777777" w:rsidTr="00CC32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3EAD85B8" w14:textId="0238D770" w:rsidR="00CC32EC" w:rsidRDefault="00CC32EC" w:rsidP="00953CD9">
            <w:pPr>
              <w:pStyle w:val="Titulektabulky"/>
            </w:pPr>
            <w:r>
              <w:t>Směrodatná odchylka</w:t>
            </w:r>
          </w:p>
        </w:tc>
        <w:tc>
          <w:tcPr>
            <w:tcW w:w="2455" w:type="dxa"/>
          </w:tcPr>
          <w:p w14:paraId="21EFBF7C" w14:textId="1793C766" w:rsidR="00CC32EC" w:rsidRDefault="00CC32EC" w:rsidP="00953CD9">
            <w:pPr>
              <w:pStyle w:val="Titulektabulky"/>
              <w:cnfStyle w:val="000000010000" w:firstRow="0" w:lastRow="0" w:firstColumn="0" w:lastColumn="0" w:oddVBand="0" w:evenVBand="0" w:oddHBand="0" w:evenHBand="1" w:firstRowFirstColumn="0" w:firstRowLastColumn="0" w:lastRowFirstColumn="0" w:lastRowLastColumn="0"/>
            </w:pPr>
            <w:r>
              <w:t>0,78</w:t>
            </w:r>
          </w:p>
        </w:tc>
        <w:tc>
          <w:tcPr>
            <w:tcW w:w="2456" w:type="dxa"/>
          </w:tcPr>
          <w:p w14:paraId="0591B125" w14:textId="50F0C2ED" w:rsidR="00CC32EC" w:rsidRDefault="00CC32EC" w:rsidP="00953CD9">
            <w:pPr>
              <w:pStyle w:val="Titulektabulky"/>
              <w:cnfStyle w:val="000000010000" w:firstRow="0" w:lastRow="0" w:firstColumn="0" w:lastColumn="0" w:oddVBand="0" w:evenVBand="0" w:oddHBand="0" w:evenHBand="1" w:firstRowFirstColumn="0" w:firstRowLastColumn="0" w:lastRowFirstColumn="0" w:lastRowLastColumn="0"/>
            </w:pPr>
            <w:r>
              <w:t>0,73</w:t>
            </w:r>
          </w:p>
        </w:tc>
      </w:tr>
      <w:tr w:rsidR="00CC32EC" w14:paraId="5037C20B" w14:textId="77777777" w:rsidTr="00CC32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26712CE3" w14:textId="52FC6C63" w:rsidR="00CC32EC" w:rsidRDefault="00CC32EC" w:rsidP="00953CD9">
            <w:pPr>
              <w:pStyle w:val="Titulektabulky"/>
            </w:pPr>
            <w:r>
              <w:t>Variační koeficient</w:t>
            </w:r>
          </w:p>
        </w:tc>
        <w:tc>
          <w:tcPr>
            <w:tcW w:w="2455" w:type="dxa"/>
          </w:tcPr>
          <w:p w14:paraId="5ED3C46C" w14:textId="7E27B31C" w:rsidR="00CC32EC" w:rsidRDefault="00CC32EC" w:rsidP="00953CD9">
            <w:pPr>
              <w:pStyle w:val="Titulektabulky"/>
              <w:cnfStyle w:val="000000100000" w:firstRow="0" w:lastRow="0" w:firstColumn="0" w:lastColumn="0" w:oddVBand="0" w:evenVBand="0" w:oddHBand="1" w:evenHBand="0" w:firstRowFirstColumn="0" w:firstRowLastColumn="0" w:lastRowFirstColumn="0" w:lastRowLastColumn="0"/>
            </w:pPr>
            <w:r>
              <w:t>0,35</w:t>
            </w:r>
          </w:p>
        </w:tc>
        <w:tc>
          <w:tcPr>
            <w:tcW w:w="2456" w:type="dxa"/>
          </w:tcPr>
          <w:p w14:paraId="7D2359C4" w14:textId="35A4C606" w:rsidR="00CC32EC" w:rsidRDefault="00CC32EC" w:rsidP="00953CD9">
            <w:pPr>
              <w:pStyle w:val="Titulektabulky"/>
              <w:cnfStyle w:val="000000100000" w:firstRow="0" w:lastRow="0" w:firstColumn="0" w:lastColumn="0" w:oddVBand="0" w:evenVBand="0" w:oddHBand="1" w:evenHBand="0" w:firstRowFirstColumn="0" w:firstRowLastColumn="0" w:lastRowFirstColumn="0" w:lastRowLastColumn="0"/>
            </w:pPr>
            <w:r>
              <w:t>0,57</w:t>
            </w:r>
          </w:p>
        </w:tc>
      </w:tr>
    </w:tbl>
    <w:p w14:paraId="718106D4" w14:textId="6F6CE063" w:rsidR="00CC32EC" w:rsidRDefault="00CC32EC" w:rsidP="00CC32EC">
      <w:pPr>
        <w:rPr>
          <w:lang w:eastAsia="sk-SK"/>
        </w:rPr>
      </w:pPr>
    </w:p>
    <w:p w14:paraId="5D3A7A91" w14:textId="025513FE" w:rsidR="00CC32EC" w:rsidRDefault="00CC32EC" w:rsidP="00953CD9">
      <w:pPr>
        <w:pStyle w:val="Titulektabulky"/>
      </w:pPr>
      <w:bookmarkStart w:id="99" w:name="_Toc126874218"/>
      <w:r>
        <w:lastRenderedPageBreak/>
        <w:t xml:space="preserve">Tab. </w:t>
      </w:r>
      <w:r>
        <w:rPr>
          <w:noProof/>
        </w:rPr>
        <w:fldChar w:fldCharType="begin"/>
      </w:r>
      <w:r>
        <w:rPr>
          <w:noProof/>
        </w:rPr>
        <w:instrText xml:space="preserve"> SEQ Tab. \* ARABIC </w:instrText>
      </w:r>
      <w:r>
        <w:rPr>
          <w:noProof/>
        </w:rPr>
        <w:fldChar w:fldCharType="separate"/>
      </w:r>
      <w:r>
        <w:rPr>
          <w:noProof/>
        </w:rPr>
        <w:t>14</w:t>
      </w:r>
      <w:r>
        <w:rPr>
          <w:noProof/>
        </w:rPr>
        <w:fldChar w:fldCharType="end"/>
      </w:r>
      <w:r>
        <w:t>: Směrodatná odchylka a variační koeficient - NMF model</w:t>
      </w:r>
      <w:bookmarkEnd w:id="99"/>
    </w:p>
    <w:tbl>
      <w:tblPr>
        <w:tblStyle w:val="ZPTabulka"/>
        <w:tblW w:w="7681" w:type="dxa"/>
        <w:tblLook w:val="04A0" w:firstRow="1" w:lastRow="0" w:firstColumn="1" w:lastColumn="0" w:noHBand="0" w:noVBand="1"/>
      </w:tblPr>
      <w:tblGrid>
        <w:gridCol w:w="2560"/>
        <w:gridCol w:w="2560"/>
        <w:gridCol w:w="2561"/>
      </w:tblGrid>
      <w:tr w:rsidR="00CC32EC" w:rsidRPr="00CC32EC" w14:paraId="35BE716B" w14:textId="77777777" w:rsidTr="00CC32EC">
        <w:trPr>
          <w:cnfStyle w:val="100000000000" w:firstRow="1" w:lastRow="0" w:firstColumn="0" w:lastColumn="0" w:oddVBand="0" w:evenVBand="0" w:oddHBand="0"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2560" w:type="dxa"/>
            <w:vAlign w:val="center"/>
          </w:tcPr>
          <w:p w14:paraId="3D1D093B" w14:textId="77777777" w:rsidR="00CC32EC" w:rsidRPr="00CC32EC" w:rsidRDefault="00CC32EC" w:rsidP="00CC32EC">
            <w:pPr>
              <w:spacing w:line="240" w:lineRule="auto"/>
              <w:jc w:val="center"/>
              <w:rPr>
                <w:b w:val="0"/>
                <w:bCs/>
                <w:sz w:val="20"/>
                <w:szCs w:val="20"/>
                <w:lang w:eastAsia="sk-SK"/>
              </w:rPr>
            </w:pPr>
            <w:r w:rsidRPr="00CC32EC">
              <w:rPr>
                <w:b w:val="0"/>
                <w:bCs/>
                <w:sz w:val="20"/>
                <w:szCs w:val="20"/>
                <w:lang w:eastAsia="sk-SK"/>
              </w:rPr>
              <w:t>Metrika</w:t>
            </w:r>
          </w:p>
        </w:tc>
        <w:tc>
          <w:tcPr>
            <w:tcW w:w="2560" w:type="dxa"/>
            <w:vAlign w:val="center"/>
          </w:tcPr>
          <w:p w14:paraId="1DF7FC0B" w14:textId="77777777" w:rsidR="00CC32EC" w:rsidRPr="00CC32EC" w:rsidRDefault="00CC32EC" w:rsidP="00CC32EC">
            <w:pPr>
              <w:spacing w:line="240" w:lineRule="auto"/>
              <w:jc w:val="center"/>
              <w:cnfStyle w:val="100000000000" w:firstRow="1" w:lastRow="0" w:firstColumn="0" w:lastColumn="0" w:oddVBand="0" w:evenVBand="0" w:oddHBand="0" w:evenHBand="0" w:firstRowFirstColumn="0" w:firstRowLastColumn="0" w:lastRowFirstColumn="0" w:lastRowLastColumn="0"/>
              <w:rPr>
                <w:b w:val="0"/>
                <w:bCs/>
                <w:sz w:val="20"/>
                <w:szCs w:val="20"/>
                <w:lang w:eastAsia="sk-SK"/>
              </w:rPr>
            </w:pPr>
            <w:r w:rsidRPr="00CC32EC">
              <w:rPr>
                <w:b w:val="0"/>
                <w:bCs/>
                <w:sz w:val="20"/>
                <w:szCs w:val="20"/>
                <w:lang w:eastAsia="sk-SK"/>
              </w:rPr>
              <w:t>3 nejpravděpodobnější témata</w:t>
            </w:r>
          </w:p>
        </w:tc>
        <w:tc>
          <w:tcPr>
            <w:tcW w:w="2561" w:type="dxa"/>
            <w:vAlign w:val="center"/>
          </w:tcPr>
          <w:p w14:paraId="4D8D0325" w14:textId="2E6ABB34" w:rsidR="00CC32EC" w:rsidRPr="00CC32EC" w:rsidRDefault="00270405" w:rsidP="00CC32EC">
            <w:pPr>
              <w:spacing w:line="240" w:lineRule="auto"/>
              <w:jc w:val="center"/>
              <w:cnfStyle w:val="100000000000" w:firstRow="1" w:lastRow="0" w:firstColumn="0" w:lastColumn="0" w:oddVBand="0" w:evenVBand="0" w:oddHBand="0" w:evenHBand="0" w:firstRowFirstColumn="0" w:firstRowLastColumn="0" w:lastRowFirstColumn="0" w:lastRowLastColumn="0"/>
              <w:rPr>
                <w:b w:val="0"/>
                <w:bCs/>
                <w:sz w:val="20"/>
                <w:szCs w:val="20"/>
                <w:lang w:eastAsia="sk-SK"/>
              </w:rPr>
            </w:pPr>
            <w:r>
              <w:rPr>
                <w:b w:val="0"/>
                <w:bCs/>
                <w:sz w:val="20"/>
                <w:szCs w:val="20"/>
                <w:lang w:eastAsia="sk-SK"/>
              </w:rPr>
              <w:t>„</w:t>
            </w:r>
            <w:r w:rsidR="00CC32EC" w:rsidRPr="00CC32EC">
              <w:rPr>
                <w:b w:val="0"/>
                <w:bCs/>
                <w:sz w:val="20"/>
                <w:szCs w:val="20"/>
                <w:lang w:eastAsia="sk-SK"/>
              </w:rPr>
              <w:t>Vetřelecké</w:t>
            </w:r>
            <w:r>
              <w:rPr>
                <w:b w:val="0"/>
                <w:bCs/>
                <w:sz w:val="20"/>
                <w:szCs w:val="20"/>
                <w:lang w:eastAsia="sk-SK"/>
              </w:rPr>
              <w:t>“</w:t>
            </w:r>
            <w:r w:rsidR="00CC32EC" w:rsidRPr="00CC32EC">
              <w:rPr>
                <w:b w:val="0"/>
                <w:bCs/>
                <w:sz w:val="20"/>
                <w:szCs w:val="20"/>
                <w:lang w:eastAsia="sk-SK"/>
              </w:rPr>
              <w:t xml:space="preserve"> téma</w:t>
            </w:r>
          </w:p>
        </w:tc>
      </w:tr>
      <w:tr w:rsidR="00CC32EC" w:rsidRPr="00CC32EC" w14:paraId="50BEC0F9" w14:textId="77777777" w:rsidTr="00CC32EC">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560" w:type="dxa"/>
            <w:vAlign w:val="center"/>
          </w:tcPr>
          <w:p w14:paraId="6611DA94" w14:textId="77777777" w:rsidR="00CC32EC" w:rsidRPr="00CC32EC" w:rsidRDefault="00CC32EC" w:rsidP="00CC32EC">
            <w:pPr>
              <w:spacing w:line="240" w:lineRule="auto"/>
              <w:jc w:val="center"/>
              <w:rPr>
                <w:b w:val="0"/>
                <w:bCs/>
                <w:sz w:val="20"/>
                <w:szCs w:val="20"/>
                <w:lang w:eastAsia="sk-SK"/>
              </w:rPr>
            </w:pPr>
            <w:r w:rsidRPr="00CC32EC">
              <w:rPr>
                <w:b w:val="0"/>
                <w:bCs/>
                <w:sz w:val="20"/>
                <w:szCs w:val="20"/>
                <w:lang w:eastAsia="sk-SK"/>
              </w:rPr>
              <w:t>Průměr hodnocení</w:t>
            </w:r>
          </w:p>
        </w:tc>
        <w:tc>
          <w:tcPr>
            <w:tcW w:w="2560" w:type="dxa"/>
            <w:vAlign w:val="center"/>
          </w:tcPr>
          <w:p w14:paraId="55FB4F42" w14:textId="48451A09" w:rsidR="00CC32EC" w:rsidRPr="00CC32EC" w:rsidRDefault="00CC32EC" w:rsidP="00CC32EC">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szCs w:val="20"/>
                <w:lang w:eastAsia="sk-SK"/>
              </w:rPr>
            </w:pPr>
            <w:r w:rsidRPr="00CC32EC">
              <w:rPr>
                <w:b/>
                <w:bCs/>
                <w:sz w:val="20"/>
                <w:szCs w:val="20"/>
                <w:lang w:eastAsia="sk-SK"/>
              </w:rPr>
              <w:t>1,91</w:t>
            </w:r>
          </w:p>
        </w:tc>
        <w:tc>
          <w:tcPr>
            <w:tcW w:w="2561" w:type="dxa"/>
            <w:vAlign w:val="center"/>
          </w:tcPr>
          <w:p w14:paraId="251C7B9B" w14:textId="57B1C215" w:rsidR="00CC32EC" w:rsidRPr="00CC32EC" w:rsidRDefault="00CC32EC" w:rsidP="00CC32EC">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szCs w:val="20"/>
                <w:lang w:eastAsia="sk-SK"/>
              </w:rPr>
            </w:pPr>
            <w:r w:rsidRPr="00CC32EC">
              <w:rPr>
                <w:b/>
                <w:bCs/>
                <w:sz w:val="20"/>
                <w:szCs w:val="20"/>
                <w:lang w:eastAsia="sk-SK"/>
              </w:rPr>
              <w:t>1,45</w:t>
            </w:r>
          </w:p>
        </w:tc>
      </w:tr>
      <w:tr w:rsidR="00CC32EC" w:rsidRPr="00CC32EC" w14:paraId="141D8519" w14:textId="77777777" w:rsidTr="00CC32EC">
        <w:trPr>
          <w:cnfStyle w:val="000000010000" w:firstRow="0" w:lastRow="0" w:firstColumn="0" w:lastColumn="0" w:oddVBand="0" w:evenVBand="0" w:oddHBand="0" w:evenHBand="1"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2560" w:type="dxa"/>
            <w:vAlign w:val="center"/>
          </w:tcPr>
          <w:p w14:paraId="40FDFE3A" w14:textId="77777777" w:rsidR="00CC32EC" w:rsidRPr="00CC32EC" w:rsidRDefault="00CC32EC" w:rsidP="00CC32EC">
            <w:pPr>
              <w:spacing w:line="240" w:lineRule="auto"/>
              <w:jc w:val="center"/>
              <w:rPr>
                <w:b w:val="0"/>
                <w:bCs/>
                <w:sz w:val="20"/>
                <w:szCs w:val="20"/>
                <w:lang w:eastAsia="sk-SK"/>
              </w:rPr>
            </w:pPr>
            <w:r w:rsidRPr="00CC32EC">
              <w:rPr>
                <w:b w:val="0"/>
                <w:bCs/>
                <w:sz w:val="20"/>
                <w:szCs w:val="20"/>
                <w:lang w:eastAsia="sk-SK"/>
              </w:rPr>
              <w:t>Směrodatná odchylka</w:t>
            </w:r>
          </w:p>
        </w:tc>
        <w:tc>
          <w:tcPr>
            <w:tcW w:w="2560" w:type="dxa"/>
            <w:vAlign w:val="center"/>
          </w:tcPr>
          <w:p w14:paraId="6B0ED4E1" w14:textId="48729797" w:rsidR="00CC32EC" w:rsidRPr="00CC32EC" w:rsidRDefault="00CC32EC" w:rsidP="00CC32EC">
            <w:pPr>
              <w:spacing w:line="240" w:lineRule="auto"/>
              <w:jc w:val="center"/>
              <w:cnfStyle w:val="000000010000" w:firstRow="0" w:lastRow="0" w:firstColumn="0" w:lastColumn="0" w:oddVBand="0" w:evenVBand="0" w:oddHBand="0" w:evenHBand="1" w:firstRowFirstColumn="0" w:firstRowLastColumn="0" w:lastRowFirstColumn="0" w:lastRowLastColumn="0"/>
              <w:rPr>
                <w:b/>
                <w:bCs/>
                <w:sz w:val="20"/>
                <w:szCs w:val="20"/>
                <w:lang w:eastAsia="sk-SK"/>
              </w:rPr>
            </w:pPr>
            <w:r w:rsidRPr="00CC32EC">
              <w:rPr>
                <w:b/>
                <w:bCs/>
                <w:sz w:val="20"/>
                <w:szCs w:val="20"/>
                <w:lang w:eastAsia="sk-SK"/>
              </w:rPr>
              <w:t>0,75</w:t>
            </w:r>
          </w:p>
        </w:tc>
        <w:tc>
          <w:tcPr>
            <w:tcW w:w="2561" w:type="dxa"/>
            <w:vAlign w:val="center"/>
          </w:tcPr>
          <w:p w14:paraId="3309A577" w14:textId="445749AC" w:rsidR="00CC32EC" w:rsidRPr="00CC32EC" w:rsidRDefault="00CC32EC" w:rsidP="00CC32EC">
            <w:pPr>
              <w:spacing w:line="240" w:lineRule="auto"/>
              <w:jc w:val="center"/>
              <w:cnfStyle w:val="000000010000" w:firstRow="0" w:lastRow="0" w:firstColumn="0" w:lastColumn="0" w:oddVBand="0" w:evenVBand="0" w:oddHBand="0" w:evenHBand="1" w:firstRowFirstColumn="0" w:firstRowLastColumn="0" w:lastRowFirstColumn="0" w:lastRowLastColumn="0"/>
              <w:rPr>
                <w:b/>
                <w:bCs/>
                <w:sz w:val="20"/>
                <w:szCs w:val="20"/>
                <w:lang w:eastAsia="sk-SK"/>
              </w:rPr>
            </w:pPr>
            <w:r w:rsidRPr="00CC32EC">
              <w:rPr>
                <w:b/>
                <w:bCs/>
                <w:sz w:val="20"/>
                <w:szCs w:val="20"/>
                <w:lang w:eastAsia="sk-SK"/>
              </w:rPr>
              <w:t>0,88</w:t>
            </w:r>
          </w:p>
        </w:tc>
      </w:tr>
      <w:tr w:rsidR="00CC32EC" w:rsidRPr="00CC32EC" w14:paraId="60FC5E8E" w14:textId="77777777" w:rsidTr="00CC32EC">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2560" w:type="dxa"/>
            <w:vAlign w:val="center"/>
          </w:tcPr>
          <w:p w14:paraId="4B87D2C5" w14:textId="77777777" w:rsidR="00CC32EC" w:rsidRPr="00CC32EC" w:rsidRDefault="00CC32EC" w:rsidP="00CC32EC">
            <w:pPr>
              <w:spacing w:line="240" w:lineRule="auto"/>
              <w:jc w:val="center"/>
              <w:rPr>
                <w:b w:val="0"/>
                <w:bCs/>
                <w:sz w:val="20"/>
                <w:szCs w:val="20"/>
                <w:lang w:eastAsia="sk-SK"/>
              </w:rPr>
            </w:pPr>
            <w:r w:rsidRPr="00CC32EC">
              <w:rPr>
                <w:b w:val="0"/>
                <w:bCs/>
                <w:sz w:val="20"/>
                <w:szCs w:val="20"/>
                <w:lang w:eastAsia="sk-SK"/>
              </w:rPr>
              <w:t>Variační koeficient</w:t>
            </w:r>
          </w:p>
        </w:tc>
        <w:tc>
          <w:tcPr>
            <w:tcW w:w="2560" w:type="dxa"/>
            <w:vAlign w:val="center"/>
          </w:tcPr>
          <w:p w14:paraId="34AD9C5E" w14:textId="2CF0F6B9" w:rsidR="00CC32EC" w:rsidRPr="00CC32EC" w:rsidRDefault="00CC32EC" w:rsidP="00CC32EC">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szCs w:val="20"/>
                <w:lang w:eastAsia="sk-SK"/>
              </w:rPr>
            </w:pPr>
            <w:r w:rsidRPr="00CC32EC">
              <w:rPr>
                <w:b/>
                <w:bCs/>
                <w:sz w:val="20"/>
                <w:szCs w:val="20"/>
                <w:lang w:eastAsia="sk-SK"/>
              </w:rPr>
              <w:t>0,39</w:t>
            </w:r>
          </w:p>
        </w:tc>
        <w:tc>
          <w:tcPr>
            <w:tcW w:w="2561" w:type="dxa"/>
            <w:vAlign w:val="center"/>
          </w:tcPr>
          <w:p w14:paraId="0354A2F6" w14:textId="412AB010" w:rsidR="00CC32EC" w:rsidRPr="00CC32EC" w:rsidRDefault="00CC32EC" w:rsidP="00CC32EC">
            <w:pPr>
              <w:spacing w:line="240" w:lineRule="auto"/>
              <w:jc w:val="center"/>
              <w:cnfStyle w:val="000000100000" w:firstRow="0" w:lastRow="0" w:firstColumn="0" w:lastColumn="0" w:oddVBand="0" w:evenVBand="0" w:oddHBand="1" w:evenHBand="0" w:firstRowFirstColumn="0" w:firstRowLastColumn="0" w:lastRowFirstColumn="0" w:lastRowLastColumn="0"/>
              <w:rPr>
                <w:b/>
                <w:bCs/>
                <w:sz w:val="20"/>
                <w:szCs w:val="20"/>
                <w:lang w:eastAsia="sk-SK"/>
              </w:rPr>
            </w:pPr>
            <w:r w:rsidRPr="00CC32EC">
              <w:rPr>
                <w:b/>
                <w:bCs/>
                <w:sz w:val="20"/>
                <w:szCs w:val="20"/>
                <w:lang w:eastAsia="sk-SK"/>
              </w:rPr>
              <w:t>0,61</w:t>
            </w:r>
          </w:p>
        </w:tc>
      </w:tr>
    </w:tbl>
    <w:p w14:paraId="277CF654" w14:textId="77777777" w:rsidR="00CC32EC" w:rsidRPr="00EE22D1" w:rsidRDefault="00CC32EC" w:rsidP="00EE22D1">
      <w:pPr>
        <w:jc w:val="center"/>
        <w:rPr>
          <w:lang w:eastAsia="sk-SK"/>
        </w:rPr>
      </w:pPr>
    </w:p>
    <w:p w14:paraId="01B7A2B1" w14:textId="77777777" w:rsidR="00A15466" w:rsidRDefault="00A15466" w:rsidP="00A15466"/>
    <w:p w14:paraId="3EDC6A4A" w14:textId="33AFD574" w:rsidR="000B5DCC" w:rsidRDefault="000B5DCC" w:rsidP="000B5DCC">
      <w:pPr>
        <w:pStyle w:val="Dalodstavce"/>
      </w:pPr>
      <w:r>
        <w:t xml:space="preserve">Variační koeficient jako poměr směrodatné odchylky k průměru hodnocení je pro pravděpodobná témata u obou metod srovnatelný a relativně nízký. Z toho můžeme usuzovat, že v průměru se hodnocení relevance témat u jednotlivých soudních rozhodnutí liší </w:t>
      </w:r>
      <w:r w:rsidR="00270405">
        <w:t>přibližně</w:t>
      </w:r>
      <w:r>
        <w:t xml:space="preserve"> o třetinu. Vzhledem </w:t>
      </w:r>
      <w:r w:rsidR="00270405">
        <w:t>ke</w:t>
      </w:r>
      <w:r>
        <w:t xml:space="preserve"> skutečnost</w:t>
      </w:r>
      <w:r w:rsidR="00270405">
        <w:t>i</w:t>
      </w:r>
      <w:r>
        <w:t>, že jsem použila celý korpus rozhodnutí Nejvyššího soudu obsahující rozhodnutí ze všech relevantních právních oblastí jak v občanském, tak v trestním právu, a to jak hmotněprávní</w:t>
      </w:r>
      <w:r w:rsidR="00270405">
        <w:t>ch</w:t>
      </w:r>
      <w:r>
        <w:t>, tak procesněprávní</w:t>
      </w:r>
      <w:r w:rsidR="00270405">
        <w:t>ch</w:t>
      </w:r>
      <w:r>
        <w:t xml:space="preserve"> věcí, můžu přesnost obou modelů hodnotit jako relativně koherentní. Naopak, variační koeficient </w:t>
      </w:r>
      <w:r w:rsidR="00270405">
        <w:t>„</w:t>
      </w:r>
      <w:r>
        <w:t>vetřeleckých</w:t>
      </w:r>
      <w:r w:rsidR="00270405">
        <w:t>“</w:t>
      </w:r>
      <w:r>
        <w:t xml:space="preserve"> témat </w:t>
      </w:r>
      <w:r w:rsidR="00270405">
        <w:t>se</w:t>
      </w:r>
      <w:r>
        <w:t xml:space="preserve"> v průměru </w:t>
      </w:r>
      <w:r w:rsidR="00270405">
        <w:t xml:space="preserve">liší </w:t>
      </w:r>
      <w:r>
        <w:t xml:space="preserve">přibližně o 60 procent, což je poměrně vysoká hodnota. Lze však shrnout, že jsou hodnocení pravděpodobných témat </w:t>
      </w:r>
      <w:r w:rsidR="00270405">
        <w:t>vcelku</w:t>
      </w:r>
      <w:r>
        <w:t xml:space="preserve"> homogenní.</w:t>
      </w:r>
    </w:p>
    <w:p w14:paraId="28E66EAD" w14:textId="3533F58E" w:rsidR="000B5DCC" w:rsidRDefault="000B5DCC" w:rsidP="000B5DCC">
      <w:pPr>
        <w:pStyle w:val="Dalodstavce"/>
      </w:pPr>
      <w:r>
        <w:t>Poslední sledovanou metrikou je hodnocení tzv. definujícího tématu soudního rozhodnutí. V tomto případě byli právní experti instruováni, aby vybrali téma, které co nejpřesněj</w:t>
      </w:r>
      <w:r w:rsidR="005F06C4">
        <w:t>i</w:t>
      </w:r>
      <w:r>
        <w:t xml:space="preserve"> vyjadřuje právní otázku soudního rozhodnutí; mohli však vybrat i možnost </w:t>
      </w:r>
      <w:r w:rsidR="005F06C4">
        <w:t>„</w:t>
      </w:r>
      <w:r>
        <w:t>Žádné z témat”. Výsledky jsou uvedeny na následujícím diagramu:</w:t>
      </w:r>
    </w:p>
    <w:p w14:paraId="4D7778FA" w14:textId="77777777" w:rsidR="000B5DCC" w:rsidRDefault="000B5DCC" w:rsidP="000B5DCC">
      <w:pPr>
        <w:pStyle w:val="Dalodstavce"/>
      </w:pPr>
    </w:p>
    <w:p w14:paraId="6DDB5FF9" w14:textId="753FB161" w:rsidR="008521E3" w:rsidRDefault="00990644" w:rsidP="008A0629">
      <w:pPr>
        <w:pStyle w:val="Obrzek"/>
      </w:pPr>
      <w:r>
        <w:rPr>
          <w:noProof/>
        </w:rPr>
        <w:lastRenderedPageBreak/>
        <w:drawing>
          <wp:inline distT="0" distB="0" distL="0" distR="0" wp14:anchorId="2784DF82" wp14:editId="0D83E828">
            <wp:extent cx="4677410" cy="3066415"/>
            <wp:effectExtent l="0" t="0" r="8890" b="635"/>
            <wp:docPr id="48" name="Graf 48">
              <a:extLst xmlns:a="http://schemas.openxmlformats.org/drawingml/2006/main">
                <a:ext uri="{FF2B5EF4-FFF2-40B4-BE49-F238E27FC236}">
                  <a16:creationId xmlns:a16="http://schemas.microsoft.com/office/drawing/2014/main" id="{B7BD8A8C-DEBA-4BA5-8A76-F4A4FAA7F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3FDC919" w14:textId="1EA59F77" w:rsidR="008521E3" w:rsidRDefault="008521E3" w:rsidP="008A0629">
      <w:pPr>
        <w:pStyle w:val="Titulek"/>
      </w:pPr>
      <w:bookmarkStart w:id="100" w:name="_Toc126874200"/>
      <w:r>
        <w:t xml:space="preserve">Obr. </w:t>
      </w:r>
      <w:r>
        <w:rPr>
          <w:noProof/>
        </w:rPr>
        <w:fldChar w:fldCharType="begin"/>
      </w:r>
      <w:r>
        <w:rPr>
          <w:noProof/>
        </w:rPr>
        <w:instrText xml:space="preserve"> SEQ Obr. \* ARABIC </w:instrText>
      </w:r>
      <w:r>
        <w:rPr>
          <w:noProof/>
        </w:rPr>
        <w:fldChar w:fldCharType="separate"/>
      </w:r>
      <w:r>
        <w:rPr>
          <w:noProof/>
        </w:rPr>
        <w:t>32</w:t>
      </w:r>
      <w:r>
        <w:rPr>
          <w:noProof/>
        </w:rPr>
        <w:fldChar w:fldCharType="end"/>
      </w:r>
      <w:r>
        <w:t xml:space="preserve">: </w:t>
      </w:r>
      <w:r w:rsidR="00B836A8">
        <w:t>Poměr vyhodnocení tématu jako „definujícího“ v %</w:t>
      </w:r>
      <w:bookmarkEnd w:id="100"/>
    </w:p>
    <w:p w14:paraId="1001F56A" w14:textId="77777777" w:rsidR="000B5DCC" w:rsidRDefault="000B5DCC" w:rsidP="000B5DCC">
      <w:pPr>
        <w:pStyle w:val="Dalodstavce"/>
      </w:pPr>
    </w:p>
    <w:p w14:paraId="07A3DF09" w14:textId="1D5EEE77" w:rsidR="000B5DCC" w:rsidRDefault="000B5DCC" w:rsidP="000B5DCC">
      <w:pPr>
        <w:pStyle w:val="Dalodstavce"/>
      </w:pPr>
      <w:r>
        <w:t xml:space="preserve">Přestože naše výsledky nejsou </w:t>
      </w:r>
      <w:r w:rsidR="005F06C4">
        <w:t>zcela</w:t>
      </w:r>
      <w:r>
        <w:t xml:space="preserve"> přesné, při porovnávání s citovanou prací Remmitse</w:t>
      </w:r>
      <w:r>
        <w:rPr>
          <w:rStyle w:val="Znakapoznpodarou"/>
        </w:rPr>
        <w:footnoteReference w:id="359"/>
      </w:r>
      <w:r>
        <w:t xml:space="preserve"> jsou obecně přesnější. V citovaném studii většina hodnotitelů v 8 z 10 případů zvolila možnost </w:t>
      </w:r>
      <w:r w:rsidR="005F06C4">
        <w:t>„</w:t>
      </w:r>
      <w:r>
        <w:t xml:space="preserve">Žádné z témat”. V tomto experimentu hodnotitelé v méně než polovině případů zvolili možnost </w:t>
      </w:r>
      <w:r w:rsidR="005F06C4">
        <w:t>„</w:t>
      </w:r>
      <w:r>
        <w:t>Žádné z témat”</w:t>
      </w:r>
      <w:r w:rsidR="005F06C4">
        <w:t>, což znamená, že častěji nacházeli mezi předloženými tématy některé definující</w:t>
      </w:r>
      <w:r>
        <w:t>. Kromě toho byla témata LDA o něco častěji vybírána jako definující téma než témata NMF modelu</w:t>
      </w:r>
      <w:r w:rsidR="003502C2">
        <w:t>, což opět vyvrací předpoklad NMF modelu jako přesnějšího dle jeho lepšího koherenčního skóre.</w:t>
      </w:r>
    </w:p>
    <w:p w14:paraId="34B01644" w14:textId="39E4C5AC" w:rsidR="000B5DCC" w:rsidRDefault="000B5DCC" w:rsidP="000B5DCC">
      <w:pPr>
        <w:pStyle w:val="Dalodstavce"/>
      </w:pPr>
      <w:r>
        <w:t xml:space="preserve">Hlavním důvodem, proč bylo v </w:t>
      </w:r>
      <w:r w:rsidR="005F06C4">
        <w:t>uvedeném</w:t>
      </w:r>
      <w:r>
        <w:t xml:space="preserve"> experimentu užito více statistických a analytických metrik, než v předchozích dvou experimentech, je výrazně nižší přesnost obou metod. I přes zajímavá zjištění uvedená výše si </w:t>
      </w:r>
      <w:r w:rsidR="005F06C4">
        <w:t xml:space="preserve">lze jen </w:t>
      </w:r>
      <w:r>
        <w:t xml:space="preserve">těžko představit, že by bylo možné i přesnější metodu LDA užít bez dalšího zprocesování získaných informací pro praktické vyhledávání či kategorizaci soudních rozhodnutí. Pomocí doplňkových proměnných a metrik jsem se </w:t>
      </w:r>
      <w:r w:rsidR="005F06C4">
        <w:t>proto</w:t>
      </w:r>
      <w:r>
        <w:t xml:space="preserve"> snažila získat více informací o relevanci předložených témat. Níže uvádím, co považuji za hlavní důvody nízké průměrné hodnoty evaluace metod modelování témat.</w:t>
      </w:r>
    </w:p>
    <w:p w14:paraId="6252F8CE" w14:textId="53897C11" w:rsidR="000B5DCC" w:rsidRDefault="000B5DCC" w:rsidP="000B5DCC">
      <w:pPr>
        <w:pStyle w:val="Dalodstavce"/>
      </w:pPr>
      <w:r>
        <w:lastRenderedPageBreak/>
        <w:t>Především</w:t>
      </w:r>
      <w:r w:rsidR="005F06C4">
        <w:t>,</w:t>
      </w:r>
      <w:r>
        <w:t xml:space="preserve"> i při provedení standardních kroků předzpracování, korpus soudních rozhodnutí Nejvyššího soudu je relativně homogenní korpus dokumentů se specifickým jazykem, ve srovnání např. s korpusy novinových článků, které se běžně používají pro modelování témat</w:t>
      </w:r>
      <w:r>
        <w:rPr>
          <w:rStyle w:val="Znakapoznpodarou"/>
        </w:rPr>
        <w:footnoteReference w:id="360"/>
      </w:r>
      <w:r>
        <w:t>. Z tohoto důvodu je třeba provést rozsáhlejší předzpracování a výraznější zásahy do textů, aby modely byly při vytváření a přiřazování témat přesnější. Je známo, že metody modelování témat jsou metody statistické a mnohem citlivější na kvalitu vstupních dat, než jsou novější algoritmy hlubokého učení, jako je např. doc2vec.</w:t>
      </w:r>
    </w:p>
    <w:p w14:paraId="241FE954" w14:textId="05B9C760" w:rsidR="000B5DCC" w:rsidRDefault="000B5DCC" w:rsidP="000B5DCC">
      <w:pPr>
        <w:pStyle w:val="Dalodstavce"/>
      </w:pPr>
      <w:r>
        <w:t xml:space="preserve">Velikost korpusu a počet témat, která je třeba vytvořit, je </w:t>
      </w:r>
      <w:r w:rsidR="005F06C4">
        <w:t>druhým faktorem</w:t>
      </w:r>
      <w:r>
        <w:t>, kter</w:t>
      </w:r>
      <w:r w:rsidR="005F06C4">
        <w:t>ý</w:t>
      </w:r>
      <w:r>
        <w:t xml:space="preserve"> přímo ovlivňuje přesnost modelů. Korpus obsahující přibližně 111 tis. soudních rozhodnutí různých právních otázek a oblastí, a to jak občanského, tak trestního práva a hmotněprávních i procesněprávních záležitostí, je robustní. Použila jsem koherenční skóre, abych zvolila optimální počet témat pro takový korpus</w:t>
      </w:r>
      <w:r w:rsidR="005F06C4">
        <w:t>,</w:t>
      </w:r>
      <w:r>
        <w:t xml:space="preserve"> a tak byly zvoleny modely s 20 a 30 tématy. Nicméně takové modely poskytují velmi obecná témata a již v průběhu kvalitativní analýzy témat</w:t>
      </w:r>
      <w:r>
        <w:rPr>
          <w:rStyle w:val="Znakapoznpodarou"/>
        </w:rPr>
        <w:footnoteReference w:id="361"/>
      </w:r>
      <w:r>
        <w:t xml:space="preserve"> bylo zřejmé, že témata nejsou dostatečně konkrétní, aby byla </w:t>
      </w:r>
      <w:r w:rsidR="005F06C4" w:rsidRPr="005F06C4">
        <w:t xml:space="preserve">pro právníky </w:t>
      </w:r>
      <w:r>
        <w:t>použitelná a smysluplná. Navzdory nižším hodnotám koherenčního skóre předpokládám, že by modely s vyšším počtem témat mohly poskytnout relevantnější témata na základě kvalitativní kontroly témat těchto modelů. Tento předpoklad je dále podpořen skutečností, že průměrná hodnota evaluace relevance, stejně jako všechna ostatní statistická hodnocení, j</w:t>
      </w:r>
      <w:r w:rsidR="005F06C4">
        <w:t>e</w:t>
      </w:r>
      <w:r>
        <w:t xml:space="preserve"> nižší pro NMF model než pro LDA model. Všechny metriky zde počítané ukazují, že model LDA je považován za přesnější než model NMF. Je tomu tak navzdory skutečnosti, že model NMF má vyšší koherenční skóre, než model LDA.</w:t>
      </w:r>
    </w:p>
    <w:p w14:paraId="774703F8" w14:textId="24120F40" w:rsidR="000B5DCC" w:rsidRDefault="000B5DCC" w:rsidP="000B5DCC">
      <w:pPr>
        <w:pStyle w:val="Dalodstavce"/>
      </w:pPr>
      <w:r>
        <w:t>Zajímavým zjištěním je, že nejpravděpodobnější témata nemají nejvyšší hodnoty hodnocení. Je to druhé nejpravděpodobnějš</w:t>
      </w:r>
      <w:r w:rsidR="00EF32AB">
        <w:t>í</w:t>
      </w:r>
      <w:r>
        <w:t xml:space="preserve"> téma LDA a třetí nejpravděpodobnější téma NMF s nejvyššími hodnoceními. Toto zjištění je v souladu s kvalitativním analýzou. Jak bylo uvedeno, některá témata obou modelů jsou velmi obecná, a proto je lze přiřadit k mnoha </w:t>
      </w:r>
      <w:r>
        <w:lastRenderedPageBreak/>
        <w:t>soudním rozhodnutí</w:t>
      </w:r>
      <w:r w:rsidR="005F06C4">
        <w:t>m</w:t>
      </w:r>
      <w:r>
        <w:t xml:space="preserve"> lišící</w:t>
      </w:r>
      <w:r w:rsidR="005F06C4">
        <w:t>m</w:t>
      </w:r>
      <w:r>
        <w:t xml:space="preserve"> se v právní materii ve srovnání s těmi konkrétnějšími. Kromě toho právní experti nepovažují tato témata za relevantní a smysluplná s ohledem na konkrétní soudní rozhodnutí. </w:t>
      </w:r>
      <w:r w:rsidR="005F06C4">
        <w:t>N</w:t>
      </w:r>
      <w:r>
        <w:t xml:space="preserve">aopak považují za relevantnější témata na druhé (pro LDA) a třetí (pro NMF) pozici přidělených pravděpodobných témat, </w:t>
      </w:r>
      <w:r w:rsidR="005F06C4">
        <w:t>a to nejspíš</w:t>
      </w:r>
      <w:r>
        <w:t xml:space="preserve"> proto, že tato témata jsou konkrétnější.</w:t>
      </w:r>
    </w:p>
    <w:p w14:paraId="50E79CBB" w14:textId="341AE02F" w:rsidR="000B5DCC" w:rsidRDefault="000B5DCC" w:rsidP="000B5DCC">
      <w:pPr>
        <w:pStyle w:val="Dalodstavce"/>
      </w:pPr>
      <w:r>
        <w:t xml:space="preserve">Nicméně hodnocení </w:t>
      </w:r>
      <w:r w:rsidR="005F06C4">
        <w:t>„</w:t>
      </w:r>
      <w:r>
        <w:t>vetřeleckých</w:t>
      </w:r>
      <w:r w:rsidR="005F06C4">
        <w:t>“</w:t>
      </w:r>
      <w:r>
        <w:t xml:space="preserve"> témat je naopak poměrně přesné a lze </w:t>
      </w:r>
      <w:r w:rsidR="005F06C4">
        <w:t>pozorovat</w:t>
      </w:r>
      <w:r>
        <w:t xml:space="preserve">, že výsledky hodnocení obou modelů jsou </w:t>
      </w:r>
      <w:r w:rsidR="005F06C4">
        <w:t>celkem</w:t>
      </w:r>
      <w:r>
        <w:t xml:space="preserve"> spolehlivé v hodnocení vetřelců jako </w:t>
      </w:r>
      <w:r w:rsidR="005F06C4">
        <w:t xml:space="preserve">„1 - </w:t>
      </w:r>
      <w:r>
        <w:t>nejméně relevantních</w:t>
      </w:r>
      <w:r w:rsidR="005F06C4">
        <w:t>“</w:t>
      </w:r>
      <w:r>
        <w:t xml:space="preserve"> nebo málo relevantních.</w:t>
      </w:r>
    </w:p>
    <w:p w14:paraId="36B808E4" w14:textId="0ADD0338" w:rsidR="000B5DCC" w:rsidRDefault="000B5DCC">
      <w:pPr>
        <w:pStyle w:val="Nadpis2"/>
        <w:numPr>
          <w:ilvl w:val="1"/>
          <w:numId w:val="14"/>
        </w:numPr>
      </w:pPr>
      <w:bookmarkStart w:id="101" w:name="_Toc126909369"/>
      <w:r>
        <w:t>Výsledky evaluace vícevrstvé aplikace metod</w:t>
      </w:r>
      <w:bookmarkEnd w:id="101"/>
    </w:p>
    <w:p w14:paraId="5BD13C88" w14:textId="163A01F7" w:rsidR="000B5DCC" w:rsidRDefault="000B5DCC" w:rsidP="000B5DCC">
      <w:pPr>
        <w:pStyle w:val="Odstavec1"/>
      </w:pPr>
      <w:r>
        <w:t>Vícevrstvá aplikace metod byl jediný dílčí experiment, který byl proveden v rámci druhé fáze evaluace. Metodologie evaluace však byla velmi podobná a to z důvodu, aby bylo možné spolehlivě porovnat výsledky kombinace metod a jejich samostatné předchozí aplikace. Zkoumanými statistickými metrikami tu z tohoto důvodu byly průměrné hodnocení a četnost hodnocení. Jelikož se tento experiment skládal ze dvou částí, představím i výsledky těchto částí zvlášť.</w:t>
      </w:r>
    </w:p>
    <w:p w14:paraId="55F2A178" w14:textId="79DE33AC" w:rsidR="000B5DCC" w:rsidRDefault="000B5DCC" w:rsidP="000B5DCC">
      <w:pPr>
        <w:pStyle w:val="Dalodstavce"/>
      </w:pPr>
      <w:r>
        <w:t>Nejprve jsem tedy zjišťovala rozdíl v průměrné hodnotě evaluace dvou nejpodobnějších rozhodnutí (tato hodnota byla získána v první fázi evaluačních experimentů při evaluaci doc2vec modelu samotného) a dvou nejpodobnějších rozhodnutí spojených navzájem citací</w:t>
      </w:r>
      <w:r w:rsidR="00910590">
        <w:t>,</w:t>
      </w:r>
      <w:r>
        <w:t xml:space="preserve"> z následující tabulky je patrné, že je tento rozdíl výrazný. Současně je třeba vzít v úvahu skutečnost, že evaluační skupina měla vysokou právní odbornost, avšak doménově </w:t>
      </w:r>
      <w:r w:rsidR="00910590" w:rsidRPr="00910590">
        <w:t xml:space="preserve">velmi </w:t>
      </w:r>
      <w:r>
        <w:t xml:space="preserve">různorodou. Hodnocená soudní rozhodnutí byla rozhodnutí týkající se autorského zákona. Evaluační skupina ale byla složena z právníků z různých právních </w:t>
      </w:r>
      <w:r w:rsidR="00910590">
        <w:t>odvětví</w:t>
      </w:r>
      <w:r>
        <w:t xml:space="preserve"> a právnických profesí, což znamená, že odborník na autorské právo bude pravděpodobně stejnou dvojici předložených rozhodnutí hodnotit jinak než soudce z oblasti trestního práva. S ohledem na tyto důvody a na skutečnost, že model by neměl obecně sloužit pouze doménově omezené skupině právníků, ale měl by být používán v co nejširší míře, tyto výsledky považuji za dostatečné a přesnost </w:t>
      </w:r>
      <w:r w:rsidR="00910590">
        <w:t>určené</w:t>
      </w:r>
      <w:r>
        <w:t xml:space="preserve"> metody považuji za výrazně vyšší.</w:t>
      </w:r>
      <w:r w:rsidR="00910590">
        <w:t xml:space="preserve"> V následující tabulce představuji výsledky experimentu v komparaci s výsledky experimentu uvedenými v podkapitole 10.2 (samostatné užití modelu doc2vec).</w:t>
      </w:r>
    </w:p>
    <w:p w14:paraId="452BDCCB" w14:textId="13A203C4" w:rsidR="00705775" w:rsidRDefault="00705775" w:rsidP="00953CD9">
      <w:pPr>
        <w:pStyle w:val="Titulektabulky"/>
      </w:pPr>
      <w:bookmarkStart w:id="102" w:name="_Toc126874219"/>
      <w:r>
        <w:lastRenderedPageBreak/>
        <w:t xml:space="preserve">Tab. </w:t>
      </w:r>
      <w:r>
        <w:rPr>
          <w:noProof/>
        </w:rPr>
        <w:fldChar w:fldCharType="begin"/>
      </w:r>
      <w:r>
        <w:rPr>
          <w:noProof/>
        </w:rPr>
        <w:instrText xml:space="preserve"> SEQ Tab. \* ARABIC </w:instrText>
      </w:r>
      <w:r>
        <w:rPr>
          <w:noProof/>
        </w:rPr>
        <w:fldChar w:fldCharType="separate"/>
      </w:r>
      <w:r>
        <w:rPr>
          <w:noProof/>
        </w:rPr>
        <w:t>15</w:t>
      </w:r>
      <w:r>
        <w:rPr>
          <w:noProof/>
        </w:rPr>
        <w:fldChar w:fldCharType="end"/>
      </w:r>
      <w:r>
        <w:t>: Průměrná hodnota hodnocení podobnosti soudních rozhodnutí s a bez vzájemné citační vazby</w:t>
      </w:r>
      <w:bookmarkEnd w:id="102"/>
    </w:p>
    <w:tbl>
      <w:tblPr>
        <w:tblStyle w:val="ZPTabulka"/>
        <w:tblW w:w="0" w:type="auto"/>
        <w:tblLook w:val="04A0" w:firstRow="1" w:lastRow="0" w:firstColumn="1" w:lastColumn="0" w:noHBand="0" w:noVBand="1"/>
      </w:tblPr>
      <w:tblGrid>
        <w:gridCol w:w="1841"/>
        <w:gridCol w:w="1841"/>
        <w:gridCol w:w="1842"/>
        <w:gridCol w:w="1842"/>
      </w:tblGrid>
      <w:tr w:rsidR="00705775" w14:paraId="6980194E" w14:textId="77777777" w:rsidTr="007057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17279BDC" w14:textId="5CED798C" w:rsidR="00705775" w:rsidRPr="00705775" w:rsidRDefault="00705775" w:rsidP="00EE22D1">
            <w:pPr>
              <w:jc w:val="center"/>
              <w:rPr>
                <w:sz w:val="20"/>
                <w:szCs w:val="20"/>
                <w:lang w:eastAsia="sk-SK"/>
              </w:rPr>
            </w:pPr>
          </w:p>
        </w:tc>
        <w:tc>
          <w:tcPr>
            <w:tcW w:w="1841" w:type="dxa"/>
          </w:tcPr>
          <w:p w14:paraId="6592F813" w14:textId="102E3544" w:rsidR="00705775" w:rsidRPr="00705775" w:rsidRDefault="00705775"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705775">
              <w:rPr>
                <w:sz w:val="20"/>
                <w:szCs w:val="20"/>
                <w:lang w:eastAsia="sk-SK"/>
              </w:rPr>
              <w:t>Nejpodobnější rozhodnutí s citací</w:t>
            </w:r>
          </w:p>
        </w:tc>
        <w:tc>
          <w:tcPr>
            <w:tcW w:w="1842" w:type="dxa"/>
          </w:tcPr>
          <w:p w14:paraId="5243D0BC" w14:textId="6D328DBC" w:rsidR="00705775" w:rsidRPr="00705775" w:rsidRDefault="00705775"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705775">
              <w:rPr>
                <w:sz w:val="20"/>
                <w:szCs w:val="20"/>
                <w:lang w:eastAsia="sk-SK"/>
              </w:rPr>
              <w:t>Nejpodobnější rozhodnutí</w:t>
            </w:r>
          </w:p>
        </w:tc>
        <w:tc>
          <w:tcPr>
            <w:tcW w:w="1842" w:type="dxa"/>
          </w:tcPr>
          <w:p w14:paraId="0EABA25A" w14:textId="593F7B9B" w:rsidR="00705775" w:rsidRPr="00705775" w:rsidRDefault="00705775" w:rsidP="00EE22D1">
            <w:pPr>
              <w:jc w:val="center"/>
              <w:cnfStyle w:val="100000000000" w:firstRow="1" w:lastRow="0" w:firstColumn="0" w:lastColumn="0" w:oddVBand="0" w:evenVBand="0" w:oddHBand="0" w:evenHBand="0" w:firstRowFirstColumn="0" w:firstRowLastColumn="0" w:lastRowFirstColumn="0" w:lastRowLastColumn="0"/>
              <w:rPr>
                <w:sz w:val="20"/>
                <w:szCs w:val="20"/>
                <w:lang w:eastAsia="sk-SK"/>
              </w:rPr>
            </w:pPr>
            <w:r w:rsidRPr="00705775">
              <w:rPr>
                <w:sz w:val="20"/>
                <w:szCs w:val="20"/>
                <w:lang w:eastAsia="sk-SK"/>
              </w:rPr>
              <w:t>10. nejpodobnější rozhodnutí</w:t>
            </w:r>
          </w:p>
        </w:tc>
      </w:tr>
      <w:tr w:rsidR="00705775" w14:paraId="353CE4E2" w14:textId="77777777" w:rsidTr="00705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7257B188" w14:textId="414861F9" w:rsidR="00705775" w:rsidRPr="00705775" w:rsidRDefault="00705775" w:rsidP="00EE22D1">
            <w:pPr>
              <w:jc w:val="center"/>
              <w:rPr>
                <w:sz w:val="20"/>
                <w:szCs w:val="20"/>
                <w:lang w:eastAsia="sk-SK"/>
              </w:rPr>
            </w:pPr>
            <w:r w:rsidRPr="00705775">
              <w:rPr>
                <w:sz w:val="20"/>
                <w:szCs w:val="20"/>
                <w:lang w:eastAsia="sk-SK"/>
              </w:rPr>
              <w:t>Průměrná hodnota</w:t>
            </w:r>
          </w:p>
        </w:tc>
        <w:tc>
          <w:tcPr>
            <w:tcW w:w="1841" w:type="dxa"/>
          </w:tcPr>
          <w:p w14:paraId="29429356" w14:textId="17E0FDA4" w:rsidR="00705775" w:rsidRPr="00705775" w:rsidRDefault="0070577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705775">
              <w:rPr>
                <w:sz w:val="20"/>
                <w:szCs w:val="20"/>
                <w:lang w:eastAsia="sk-SK"/>
              </w:rPr>
              <w:t>4,4</w:t>
            </w:r>
          </w:p>
        </w:tc>
        <w:tc>
          <w:tcPr>
            <w:tcW w:w="1842" w:type="dxa"/>
          </w:tcPr>
          <w:p w14:paraId="7A1B177D" w14:textId="03545EED" w:rsidR="00705775" w:rsidRPr="00705775" w:rsidRDefault="0070577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705775">
              <w:rPr>
                <w:sz w:val="20"/>
                <w:szCs w:val="20"/>
                <w:lang w:eastAsia="sk-SK"/>
              </w:rPr>
              <w:t>3,58</w:t>
            </w:r>
          </w:p>
        </w:tc>
        <w:tc>
          <w:tcPr>
            <w:tcW w:w="1842" w:type="dxa"/>
          </w:tcPr>
          <w:p w14:paraId="7C612106" w14:textId="74B603BC" w:rsidR="00705775" w:rsidRPr="00705775" w:rsidRDefault="00705775" w:rsidP="00EE22D1">
            <w:pPr>
              <w:jc w:val="center"/>
              <w:cnfStyle w:val="000000100000" w:firstRow="0" w:lastRow="0" w:firstColumn="0" w:lastColumn="0" w:oddVBand="0" w:evenVBand="0" w:oddHBand="1" w:evenHBand="0" w:firstRowFirstColumn="0" w:firstRowLastColumn="0" w:lastRowFirstColumn="0" w:lastRowLastColumn="0"/>
              <w:rPr>
                <w:sz w:val="20"/>
                <w:szCs w:val="20"/>
                <w:lang w:eastAsia="sk-SK"/>
              </w:rPr>
            </w:pPr>
            <w:r w:rsidRPr="00705775">
              <w:rPr>
                <w:sz w:val="20"/>
                <w:szCs w:val="20"/>
                <w:lang w:eastAsia="sk-SK"/>
              </w:rPr>
              <w:t>3,12</w:t>
            </w:r>
          </w:p>
        </w:tc>
      </w:tr>
    </w:tbl>
    <w:p w14:paraId="58294F5C" w14:textId="5B23AD1E" w:rsidR="000B5DCC" w:rsidRDefault="000B5DCC" w:rsidP="00705775">
      <w:pPr>
        <w:pStyle w:val="Dalodstavce"/>
        <w:ind w:firstLine="0"/>
      </w:pPr>
      <w:bookmarkStart w:id="103" w:name="tbl:i1nqxxbn2z9l"/>
    </w:p>
    <w:bookmarkEnd w:id="103"/>
    <w:p w14:paraId="6BDA0360" w14:textId="527EDCF8" w:rsidR="000B5DCC" w:rsidRDefault="000B5DCC" w:rsidP="000B5DCC">
      <w:pPr>
        <w:pStyle w:val="Dalodstavce"/>
      </w:pPr>
      <w:r>
        <w:t xml:space="preserve">Četnost různých hodnot hodnocení na následujícím </w:t>
      </w:r>
      <w:r w:rsidR="000C1D6A">
        <w:t>dia</w:t>
      </w:r>
      <w:r>
        <w:t xml:space="preserve">gramu tento závěr podporuje. Naprostá většina vyšších hodnocení podobnosti vede k závěru, že </w:t>
      </w:r>
      <w:r w:rsidR="00910590">
        <w:t>jasná majorita</w:t>
      </w:r>
      <w:r>
        <w:t xml:space="preserve"> vyhledaných rozhodnutí se vzájemnou citační vazbou je nějakým způsobem relevantní, i když právníci shledávají určité rozdíly buď v právní otázce, nebo ve faktickém pozadí případu. Z toho důvodu, považuji výsledky za dostatečné pro vytvoření základu pro nástroj pro vyhledávání rozhodnutí Nejvyššího soudu.</w:t>
      </w:r>
    </w:p>
    <w:p w14:paraId="7E99DCB0" w14:textId="2B450DBB" w:rsidR="00AB3DD5" w:rsidRDefault="00AB3DD5" w:rsidP="008A0629">
      <w:pPr>
        <w:pStyle w:val="Obrzek"/>
      </w:pPr>
      <w:r>
        <w:rPr>
          <w:noProof/>
        </w:rPr>
        <w:drawing>
          <wp:inline distT="0" distB="0" distL="0" distR="0" wp14:anchorId="4148B9BD" wp14:editId="1A373C1C">
            <wp:extent cx="4677410" cy="2906395"/>
            <wp:effectExtent l="0" t="0" r="8890" b="8255"/>
            <wp:docPr id="46" name="Graf 46">
              <a:extLst xmlns:a="http://schemas.openxmlformats.org/drawingml/2006/main">
                <a:ext uri="{FF2B5EF4-FFF2-40B4-BE49-F238E27FC236}">
                  <a16:creationId xmlns:a16="http://schemas.microsoft.com/office/drawing/2014/main" id="{6AF91820-B08B-3FE0-5D58-D4448E5D4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592C59A" w14:textId="07F46BC2" w:rsidR="000B5DCC" w:rsidRDefault="00AB3DD5" w:rsidP="00A06954">
      <w:pPr>
        <w:pStyle w:val="Titulek"/>
      </w:pPr>
      <w:bookmarkStart w:id="104" w:name="_Toc126874201"/>
      <w:r>
        <w:t xml:space="preserve">Obr. </w:t>
      </w:r>
      <w:r>
        <w:rPr>
          <w:noProof/>
        </w:rPr>
        <w:fldChar w:fldCharType="begin"/>
      </w:r>
      <w:r>
        <w:rPr>
          <w:noProof/>
        </w:rPr>
        <w:instrText xml:space="preserve"> SEQ Obr. \* ARABIC </w:instrText>
      </w:r>
      <w:r>
        <w:rPr>
          <w:noProof/>
        </w:rPr>
        <w:fldChar w:fldCharType="separate"/>
      </w:r>
      <w:r>
        <w:rPr>
          <w:noProof/>
        </w:rPr>
        <w:t>33</w:t>
      </w:r>
      <w:r>
        <w:rPr>
          <w:noProof/>
        </w:rPr>
        <w:fldChar w:fldCharType="end"/>
      </w:r>
      <w:r>
        <w:t>: Frekvence hodnocení podobnosti rozhodnutí</w:t>
      </w:r>
      <w:r w:rsidR="000C1D6A">
        <w:t xml:space="preserve"> v %</w:t>
      </w:r>
      <w:r>
        <w:t xml:space="preserve"> – doc2vec a citace</w:t>
      </w:r>
      <w:bookmarkEnd w:id="104"/>
    </w:p>
    <w:p w14:paraId="2F003A47" w14:textId="77777777" w:rsidR="000B5DCC" w:rsidRDefault="000B5DCC" w:rsidP="000B5DCC">
      <w:pPr>
        <w:pStyle w:val="Dalodstavce"/>
      </w:pPr>
    </w:p>
    <w:p w14:paraId="60CB0908" w14:textId="348904FE" w:rsidR="000B5DCC" w:rsidRDefault="000B5DCC" w:rsidP="000B5DCC">
      <w:pPr>
        <w:pStyle w:val="Dalodstavce"/>
      </w:pPr>
      <w:r>
        <w:t>V druhé části tohoto experimentu byla evaluována metoda kombinující doc2vec model s t</w:t>
      </w:r>
      <w:r w:rsidR="000C1D6A">
        <w:t>e</w:t>
      </w:r>
      <w:r>
        <w:t xml:space="preserve">matickými shluky metod LDA metody. Metody tematického modelování byly v první fázi výzkumu nejslabší, LDA však měla lepší výsledek než NMF. Na druhou stranu jejich potenciál je velký v případě, že získaná témata budou dostatečně přesná, protože přiřazená </w:t>
      </w:r>
      <w:r>
        <w:lastRenderedPageBreak/>
        <w:t>témata by mohla potenciálně znamenat další vrstvu metadat pro soudní rozhodnutí nebo dokonce velmi jednoduchou sumarizaci textu. Proto jsem se rozhodla použít LDA metodu v kombinaci s přesnějším modelem doc2vec a zjistit, zda by</w:t>
      </w:r>
      <w:r w:rsidR="00910590">
        <w:t xml:space="preserve"> se</w:t>
      </w:r>
      <w:r>
        <w:t xml:space="preserve"> tato kombinace mohla </w:t>
      </w:r>
      <w:r w:rsidR="00910590">
        <w:t>ubírat</w:t>
      </w:r>
      <w:r>
        <w:t xml:space="preserve"> správným směrem. Předpoklad zde je, že informace o nejpravděpodobnějším tématu přiřazeném modelem LDA o 30 tématech by mohla vyřadit potenciální falešně pozitivní rozhodnutí získaná modelem doc2vec s vysokou kosinovou podobností, která však nejsou tolik relevantní. Tímto způsobem by LDA model mohl dále filtrovat výsledky modelu doc2vec.</w:t>
      </w:r>
    </w:p>
    <w:p w14:paraId="5A798F40" w14:textId="09C0AECC" w:rsidR="000C1D6A" w:rsidRDefault="000C1D6A" w:rsidP="00953CD9">
      <w:pPr>
        <w:pStyle w:val="Titulektabulky"/>
      </w:pPr>
      <w:bookmarkStart w:id="105" w:name="_Toc126874220"/>
      <w:r>
        <w:t xml:space="preserve">Tab. </w:t>
      </w:r>
      <w:r>
        <w:rPr>
          <w:noProof/>
        </w:rPr>
        <w:fldChar w:fldCharType="begin"/>
      </w:r>
      <w:r>
        <w:rPr>
          <w:noProof/>
        </w:rPr>
        <w:instrText xml:space="preserve"> SEQ Tab. \* ARABIC </w:instrText>
      </w:r>
      <w:r>
        <w:rPr>
          <w:noProof/>
        </w:rPr>
        <w:fldChar w:fldCharType="separate"/>
      </w:r>
      <w:r>
        <w:rPr>
          <w:noProof/>
        </w:rPr>
        <w:t>16</w:t>
      </w:r>
      <w:r>
        <w:rPr>
          <w:noProof/>
        </w:rPr>
        <w:fldChar w:fldCharType="end"/>
      </w:r>
      <w:r>
        <w:t xml:space="preserve">: </w:t>
      </w:r>
      <w:r w:rsidRPr="000C1D6A">
        <w:t>Průměrné hodnoty podobnosti soudních rozhodnutí s přiřazeným stejným a odlišným tématem</w:t>
      </w:r>
      <w:bookmarkEnd w:id="105"/>
    </w:p>
    <w:tbl>
      <w:tblPr>
        <w:tblStyle w:val="ZPTabulka"/>
        <w:tblW w:w="0" w:type="auto"/>
        <w:tblLook w:val="04A0" w:firstRow="1" w:lastRow="0" w:firstColumn="1" w:lastColumn="0" w:noHBand="0" w:noVBand="1"/>
      </w:tblPr>
      <w:tblGrid>
        <w:gridCol w:w="2455"/>
        <w:gridCol w:w="2455"/>
        <w:gridCol w:w="2456"/>
      </w:tblGrid>
      <w:tr w:rsidR="000C1D6A" w14:paraId="2E391024" w14:textId="77777777" w:rsidTr="000C1D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5BEB3332" w14:textId="099A237A" w:rsidR="000C1D6A" w:rsidRDefault="000C1D6A" w:rsidP="00953CD9">
            <w:pPr>
              <w:pStyle w:val="Titulektabulky"/>
            </w:pPr>
          </w:p>
        </w:tc>
        <w:tc>
          <w:tcPr>
            <w:tcW w:w="2455" w:type="dxa"/>
          </w:tcPr>
          <w:p w14:paraId="6917F33B" w14:textId="78BCBC13" w:rsidR="000C1D6A" w:rsidRDefault="000C1D6A" w:rsidP="00953CD9">
            <w:pPr>
              <w:pStyle w:val="Titulektabulky"/>
              <w:cnfStyle w:val="100000000000" w:firstRow="1" w:lastRow="0" w:firstColumn="0" w:lastColumn="0" w:oddVBand="0" w:evenVBand="0" w:oddHBand="0" w:evenHBand="0" w:firstRowFirstColumn="0" w:firstRowLastColumn="0" w:lastRowFirstColumn="0" w:lastRowLastColumn="0"/>
            </w:pPr>
            <w:r>
              <w:t>Nejpodobnější rozhodnutí se stejným tématem</w:t>
            </w:r>
          </w:p>
        </w:tc>
        <w:tc>
          <w:tcPr>
            <w:tcW w:w="2456" w:type="dxa"/>
          </w:tcPr>
          <w:p w14:paraId="56DB181E" w14:textId="272BB97F" w:rsidR="000C1D6A" w:rsidRDefault="000C1D6A" w:rsidP="00953CD9">
            <w:pPr>
              <w:pStyle w:val="Titulektabulky"/>
              <w:cnfStyle w:val="100000000000" w:firstRow="1" w:lastRow="0" w:firstColumn="0" w:lastColumn="0" w:oddVBand="0" w:evenVBand="0" w:oddHBand="0" w:evenHBand="0" w:firstRowFirstColumn="0" w:firstRowLastColumn="0" w:lastRowFirstColumn="0" w:lastRowLastColumn="0"/>
            </w:pPr>
            <w:r>
              <w:t>Nejpodobnější rozhodnutí s jiným tématem</w:t>
            </w:r>
          </w:p>
        </w:tc>
      </w:tr>
      <w:tr w:rsidR="000C1D6A" w14:paraId="4BC0490C" w14:textId="77777777" w:rsidTr="000C1D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5" w:type="dxa"/>
          </w:tcPr>
          <w:p w14:paraId="5E2CF55D" w14:textId="3A3F52AC" w:rsidR="000C1D6A" w:rsidRDefault="000C1D6A" w:rsidP="00953CD9">
            <w:pPr>
              <w:pStyle w:val="Titulektabulky"/>
            </w:pPr>
            <w:r>
              <w:t>Průměrná hodnota</w:t>
            </w:r>
          </w:p>
        </w:tc>
        <w:tc>
          <w:tcPr>
            <w:tcW w:w="2455" w:type="dxa"/>
          </w:tcPr>
          <w:p w14:paraId="7DCDEB24" w14:textId="1A7AA673" w:rsidR="000C1D6A" w:rsidRDefault="000C1D6A" w:rsidP="00953CD9">
            <w:pPr>
              <w:pStyle w:val="Titulektabulky"/>
              <w:cnfStyle w:val="000000100000" w:firstRow="0" w:lastRow="0" w:firstColumn="0" w:lastColumn="0" w:oddVBand="0" w:evenVBand="0" w:oddHBand="1" w:evenHBand="0" w:firstRowFirstColumn="0" w:firstRowLastColumn="0" w:lastRowFirstColumn="0" w:lastRowLastColumn="0"/>
            </w:pPr>
            <w:r>
              <w:t>3,25</w:t>
            </w:r>
          </w:p>
        </w:tc>
        <w:tc>
          <w:tcPr>
            <w:tcW w:w="2456" w:type="dxa"/>
          </w:tcPr>
          <w:p w14:paraId="5FC2B5AB" w14:textId="10C4D088" w:rsidR="000C1D6A" w:rsidRDefault="000C1D6A" w:rsidP="00953CD9">
            <w:pPr>
              <w:pStyle w:val="Titulektabulky"/>
              <w:cnfStyle w:val="000000100000" w:firstRow="0" w:lastRow="0" w:firstColumn="0" w:lastColumn="0" w:oddVBand="0" w:evenVBand="0" w:oddHBand="1" w:evenHBand="0" w:firstRowFirstColumn="0" w:firstRowLastColumn="0" w:lastRowFirstColumn="0" w:lastRowLastColumn="0"/>
            </w:pPr>
            <w:r>
              <w:t>2,24</w:t>
            </w:r>
          </w:p>
        </w:tc>
      </w:tr>
    </w:tbl>
    <w:p w14:paraId="61FAF27A" w14:textId="77777777" w:rsidR="000B5DCC" w:rsidRDefault="000B5DCC" w:rsidP="000C1D6A">
      <w:pPr>
        <w:pStyle w:val="Dalodstavce"/>
        <w:ind w:firstLine="0"/>
      </w:pPr>
      <w:bookmarkStart w:id="106" w:name="tbl:lu6kwfmlexki"/>
    </w:p>
    <w:bookmarkEnd w:id="106"/>
    <w:p w14:paraId="58C76CE0" w14:textId="3EC4FCD1" w:rsidR="000B5DCC" w:rsidRDefault="00910590" w:rsidP="000B5DCC">
      <w:pPr>
        <w:pStyle w:val="Dalodstavce"/>
      </w:pPr>
      <w:r>
        <w:t>Vesměs</w:t>
      </w:r>
      <w:r w:rsidR="000B5DCC">
        <w:t xml:space="preserve"> jsou výsledky lepší, ale ne skvělé. Kombinace metod je dokonce o něco méně přesná než samostatně použitý doc2vec model jak je uvedeno v podkapitole 10.2. Tato kombinace metod tedy nevede k přesnějšímu vyhledávání. Na druhou stranu, při porovnání s výsledky samotné metody LDA v předchozí kapitole je průměr hodnocení výrazně vyšší. Tento závěr však podporuje pouze přesnost modelu doc2vec, nikoliv použitelnost algoritmu tematického modelu LDA. Lze tedy shrnout, že pravděpodobně ani v této kombinaci by LDA metoda nebyla bez další kvalitativní či kvantitativní analýzy prakticky použitelná pro rešerši soudních rozhodnutí a znovu je potvrzen závěr, že z představených metod je LDA nejméně přesná.</w:t>
      </w:r>
    </w:p>
    <w:p w14:paraId="2EFB3758" w14:textId="7262E081" w:rsidR="00B9675F" w:rsidRDefault="00B9675F">
      <w:pPr>
        <w:pStyle w:val="Nadpis1"/>
        <w:numPr>
          <w:ilvl w:val="0"/>
          <w:numId w:val="14"/>
        </w:numPr>
      </w:pPr>
      <w:bookmarkStart w:id="107" w:name="_Toc126909370"/>
      <w:r>
        <w:lastRenderedPageBreak/>
        <w:t>Subjektivnost evaluace</w:t>
      </w:r>
      <w:bookmarkEnd w:id="107"/>
    </w:p>
    <w:p w14:paraId="564B97B1" w14:textId="50769CDF" w:rsidR="00B9675F" w:rsidRDefault="00B9675F" w:rsidP="00B9675F">
      <w:pPr>
        <w:pStyle w:val="Odstavec1"/>
      </w:pPr>
      <w:r>
        <w:t>Jednou z nejčastěji zmiňovaných nevýhod manuálního (či</w:t>
      </w:r>
      <w:r w:rsidR="005A2449">
        <w:t xml:space="preserve"> šířeji vzato</w:t>
      </w:r>
      <w:r>
        <w:t xml:space="preserve"> kvalitativního) hodnocení metod a modelů zpracování přirozeného jazyka je subjektivnost hodnocení a tím ztížená interpretace výsledků. Zejména v právu, které je při práci s textem v podstatě založeno zejména na jeho interpretaci, se jedná o validní argument, který může změnit chápání výsledků manuální evaluace a ovlivňuje jejich statistickou významnost.</w:t>
      </w:r>
    </w:p>
    <w:p w14:paraId="02CA4655" w14:textId="34F7D705" w:rsidR="00B9675F" w:rsidRDefault="00B9675F" w:rsidP="00B9675F">
      <w:pPr>
        <w:pStyle w:val="Odstavec1"/>
      </w:pPr>
      <w:r>
        <w:t>Pro zajištění co nejnižší subjektivnosti hodnocení jsem už během evaluačních experimentů zařadila některá opatření. Zaprvé, evaluační skupina byla co nejvíce odborně různorodá. Členy evaluační skupiny byli jak soudci, tak právníci soukromé i veřejné sféry a různých odborných zaměření. Pro snížení vlivu subjektivnosti hodnocení je dále vhodné mít evaluační skupinu co nej</w:t>
      </w:r>
      <w:r w:rsidR="005A2449">
        <w:t>početnější</w:t>
      </w:r>
      <w:r>
        <w:t xml:space="preserve">. </w:t>
      </w:r>
      <w:r w:rsidR="005A2449">
        <w:t>Určený</w:t>
      </w:r>
      <w:r>
        <w:t xml:space="preserve"> aspekt je ale ovlivněn časovými a finančními možnostmi během provádění výzkumu. Z tohoto hlediska byla snaha vytvořit obě evaluační skupiny co největší v rámci těchto limitů výzkumu.</w:t>
      </w:r>
    </w:p>
    <w:p w14:paraId="24F8CC00" w14:textId="7CE72B1A" w:rsidR="00B9675F" w:rsidRDefault="00B9675F" w:rsidP="00B9675F">
      <w:pPr>
        <w:pStyle w:val="Dalodstavce"/>
      </w:pPr>
      <w:r>
        <w:t>Dále byla tomuto aspektu podřízena i samotná metodologie a tvorba evaluačních dotazníků. Evaluátoři byli vždy instruováni pouze k hodnocení soudních rozhodnutí v konkrétní otázce dle zkoumaného typu relevance a nebyly jim známy metody ani účel výzkumu. Při designování dotazníku a tvoření otázek byl kladen důraz na praktickou aplikaci metod - otázky byly pokládány</w:t>
      </w:r>
      <w:r w:rsidR="005A2449">
        <w:t xml:space="preserve"> tak</w:t>
      </w:r>
      <w:r>
        <w:t>, jakoby výsledky výzkumu byly výsledky nějakého aplikovaného systému pro vyhledávání rozhodnutí a členové evaluační skupiny jeho uživatelé. Myšlenkou za tímto přístupem je, že takový přístup je pro evaluátory bližší (s právními informačními systémy pracují všichni) a představitelnější než abstraktní hodnocení kvantitativních metod. Cílem bylo získat co nejupřímnější odpověď na otázku, zda by v praktickém použití metody evaluátoři nacházeli její výsledky relevantní vůči konkrétnímu vyhledávacímu dotazu.</w:t>
      </w:r>
    </w:p>
    <w:p w14:paraId="77B6E5E9" w14:textId="0599C02C" w:rsidR="00B9675F" w:rsidRDefault="00B9675F" w:rsidP="00B9675F">
      <w:pPr>
        <w:pStyle w:val="Dalodstavce"/>
      </w:pPr>
      <w:r>
        <w:t>Samotná hodnocená rozhodnutí byla prostřednictvím dotazníků evaluátorům předkládána bez hlaviček a dalších metadat. Informace o tom, kdo v daném rozhodnutí rozhodoval, kdy a o čem</w:t>
      </w:r>
      <w:r w:rsidR="005A2449">
        <w:t>,</w:t>
      </w:r>
      <w:r>
        <w:t xml:space="preserve"> totiž mohou (i nevědomky) ovlivnit hodnocení relevance určitých odpovědí.</w:t>
      </w:r>
    </w:p>
    <w:p w14:paraId="3E9F1F42" w14:textId="61878CB7" w:rsidR="00B9675F" w:rsidRDefault="00B9675F" w:rsidP="00B9675F">
      <w:pPr>
        <w:pStyle w:val="Dalodstavce"/>
      </w:pPr>
      <w:r>
        <w:t>Hodnot</w:t>
      </w:r>
      <w:r w:rsidR="005A2449">
        <w:t>i</w:t>
      </w:r>
      <w:r>
        <w:t>cí škála byla zvolena jako sudá</w:t>
      </w:r>
      <w:r w:rsidR="005A2449">
        <w:t>,</w:t>
      </w:r>
      <w:r>
        <w:t xml:space="preserve"> a to z důvodu, aby se evaluátoři vyhýbali </w:t>
      </w:r>
      <w:r w:rsidR="005A2449">
        <w:t>„</w:t>
      </w:r>
      <w:r>
        <w:t>prostřední” neutrální hodnotě, ke které se lidé při evaluaci často přiklání, nejsou-li si jistí.</w:t>
      </w:r>
    </w:p>
    <w:p w14:paraId="797EEFBB" w14:textId="51520F47" w:rsidR="00B9675F" w:rsidRDefault="00B9675F" w:rsidP="00B9675F">
      <w:pPr>
        <w:pStyle w:val="Dalodstavce"/>
      </w:pPr>
      <w:r>
        <w:lastRenderedPageBreak/>
        <w:t>Nejdůležitějším opatřením však bylo rozdělení evaluátorů do dvojic v první fázi výzkumu</w:t>
      </w:r>
      <w:r>
        <w:rPr>
          <w:rStyle w:val="Znakapoznpodarou"/>
        </w:rPr>
        <w:footnoteReference w:id="362"/>
      </w:r>
      <w:r>
        <w:t xml:space="preserve"> tak, aby dvojice vždy hodnotila </w:t>
      </w:r>
      <w:r w:rsidR="005A2449">
        <w:t>stejnou sadu</w:t>
      </w:r>
      <w:r>
        <w:t xml:space="preserve"> rozhodnutí. T</w:t>
      </w:r>
      <w:r w:rsidR="005A2449">
        <w:t>ímto</w:t>
      </w:r>
      <w:r>
        <w:t xml:space="preserve"> způsobem je možné získat rozdíl v hodnocení stejných otázek a dle hodnoty tohoto rozdílu ve vztahu k hodnot</w:t>
      </w:r>
      <w:r w:rsidR="005A2449">
        <w:t>i</w:t>
      </w:r>
      <w:r>
        <w:t>cí škále lze určit jeho významnost. Ačkoliv byla taková metodologie na úkor absolutní</w:t>
      </w:r>
      <w:r w:rsidR="005A2449">
        <w:t>ho</w:t>
      </w:r>
      <w:r>
        <w:t xml:space="preserve"> počtu evaluovaných rozhodnutí (který hraje velkou roli při diskuzi významnosti výsledků), zvolila jsem tento postup, protože považuji hodnocení subjektivnosti manuální evaluace za důležitější vzhledem ke specifikům celého experimentu. Zjednodušeně</w:t>
      </w:r>
      <w:r w:rsidR="005A2449">
        <w:t xml:space="preserve"> řečeno</w:t>
      </w:r>
      <w:r>
        <w:t xml:space="preserve">, </w:t>
      </w:r>
      <w:r w:rsidR="005A2449">
        <w:t>jelikož</w:t>
      </w:r>
      <w:r>
        <w:t xml:space="preserve"> nelze výsledky experimentů jednoduše porovnat se srovnatelnými, zvolila jsem vlastní měření subjektivnosti, aby mohly být výsledky evaluace posuzovány samy o sobě.</w:t>
      </w:r>
    </w:p>
    <w:p w14:paraId="15BFC116" w14:textId="63D92801" w:rsidR="00B9675F" w:rsidRDefault="00B9675F" w:rsidP="00B9675F">
      <w:pPr>
        <w:pStyle w:val="Dalodstavce"/>
      </w:pPr>
      <w:r>
        <w:t xml:space="preserve">Subjektivnost byla vyhodnocována v experimentech týkajících se citační analýzy, sémantické podobnosti rozhodnutí a modelování témat. </w:t>
      </w:r>
      <w:r w:rsidR="005A2449">
        <w:t>A p</w:t>
      </w:r>
      <w:r>
        <w:t>rotože výsledky byly už v této fázi výzkumu přesvědčiv</w:t>
      </w:r>
      <w:r w:rsidR="005A2449">
        <w:t>é</w:t>
      </w:r>
      <w:r>
        <w:t>, ve čtvrtém experimentu vícevrstvé aplikace metod bylo upřednostněno množství evaluovaných rozhodnutí nad subjektivností a každý právník evaluoval jiný set rozhodnutí a subjektivnost tedy vyhodnocována nebyla.</w:t>
      </w:r>
    </w:p>
    <w:p w14:paraId="618839C2" w14:textId="39DA8194" w:rsidR="00B9675F" w:rsidRDefault="00B9675F">
      <w:pPr>
        <w:pStyle w:val="Nadpis2"/>
        <w:numPr>
          <w:ilvl w:val="1"/>
          <w:numId w:val="14"/>
        </w:numPr>
      </w:pPr>
      <w:bookmarkStart w:id="108" w:name="_Toc126909371"/>
      <w:r>
        <w:t>Subjektivnost evaluace citační síťové analýzy a doc2vec modelu</w:t>
      </w:r>
      <w:bookmarkEnd w:id="108"/>
    </w:p>
    <w:p w14:paraId="0EA9CDD4" w14:textId="146AE544" w:rsidR="00B9675F" w:rsidRDefault="00B9675F" w:rsidP="00B9675F">
      <w:pPr>
        <w:pStyle w:val="Odstavec1"/>
      </w:pPr>
      <w:r>
        <w:t xml:space="preserve">Dílčí experimenty týkající se citační analýzy a doc2vec modelu byly prováděny společně jednou evaluační skupinou, proto je evaluační metodologie i evaluační skupina v obou těchto experimentech stejná. Jednalo se o evaluační skupinu čítající 26 právníků, </w:t>
      </w:r>
      <w:r w:rsidR="005A2449">
        <w:t>ti</w:t>
      </w:r>
      <w:r>
        <w:t xml:space="preserve"> byli rozdělení do 13 dvojic, ve kterých hodnotili stejná rozhodnutí, v tomto experimentu z hlediska jejich důležitosti. Ve dvojici hodnotící stejná rozhodnutí byl pak vypočítán rozdíl v udělených evaluačních bodech. Četnost rozdílů v hodnocení je zobrazena v následujícím histogramu.</w:t>
      </w:r>
    </w:p>
    <w:p w14:paraId="0F872FA5" w14:textId="2771F681" w:rsidR="00E57609" w:rsidRDefault="00E57609" w:rsidP="008A0629">
      <w:pPr>
        <w:pStyle w:val="Obrzek"/>
      </w:pPr>
      <w:r>
        <w:rPr>
          <w:noProof/>
        </w:rPr>
        <w:lastRenderedPageBreak/>
        <w:drawing>
          <wp:inline distT="0" distB="0" distL="0" distR="0" wp14:anchorId="160522AF" wp14:editId="0BDE7762">
            <wp:extent cx="4175125" cy="2505075"/>
            <wp:effectExtent l="0" t="0" r="0" b="9525"/>
            <wp:docPr id="50"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 8"/>
                    <pic:cNvPicPr>
                      <a:picLocks noChangeAspect="1" noChangeArrowheads="1"/>
                    </pic:cNvPicPr>
                  </pic:nvPicPr>
                  <pic:blipFill>
                    <a:blip r:embed="rId61"/>
                    <a:stretch>
                      <a:fillRect/>
                    </a:stretch>
                  </pic:blipFill>
                  <pic:spPr bwMode="auto">
                    <a:xfrm>
                      <a:off x="0" y="0"/>
                      <a:ext cx="4175125" cy="2505075"/>
                    </a:xfrm>
                    <a:prstGeom prst="rect">
                      <a:avLst/>
                    </a:prstGeom>
                    <a:noFill/>
                    <a:ln>
                      <a:noFill/>
                    </a:ln>
                  </pic:spPr>
                </pic:pic>
              </a:graphicData>
            </a:graphic>
          </wp:inline>
        </w:drawing>
      </w:r>
    </w:p>
    <w:p w14:paraId="503B825E" w14:textId="0818E404" w:rsidR="00E57609" w:rsidRDefault="00E57609" w:rsidP="008A0629">
      <w:pPr>
        <w:pStyle w:val="Titulek"/>
      </w:pPr>
      <w:bookmarkStart w:id="109" w:name="_Toc126874202"/>
      <w:r>
        <w:t xml:space="preserve">Obr. </w:t>
      </w:r>
      <w:r>
        <w:rPr>
          <w:noProof/>
        </w:rPr>
        <w:fldChar w:fldCharType="begin"/>
      </w:r>
      <w:r>
        <w:rPr>
          <w:noProof/>
        </w:rPr>
        <w:instrText xml:space="preserve"> SEQ Obr. \* ARABIC </w:instrText>
      </w:r>
      <w:r>
        <w:rPr>
          <w:noProof/>
        </w:rPr>
        <w:fldChar w:fldCharType="separate"/>
      </w:r>
      <w:r>
        <w:rPr>
          <w:noProof/>
        </w:rPr>
        <w:t>34</w:t>
      </w:r>
      <w:r>
        <w:rPr>
          <w:noProof/>
        </w:rPr>
        <w:fldChar w:fldCharType="end"/>
      </w:r>
      <w:r>
        <w:t xml:space="preserve">: </w:t>
      </w:r>
      <w:r w:rsidR="00042640">
        <w:t>Frekvence r</w:t>
      </w:r>
      <w:r>
        <w:t>ozdíl</w:t>
      </w:r>
      <w:r w:rsidR="00042640">
        <w:t>ů</w:t>
      </w:r>
      <w:r>
        <w:t xml:space="preserve"> hodnocení stejných rozhodnutí – citační analýza</w:t>
      </w:r>
      <w:bookmarkEnd w:id="109"/>
    </w:p>
    <w:p w14:paraId="24C50774" w14:textId="3B38CEEA" w:rsidR="00B9675F" w:rsidRDefault="00B9675F" w:rsidP="00B9675F">
      <w:pPr>
        <w:pStyle w:val="Dalodstavce"/>
      </w:pPr>
    </w:p>
    <w:p w14:paraId="38AC4014" w14:textId="3F6800D8" w:rsidR="00B9675F" w:rsidRDefault="00B9675F" w:rsidP="00B9675F">
      <w:pPr>
        <w:pStyle w:val="Dalodstavce"/>
      </w:pPr>
      <w:r>
        <w:t xml:space="preserve">Z grafu je patrná velká převaha nulového či jednobodového rozdílu v evaluaci důležitosti předložených rozhodnutí, jedná se o 23 z celkových 26 rozhodnutí hodnocených dvojicemi, což </w:t>
      </w:r>
      <w:r w:rsidR="005A2449">
        <w:t>činí</w:t>
      </w:r>
      <w:r>
        <w:t xml:space="preserve"> 88</w:t>
      </w:r>
      <w:r w:rsidR="005A2449">
        <w:t xml:space="preserve"> </w:t>
      </w:r>
      <w:r>
        <w:t xml:space="preserve">% (pro úplnost - každá dvojice hodnotila právě dvě rozhodnutí z hlediska důležitosti). Na škále od 1 do 6 toto lze považovat za výraznou převahu velmi nízkých rozdílů v evaluaci, což lze interpretovat jako nízkou subjektivnost hodnocení. Znamená to, že se právníci v evaluační skupině spíše shodují na hodnocení důležitosti konkrétních rozhodnutí dle authority score. Do hodnocení tolik nevstupuje osobní vnímání a odborné znalosti hodnotitele. </w:t>
      </w:r>
      <w:r w:rsidR="005A2449">
        <w:t>Daný</w:t>
      </w:r>
      <w:r>
        <w:t xml:space="preserve"> výsledek </w:t>
      </w:r>
      <w:r w:rsidR="005A2449">
        <w:t>tak</w:t>
      </w:r>
      <w:r>
        <w:t xml:space="preserve"> zvyšuje validitu výsledků evaluačního experimentu této metody.</w:t>
      </w:r>
    </w:p>
    <w:p w14:paraId="43232265" w14:textId="77777777" w:rsidR="00B9675F" w:rsidRDefault="00B9675F" w:rsidP="00B9675F">
      <w:pPr>
        <w:pStyle w:val="Dalodstavce"/>
      </w:pPr>
      <w:r>
        <w:t>Stejná metodologie byla užita i pro hodnocení subjektivnosti evaluace doc2vec modelu v druhém dílčím experimentu. Skupina právníků byla opět rozdělena do 13 dvojic, ve kterých právníci evaluovali stejné dvojice rozhodnutí (nejpodobnější a desáté nejpodobnější podle doc2vec modelu), bylo tedy opět získáno 26 evaluovaných rozhodnutí právě dvěma právníky. Opět byl vypočítán rozdíl v hodnocení stejných rozhodnutí a četnost rozdílů je uvedena v následujícím histogramu.</w:t>
      </w:r>
    </w:p>
    <w:p w14:paraId="680D37DD" w14:textId="21A982B1" w:rsidR="00042640" w:rsidRDefault="00042640" w:rsidP="008A0629">
      <w:pPr>
        <w:pStyle w:val="Obrzek"/>
      </w:pPr>
      <w:r>
        <w:rPr>
          <w:noProof/>
        </w:rPr>
        <w:lastRenderedPageBreak/>
        <w:drawing>
          <wp:inline distT="0" distB="0" distL="0" distR="0" wp14:anchorId="4F9D6A19" wp14:editId="6196B060">
            <wp:extent cx="4012907" cy="2581275"/>
            <wp:effectExtent l="0" t="0" r="6985" b="0"/>
            <wp:docPr id="5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ek 8"/>
                    <pic:cNvPicPr>
                      <a:picLocks noChangeAspect="1" noChangeArrowheads="1"/>
                    </pic:cNvPicPr>
                  </pic:nvPicPr>
                  <pic:blipFill>
                    <a:blip r:embed="rId62"/>
                    <a:stretch>
                      <a:fillRect/>
                    </a:stretch>
                  </pic:blipFill>
                  <pic:spPr bwMode="auto">
                    <a:xfrm>
                      <a:off x="0" y="0"/>
                      <a:ext cx="4023176" cy="2587880"/>
                    </a:xfrm>
                    <a:prstGeom prst="rect">
                      <a:avLst/>
                    </a:prstGeom>
                    <a:noFill/>
                    <a:ln>
                      <a:noFill/>
                    </a:ln>
                  </pic:spPr>
                </pic:pic>
              </a:graphicData>
            </a:graphic>
          </wp:inline>
        </w:drawing>
      </w:r>
    </w:p>
    <w:p w14:paraId="5E2514D7" w14:textId="5BC65F0E" w:rsidR="00042640" w:rsidRDefault="00042640" w:rsidP="008A0629">
      <w:pPr>
        <w:pStyle w:val="Titulek"/>
      </w:pPr>
      <w:bookmarkStart w:id="110" w:name="_Toc126874203"/>
      <w:r>
        <w:t xml:space="preserve">Obr. </w:t>
      </w:r>
      <w:r>
        <w:rPr>
          <w:noProof/>
        </w:rPr>
        <w:fldChar w:fldCharType="begin"/>
      </w:r>
      <w:r>
        <w:rPr>
          <w:noProof/>
        </w:rPr>
        <w:instrText xml:space="preserve"> SEQ Obr. \* ARABIC </w:instrText>
      </w:r>
      <w:r>
        <w:rPr>
          <w:noProof/>
        </w:rPr>
        <w:fldChar w:fldCharType="separate"/>
      </w:r>
      <w:r>
        <w:rPr>
          <w:noProof/>
        </w:rPr>
        <w:t>35</w:t>
      </w:r>
      <w:r>
        <w:rPr>
          <w:noProof/>
        </w:rPr>
        <w:fldChar w:fldCharType="end"/>
      </w:r>
      <w:r>
        <w:t>: Frekvence rozdílů v hodnocení stejných rozhodnutí – doc2vec</w:t>
      </w:r>
      <w:bookmarkEnd w:id="110"/>
    </w:p>
    <w:p w14:paraId="1422B896" w14:textId="77777777" w:rsidR="00B9675F" w:rsidRDefault="00B9675F" w:rsidP="00B9675F">
      <w:pPr>
        <w:pStyle w:val="Dalodstavce"/>
      </w:pPr>
    </w:p>
    <w:p w14:paraId="6D8E7912" w14:textId="77777777" w:rsidR="00B9675F" w:rsidRDefault="00B9675F" w:rsidP="00B9675F">
      <w:pPr>
        <w:pStyle w:val="Dalodstavce"/>
      </w:pPr>
    </w:p>
    <w:p w14:paraId="222C7C84" w14:textId="4E5F3998" w:rsidR="00B9675F" w:rsidRDefault="00B9675F" w:rsidP="00B9675F">
      <w:pPr>
        <w:pStyle w:val="Dalodstavce"/>
      </w:pPr>
      <w:r>
        <w:t>Stejně jako u předchozího histogramu, i zde vidím výraznou převahu velmi nízkých rozdílů - součet nulového a jednobodového rozdílu tvoří 18 z 26 evaluovaných rozhodnutí. Nicméně poměrem je tento podíl nižší (jedná se o 69</w:t>
      </w:r>
      <w:r w:rsidR="005A2449">
        <w:t xml:space="preserve"> </w:t>
      </w:r>
      <w:r>
        <w:t>%) a současně je zde více jednobodových než nulových rozhodnutí, což je opačn</w:t>
      </w:r>
      <w:r w:rsidR="005A2449">
        <w:t>é</w:t>
      </w:r>
      <w:r>
        <w:t xml:space="preserve"> ve srovnání s četností rozdílů u předchozího experimentu. Lze tedy říct, že se právníci v evaluační skupině v zásadě shodují na podobnosti předložených rozhodnutí, i když o trochu méně než v případě důležitosti rozhodnutí v předchozím experimentu. </w:t>
      </w:r>
      <w:r w:rsidR="005A2449">
        <w:t>Z toho je možné opatrně usoudit</w:t>
      </w:r>
      <w:r>
        <w:t xml:space="preserve">, že větší rozptyl četnosti rozdílů evaluace rozhodnutí v tomto experimentu by mohl znamenat větší </w:t>
      </w:r>
      <w:r w:rsidR="005A2449">
        <w:t>„</w:t>
      </w:r>
      <w:r>
        <w:t xml:space="preserve">kontroverzi” metody. V kontextu této práce tím zjednodušeně </w:t>
      </w:r>
      <w:r w:rsidR="005A2449">
        <w:t>řečeno míním to</w:t>
      </w:r>
      <w:r>
        <w:t xml:space="preserve">, že je hodnocení důležitosti </w:t>
      </w:r>
      <w:r w:rsidR="005A2449">
        <w:t>závislejší</w:t>
      </w:r>
      <w:r>
        <w:t xml:space="preserve"> na odborných znalostech hodnotitele. I přesto jsou rozdíly v hodnocení velmi nízké, což opět zvyšuje validitu výsledků evaluace této metody.</w:t>
      </w:r>
    </w:p>
    <w:p w14:paraId="51B49AF6" w14:textId="327C3330" w:rsidR="00B9675F" w:rsidRDefault="00B9675F">
      <w:pPr>
        <w:pStyle w:val="Nadpis2"/>
        <w:numPr>
          <w:ilvl w:val="1"/>
          <w:numId w:val="14"/>
        </w:numPr>
      </w:pPr>
      <w:bookmarkStart w:id="111" w:name="_Toc126909372"/>
      <w:r>
        <w:t>Subjektivnost evaluace metod modelování témat</w:t>
      </w:r>
      <w:bookmarkEnd w:id="111"/>
    </w:p>
    <w:p w14:paraId="696496E2" w14:textId="1C925EBA" w:rsidR="00B9675F" w:rsidRDefault="00B9675F" w:rsidP="00B9675F">
      <w:pPr>
        <w:pStyle w:val="Odstavec1"/>
      </w:pPr>
      <w:r>
        <w:t xml:space="preserve">Evaluace metod modelování témat (LDA i NMF modelů) probíhala se stejnou skupinou 26 právníků rozdělených do dvojic. Zajímaly mě zde rozdíly v hodnocení přiřazených témat pro soudní rozhodnutí dvěma experty. Každý účastník experimentu zde hodnotil vždy sadu 8 témat ke </w:t>
      </w:r>
      <w:r>
        <w:lastRenderedPageBreak/>
        <w:t>každému rozhodnutí, rozhodnutí bylo nakonec ohodnoceno 76 (a opět každé právě dvěma účastníky). To znamená že jsem počítala rozdíl v evaluaci každého přiřazeného tématu a četnost těchto rozdílů jsem opět převedla do histogramu níže.</w:t>
      </w:r>
    </w:p>
    <w:p w14:paraId="5486C441" w14:textId="142FF658" w:rsidR="00C00C03" w:rsidRDefault="00980EB4" w:rsidP="008A0629">
      <w:pPr>
        <w:pStyle w:val="Obrzek"/>
      </w:pPr>
      <w:r>
        <w:rPr>
          <w:noProof/>
        </w:rPr>
        <w:drawing>
          <wp:inline distT="0" distB="0" distL="0" distR="0" wp14:anchorId="2E61493D" wp14:editId="65437FA0">
            <wp:extent cx="4572000" cy="2743200"/>
            <wp:effectExtent l="0" t="0" r="0" b="0"/>
            <wp:docPr id="53" name="Graf 53">
              <a:extLst xmlns:a="http://schemas.openxmlformats.org/drawingml/2006/main">
                <a:ext uri="{FF2B5EF4-FFF2-40B4-BE49-F238E27FC236}">
                  <a16:creationId xmlns:a16="http://schemas.microsoft.com/office/drawing/2014/main" id="{4F0E53DF-F6C2-BAEC-76D3-2070478773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123D5DE" w14:textId="6CD314E9" w:rsidR="00C00C03" w:rsidRDefault="00C00C03" w:rsidP="008A0629">
      <w:pPr>
        <w:pStyle w:val="Titulek"/>
      </w:pPr>
      <w:bookmarkStart w:id="112" w:name="_Toc468090444"/>
      <w:bookmarkStart w:id="113" w:name="_Toc126874204"/>
      <w:r>
        <w:t xml:space="preserve">Obr. </w:t>
      </w:r>
      <w:r>
        <w:rPr>
          <w:noProof/>
        </w:rPr>
        <w:fldChar w:fldCharType="begin"/>
      </w:r>
      <w:r>
        <w:rPr>
          <w:noProof/>
        </w:rPr>
        <w:instrText xml:space="preserve"> SEQ Obr. \* ARABIC </w:instrText>
      </w:r>
      <w:r>
        <w:rPr>
          <w:noProof/>
        </w:rPr>
        <w:fldChar w:fldCharType="separate"/>
      </w:r>
      <w:r>
        <w:rPr>
          <w:noProof/>
        </w:rPr>
        <w:t>36</w:t>
      </w:r>
      <w:r>
        <w:rPr>
          <w:noProof/>
        </w:rPr>
        <w:fldChar w:fldCharType="end"/>
      </w:r>
      <w:r>
        <w:t xml:space="preserve">: </w:t>
      </w:r>
      <w:bookmarkEnd w:id="112"/>
      <w:r>
        <w:t xml:space="preserve">Frekvence rozdílů v hodnocení stejných témat </w:t>
      </w:r>
      <w:r w:rsidR="00980EB4">
        <w:t>–</w:t>
      </w:r>
      <w:r>
        <w:t xml:space="preserve"> LDA</w:t>
      </w:r>
      <w:r w:rsidR="00980EB4">
        <w:t xml:space="preserve"> i NMF</w:t>
      </w:r>
      <w:bookmarkEnd w:id="113"/>
    </w:p>
    <w:p w14:paraId="4BE0D444" w14:textId="77777777" w:rsidR="00B9675F" w:rsidRDefault="00B9675F" w:rsidP="00B9675F">
      <w:pPr>
        <w:pStyle w:val="Dalodstavce"/>
      </w:pPr>
    </w:p>
    <w:p w14:paraId="420B7CDD" w14:textId="77777777" w:rsidR="00B9675F" w:rsidRDefault="00B9675F" w:rsidP="00C00C03">
      <w:pPr>
        <w:pStyle w:val="Dalodstavce"/>
        <w:ind w:firstLine="0"/>
      </w:pPr>
    </w:p>
    <w:p w14:paraId="03556CF5" w14:textId="42071F72" w:rsidR="00B9675F" w:rsidRDefault="00B9675F" w:rsidP="00B9675F">
      <w:pPr>
        <w:pStyle w:val="Dalodstavce"/>
      </w:pPr>
      <w:r>
        <w:t xml:space="preserve">Na histogramu lze pozorovat velmi podobný trend jako u předchozích dvou evaluovaných experimentů. Nejčastěji se vyskytující rozdíl je opět nula či jednobodový a to v </w:t>
      </w:r>
      <w:r w:rsidR="000C726C">
        <w:t>84</w:t>
      </w:r>
      <w:r>
        <w:t xml:space="preserve"> %. V souladu s výsledky v předchozích experimentech </w:t>
      </w:r>
      <w:r w:rsidR="0098060F">
        <w:t>i zde můžu dojít k závěru</w:t>
      </w:r>
      <w:r>
        <w:t>, že i hodnocení této metody není vysoce subjektivní a právníci se výrazně shodují na přesnosti přiřazených témat oběma evaluovanými modely. Tento závěr je v souladu s předchozími závěry, což opět zvyšuje validitu výsledků evaluace přesnosti metod modelování témat.</w:t>
      </w:r>
    </w:p>
    <w:p w14:paraId="7F41AF8B" w14:textId="4D5A94C7" w:rsidR="00B9675F" w:rsidRDefault="00B9675F">
      <w:pPr>
        <w:pStyle w:val="Nadpis2"/>
        <w:numPr>
          <w:ilvl w:val="1"/>
          <w:numId w:val="14"/>
        </w:numPr>
      </w:pPr>
      <w:bookmarkStart w:id="114" w:name="sec:uo2vvz9k5g"/>
      <w:r>
        <w:t xml:space="preserve"> </w:t>
      </w:r>
      <w:bookmarkStart w:id="115" w:name="_Toc126909373"/>
      <w:r>
        <w:t>Výsledky a diskuze hodnocení subjektivnosti</w:t>
      </w:r>
      <w:bookmarkEnd w:id="115"/>
    </w:p>
    <w:p w14:paraId="67968C49" w14:textId="6701CE29" w:rsidR="000B5DCC" w:rsidRDefault="00B9675F" w:rsidP="00B9675F">
      <w:pPr>
        <w:pStyle w:val="Odstavec1"/>
      </w:pPr>
      <w:r>
        <w:t xml:space="preserve">Účelem hodnocení subjektivnosti evaluace bylo zkoumat argument, který bývá často zmiňován jako výrazný argument proti manuální evaluaci metod zpracovávání právního (ale i obecně přirozeného) textu, kterým je vysoká subjektivnost takového hodnocení vyplývající z různého </w:t>
      </w:r>
      <w:r>
        <w:lastRenderedPageBreak/>
        <w:t>chápání textu, ale i z různé odborné znalosti hodnotitelů, motivace hodnocení, nastavení a popisu evaluačního dotazníku a</w:t>
      </w:r>
      <w:r w:rsidR="0098060F">
        <w:t>pod</w:t>
      </w:r>
      <w:r>
        <w:t xml:space="preserve">. Z výsledků uvedených </w:t>
      </w:r>
      <w:r w:rsidR="0098060F">
        <w:t xml:space="preserve">v </w:t>
      </w:r>
      <w:r>
        <w:t>této kapitole je patrné, že minimálně v tomto případě není hodnocení vysoce subjektivní</w:t>
      </w:r>
      <w:r w:rsidR="0098060F">
        <w:t>,</w:t>
      </w:r>
      <w:r>
        <w:t xml:space="preserve"> a</w:t>
      </w:r>
      <w:r w:rsidR="0098060F">
        <w:t>le</w:t>
      </w:r>
      <w:r>
        <w:t xml:space="preserve"> spíše naopak - napříč experimenty sleduje</w:t>
      </w:r>
      <w:r w:rsidR="0098060F">
        <w:t>me</w:t>
      </w:r>
      <w:r>
        <w:t xml:space="preserve"> </w:t>
      </w:r>
      <w:r w:rsidR="0098060F">
        <w:t>velmi podobný</w:t>
      </w:r>
      <w:r>
        <w:t xml:space="preserve"> trend (s drobnými výkyvy), kterým je </w:t>
      </w:r>
      <w:r w:rsidR="0098060F">
        <w:t>značná míra</w:t>
      </w:r>
      <w:r>
        <w:t xml:space="preserve"> velmi nízkých rozdílů v hodnocení. Zjednodušeně lze tedy říci, že se právníci nejčastěji shodnou na stejném hodnocení konkrétního výsledku metody</w:t>
      </w:r>
      <w:r w:rsidR="0098060F">
        <w:t>,</w:t>
      </w:r>
      <w:r>
        <w:t xml:space="preserve"> a nebo </w:t>
      </w:r>
      <w:r w:rsidR="0098060F">
        <w:t xml:space="preserve">že </w:t>
      </w:r>
      <w:r>
        <w:t>je rozdíl v jejich hodnocení pouhý jeden bod (z hodnot</w:t>
      </w:r>
      <w:r w:rsidR="0098060F">
        <w:t>i</w:t>
      </w:r>
      <w:r>
        <w:t>cí škály 1 až 6). Takto nízké rozdíly v hodnocení pak přímo vyvrací, minimálně v tomto případě, uvedený argument</w:t>
      </w:r>
      <w:r w:rsidR="0098060F">
        <w:t>,</w:t>
      </w:r>
      <w:r>
        <w:t xml:space="preserve"> a naopak zvyšují validitu výsledků všech provedených experimentů.</w:t>
      </w:r>
      <w:bookmarkEnd w:id="114"/>
    </w:p>
    <w:p w14:paraId="0B5506E8" w14:textId="6E6CA9E0" w:rsidR="00B9675F" w:rsidRDefault="00B9675F">
      <w:pPr>
        <w:pStyle w:val="Nadpis1"/>
        <w:numPr>
          <w:ilvl w:val="0"/>
          <w:numId w:val="14"/>
        </w:numPr>
      </w:pPr>
      <w:bookmarkStart w:id="116" w:name="_Toc126909374"/>
      <w:r>
        <w:lastRenderedPageBreak/>
        <w:t>Závěr</w:t>
      </w:r>
      <w:bookmarkEnd w:id="116"/>
    </w:p>
    <w:p w14:paraId="10207ADB" w14:textId="5D877B3D" w:rsidR="002610F5" w:rsidRDefault="00AE5883" w:rsidP="002610F5">
      <w:pPr>
        <w:pStyle w:val="Odstavec1"/>
      </w:pPr>
      <w:r>
        <w:t>Hlavním</w:t>
      </w:r>
      <w:r w:rsidR="002610F5">
        <w:t xml:space="preserve"> cílem této práce, nebo spíše její motivací či </w:t>
      </w:r>
      <w:r>
        <w:t xml:space="preserve">klíčovou </w:t>
      </w:r>
      <w:r w:rsidR="002610F5">
        <w:t xml:space="preserve">myšlenkou, </w:t>
      </w:r>
      <w:r>
        <w:t>jež</w:t>
      </w:r>
      <w:r w:rsidR="002610F5">
        <w:t xml:space="preserve"> se vinula napříč celým výzkumem, bylo zjistit, jak mohou metody analýzy a zpracování dat či metody zpracování textu pomoci tomu, jakým způsobem chápeme a přijímáme právní informace, jak </w:t>
      </w:r>
      <w:r w:rsidR="00F054A5">
        <w:t xml:space="preserve">je vyhledáváme </w:t>
      </w:r>
      <w:r>
        <w:t>a</w:t>
      </w:r>
      <w:r w:rsidR="00F054A5">
        <w:t xml:space="preserve"> jak s nimi pracujeme. Jak </w:t>
      </w:r>
      <w:r>
        <w:t>jsem uvedla</w:t>
      </w:r>
      <w:r w:rsidR="00F054A5">
        <w:t xml:space="preserve"> v úvodu této práce, užití informačních technologií při práci s právními zdroji a právním textem je dnes již zcela standardní</w:t>
      </w:r>
      <w:r>
        <w:t xml:space="preserve"> záležitostí</w:t>
      </w:r>
      <w:r w:rsidR="00F054A5">
        <w:t xml:space="preserve">, </w:t>
      </w:r>
      <w:r>
        <w:t>možnosti využívat</w:t>
      </w:r>
      <w:r w:rsidR="00F054A5">
        <w:t xml:space="preserve"> ještě pokročilejší metod</w:t>
      </w:r>
      <w:r>
        <w:t>y</w:t>
      </w:r>
      <w:r w:rsidR="00F054A5">
        <w:t xml:space="preserve"> a přístup</w:t>
      </w:r>
      <w:r>
        <w:t>y</w:t>
      </w:r>
      <w:r w:rsidR="00F054A5">
        <w:t xml:space="preserve"> založen</w:t>
      </w:r>
      <w:r>
        <w:t>é</w:t>
      </w:r>
      <w:r w:rsidR="00F054A5">
        <w:t xml:space="preserve"> </w:t>
      </w:r>
      <w:r w:rsidR="00701DF9">
        <w:t>zejména na</w:t>
      </w:r>
      <w:r w:rsidR="00F054A5">
        <w:t xml:space="preserve"> umělé inteligenci </w:t>
      </w:r>
      <w:r>
        <w:t>jsou v budoucnosti pro praxi zcela nevyhnutelné</w:t>
      </w:r>
      <w:r w:rsidR="00F054A5">
        <w:t>. Ač</w:t>
      </w:r>
      <w:r>
        <w:t>koliv</w:t>
      </w:r>
      <w:r w:rsidR="00F054A5">
        <w:t xml:space="preserve"> jsou odborníky připomínány limity a </w:t>
      </w:r>
      <w:r>
        <w:t>případná</w:t>
      </w:r>
      <w:r w:rsidR="00F054A5">
        <w:t xml:space="preserve"> nebezpečí související s </w:t>
      </w:r>
      <w:r>
        <w:t>tímto</w:t>
      </w:r>
      <w:r w:rsidR="00F054A5">
        <w:t xml:space="preserve"> vývojem, a debata </w:t>
      </w:r>
      <w:r>
        <w:t xml:space="preserve">o nich </w:t>
      </w:r>
      <w:r w:rsidR="00F054A5">
        <w:t xml:space="preserve">je </w:t>
      </w:r>
      <w:r>
        <w:t xml:space="preserve">zcela jistě </w:t>
      </w:r>
      <w:r w:rsidR="00F054A5">
        <w:t xml:space="preserve">nezbytná a důležitá, považuji tento přístup za jediný možný, který má potenciál vybalancovat denně narůstající objem platného práva, o </w:t>
      </w:r>
      <w:r>
        <w:t>němž</w:t>
      </w:r>
      <w:r w:rsidR="00F054A5">
        <w:t xml:space="preserve"> je nutné míti přehled a který je nutné následovat.</w:t>
      </w:r>
    </w:p>
    <w:p w14:paraId="66BE1788" w14:textId="2AB451E4" w:rsidR="002610F5" w:rsidRDefault="00701DF9" w:rsidP="002610F5">
      <w:pPr>
        <w:pStyle w:val="Dalodstavce"/>
      </w:pPr>
      <w:r>
        <w:t xml:space="preserve">Metody síťové analýzy jsem zvolila </w:t>
      </w:r>
      <w:r w:rsidR="00AE5883">
        <w:t>z toho důvodu</w:t>
      </w:r>
      <w:r>
        <w:t xml:space="preserve">, že přesouvají pozornost z jednotlivých informačních bodů (obecně dokumentů, právních pramenů, konceptů či slov, v této práci konkrétně soudních rozhodnutí) na vztahy mezi nimi. Předpokládala jsem, že tento koncepční posun by mohl přinést nový pohled na právní prameny, </w:t>
      </w:r>
      <w:r w:rsidR="00AE5883">
        <w:t>vyjevit skryté</w:t>
      </w:r>
      <w:r>
        <w:t xml:space="preserve"> souvislosti</w:t>
      </w:r>
      <w:r w:rsidR="009844AC">
        <w:t xml:space="preserve"> mezi nimi</w:t>
      </w:r>
      <w:r>
        <w:t xml:space="preserve"> a přinést o pramenech </w:t>
      </w:r>
      <w:r w:rsidR="00AE5883" w:rsidRPr="00AE5883">
        <w:t xml:space="preserve">samotných </w:t>
      </w:r>
      <w:r>
        <w:t xml:space="preserve">nové informace. </w:t>
      </w:r>
      <w:r w:rsidR="00AE5883">
        <w:t>Zároveň</w:t>
      </w:r>
      <w:r>
        <w:t xml:space="preserve"> je důležité zmínit, že zejména pro vyhledávání informací jsou vztahy mezi informacemi minimálně stejně důležité jako informace samotné</w:t>
      </w:r>
      <w:r w:rsidR="00AE5883">
        <w:t>, řečeno</w:t>
      </w:r>
      <w:r>
        <w:t xml:space="preserve"> </w:t>
      </w:r>
      <w:r w:rsidR="00AE5883">
        <w:t>s</w:t>
      </w:r>
      <w:r>
        <w:t> jistou dávkou odlehčení ve smyslu fráze, kterou jsem poprvé slyšela na prvním stupni základní školy, že není důležité něco vědět, ale je důležité vědět, jak a kde to najít</w:t>
      </w:r>
      <w:r w:rsidR="009844AC">
        <w:t>.</w:t>
      </w:r>
    </w:p>
    <w:p w14:paraId="68166453" w14:textId="308FBFE6" w:rsidR="00C96417" w:rsidRDefault="009844AC" w:rsidP="00C96417">
      <w:pPr>
        <w:pStyle w:val="Dalodstavce"/>
      </w:pPr>
      <w:r>
        <w:t xml:space="preserve">Soustředila jsem se výlučně na práci s rozhodnutími tří vrcholných českých soudů – Ústavního, Nejvyššího a Nejvyššího správního. Důvodem byla faktická situace velmi základních a neintuitivních dostupných vyhledávacích metod a obrovské množství textu. Pomocí několika metod, které jsem zastřešila metodami síťové analýzy, jsem pak ve smyslu předchozího odstavce zkoumala jejich vzájemné vztahy a pomocí nich odpovídala na výzkumné otázky položené v kapitole 2. </w:t>
      </w:r>
      <w:r w:rsidR="00FC57C7">
        <w:t xml:space="preserve">Ač se jednalo o metody, které standardně jako síťová analýza označovány nebývají, protože splňují základní předpoklad zkoumání vztahů mezi informačními body, zařadila jsem je do této práce. </w:t>
      </w:r>
      <w:r w:rsidR="00AE5883">
        <w:t>Vedlejším produktem</w:t>
      </w:r>
      <w:r w:rsidR="00FC57C7">
        <w:t xml:space="preserve"> tohoto kroku je </w:t>
      </w:r>
      <w:r w:rsidR="00AE5883">
        <w:t>zevrubnější</w:t>
      </w:r>
      <w:r w:rsidR="00FC57C7">
        <w:t xml:space="preserve"> záběr výzkumu, předkládaný v této práci</w:t>
      </w:r>
      <w:r w:rsidR="00AE5883">
        <w:t>,</w:t>
      </w:r>
      <w:r w:rsidR="00FC57C7">
        <w:t xml:space="preserve"> a větší výběr metod, které byly </w:t>
      </w:r>
      <w:r w:rsidR="000E6185">
        <w:t>v jeho rámci</w:t>
      </w:r>
      <w:r w:rsidR="00FC57C7">
        <w:t xml:space="preserve"> evaluované, což zvyšuje dopad </w:t>
      </w:r>
      <w:r w:rsidR="00FC57C7">
        <w:lastRenderedPageBreak/>
        <w:t xml:space="preserve">dizertačního výzkumu. </w:t>
      </w:r>
      <w:r>
        <w:t xml:space="preserve">Výzkumné otázky (a v souladu s nimi následně i celou práci) jsem rozdělila na dva hlavní metodologické směry: zkoumání sítě soudních rozhodnutí za účelem základního popisu a představení důležitých konceptů a zkoumání vztahů mezi rozhodnutími za účelem jejich lepšího vyhledávání. </w:t>
      </w:r>
      <w:r w:rsidR="002610F5">
        <w:t xml:space="preserve">V závěru práce se </w:t>
      </w:r>
      <w:r>
        <w:t>k nim tedy vracím</w:t>
      </w:r>
      <w:r w:rsidR="002610F5">
        <w:t xml:space="preserve"> a budu na ně odpovídat.</w:t>
      </w:r>
    </w:p>
    <w:p w14:paraId="2470D188" w14:textId="31D149A4" w:rsidR="009844AC" w:rsidRDefault="009844AC" w:rsidP="00F72341">
      <w:pPr>
        <w:pStyle w:val="Dalodstavce"/>
      </w:pPr>
      <w:r>
        <w:t>První obecnou výzkumnou otázkou byl</w:t>
      </w:r>
      <w:r w:rsidR="00C96417">
        <w:t>o</w:t>
      </w:r>
      <w:r w:rsidR="00706114">
        <w:t xml:space="preserve"> to,</w:t>
      </w:r>
      <w:r>
        <w:t xml:space="preserve"> „</w:t>
      </w:r>
      <w:r w:rsidR="00592E53" w:rsidRPr="00592E53">
        <w:rPr>
          <w:i/>
          <w:iCs/>
        </w:rPr>
        <w:t>jak lze pomocí této metody popsat citační prostředí třech vrcholných českých soudů</w:t>
      </w:r>
      <w:r>
        <w:rPr>
          <w:i/>
          <w:iCs/>
        </w:rPr>
        <w:t>“</w:t>
      </w:r>
      <w:r w:rsidR="00592E53">
        <w:rPr>
          <w:i/>
          <w:iCs/>
        </w:rPr>
        <w:t>.</w:t>
      </w:r>
      <w:r w:rsidR="0023269E">
        <w:t xml:space="preserve"> Metodologie aplikace metod síťové analýzy byla představena v kapitole 5, byla užita citační síťová analýza, což je </w:t>
      </w:r>
      <w:r w:rsidR="00592E53">
        <w:t>v odborné komunitě zřejmě</w:t>
      </w:r>
      <w:r w:rsidR="0023269E">
        <w:t xml:space="preserve"> nejčastěji užívaná metoda k </w:t>
      </w:r>
      <w:r w:rsidR="00592E53">
        <w:t>danému</w:t>
      </w:r>
      <w:r w:rsidR="0023269E">
        <w:t xml:space="preserve"> účelu. Byly </w:t>
      </w:r>
      <w:r w:rsidR="00592E53">
        <w:t>proto</w:t>
      </w:r>
      <w:r w:rsidR="0023269E">
        <w:t xml:space="preserve"> představeny základní statistické a síťové charakteristiky sítě tvořené soudními rozhodnutími tří vrcholných soudů, </w:t>
      </w:r>
      <w:r w:rsidR="00592E53">
        <w:t>která jsou spojena</w:t>
      </w:r>
      <w:r w:rsidR="0023269E">
        <w:t xml:space="preserve"> vzájemnými citacemi</w:t>
      </w:r>
      <w:r w:rsidR="00C87178">
        <w:t>, což je hlavní</w:t>
      </w:r>
      <w:r w:rsidR="00592E53">
        <w:t>m</w:t>
      </w:r>
      <w:r w:rsidR="00C87178">
        <w:t xml:space="preserve"> předmět</w:t>
      </w:r>
      <w:r w:rsidR="00592E53">
        <w:t>em</w:t>
      </w:r>
      <w:r w:rsidR="00C87178">
        <w:t xml:space="preserve"> zkoumání této metody</w:t>
      </w:r>
      <w:r w:rsidR="0023269E">
        <w:t xml:space="preserve">. </w:t>
      </w:r>
      <w:r w:rsidR="003A0CA6">
        <w:t xml:space="preserve">Právě citace zde tvoří zmiňované </w:t>
      </w:r>
      <w:r w:rsidR="00826EFB">
        <w:t xml:space="preserve">zkoumané </w:t>
      </w:r>
      <w:r w:rsidR="003A0CA6">
        <w:t xml:space="preserve">vztahy mezi právními prameny, jak </w:t>
      </w:r>
      <w:r w:rsidR="00592E53">
        <w:t>je</w:t>
      </w:r>
      <w:r w:rsidR="003A0CA6">
        <w:t xml:space="preserve"> uvedeno výše. </w:t>
      </w:r>
      <w:r w:rsidR="00B03359">
        <w:t>Hlavním výsledkem v této části je samotný popis</w:t>
      </w:r>
      <w:r w:rsidR="00C87178">
        <w:t xml:space="preserve"> citační sítě</w:t>
      </w:r>
      <w:r w:rsidR="00B03359">
        <w:t xml:space="preserve">, </w:t>
      </w:r>
      <w:r w:rsidR="00592E53">
        <w:t>jenž</w:t>
      </w:r>
      <w:r w:rsidR="00B03359">
        <w:t xml:space="preserve"> se </w:t>
      </w:r>
      <w:r w:rsidR="00C87178">
        <w:t xml:space="preserve">zde </w:t>
      </w:r>
      <w:r w:rsidR="00B03359">
        <w:t xml:space="preserve">pokusím extrahovat do konkrétních závěrů. Za prvé je patrné, že síť citací soudních rozhodnutí </w:t>
      </w:r>
      <w:r w:rsidR="00592E53">
        <w:t xml:space="preserve">je </w:t>
      </w:r>
      <w:r w:rsidR="00B03359">
        <w:t>o dost méně hustá než v porovnávaných případech ostatních (zahraničních) soudů, což je diskutováno pravděpodobně jako důsledek nízkého „stáří“ sítě (soudy, které zkoumáme, vznikly až v letech 1993 a 2003)</w:t>
      </w:r>
      <w:r w:rsidR="00D06F1D">
        <w:t xml:space="preserve"> a tedy nedostatečného </w:t>
      </w:r>
      <w:r w:rsidR="00592E53">
        <w:t>časového období</w:t>
      </w:r>
      <w:r w:rsidR="00D06F1D">
        <w:t xml:space="preserve">, </w:t>
      </w:r>
      <w:r w:rsidR="00592E53">
        <w:t>v němž by</w:t>
      </w:r>
      <w:r w:rsidR="00D06F1D">
        <w:t xml:space="preserve"> bylo možn</w:t>
      </w:r>
      <w:r w:rsidR="00FA5857">
        <w:t>é</w:t>
      </w:r>
      <w:r w:rsidR="00D06F1D">
        <w:t xml:space="preserve"> </w:t>
      </w:r>
      <w:r w:rsidR="00770C58">
        <w:t xml:space="preserve">předchozí </w:t>
      </w:r>
      <w:r w:rsidR="00D06F1D">
        <w:t xml:space="preserve">rozhodnutí citovat. Za druhé je </w:t>
      </w:r>
      <w:r w:rsidR="00592E53">
        <w:t>zjevné</w:t>
      </w:r>
      <w:r w:rsidR="00D06F1D">
        <w:t xml:space="preserve">, že </w:t>
      </w:r>
      <w:r w:rsidR="00FA5857">
        <w:t>se s časem postupně zvyšuje počet rozhodnutí, kter</w:t>
      </w:r>
      <w:r w:rsidR="00592E53">
        <w:t>á</w:t>
      </w:r>
      <w:r w:rsidR="00FA5857">
        <w:t xml:space="preserve"> citují předchozí rozhodnutí, a i celkový počet citací. </w:t>
      </w:r>
      <w:r w:rsidR="00770C58">
        <w:t xml:space="preserve">Znamená to tedy, s jistou dávkou zjednodušení, že za sledovanou dobu soudci citují předchozí rozhodnutí čím dál </w:t>
      </w:r>
      <w:r w:rsidR="00592E53">
        <w:t>častěji</w:t>
      </w:r>
      <w:r w:rsidR="00770C58">
        <w:t xml:space="preserve">. Z analýzy citovanosti rozhodnutí a konkrétních nejcitovanějších rozhodnutí pak lze </w:t>
      </w:r>
      <w:r w:rsidR="00592E53">
        <w:t>vyvodit</w:t>
      </w:r>
      <w:r w:rsidR="00770C58">
        <w:t>, že hojně citovaná rozhodnutí jsou citována zejména pro jejich principiální a procesní otázky. Myslím, že tyto závěry zde, velmi stručně, odpovídají na položenou výzkumnou otázku a poskytují základní teoretický rámec aplikace citační síťové analýzy.</w:t>
      </w:r>
      <w:r w:rsidR="00F72341" w:rsidRPr="00F72341">
        <w:rPr>
          <w:i/>
          <w:iCs/>
        </w:rPr>
        <w:t xml:space="preserve"> </w:t>
      </w:r>
    </w:p>
    <w:p w14:paraId="30E532C1" w14:textId="6F0A9D63" w:rsidR="00C87178" w:rsidRDefault="00C87178" w:rsidP="00C96417">
      <w:pPr>
        <w:pStyle w:val="Dalodstavce"/>
      </w:pPr>
      <w:r>
        <w:t>Druhá metodologicky oddělená část této práce je zastřešena obecnou výzkumnou otázkou</w:t>
      </w:r>
      <w:r w:rsidR="00342D19">
        <w:t>, která zní</w:t>
      </w:r>
      <w:r w:rsidR="00F72341">
        <w:t>,</w:t>
      </w:r>
      <w:r w:rsidR="00342D19">
        <w:t xml:space="preserve"> „</w:t>
      </w:r>
      <w:r w:rsidR="00342D19">
        <w:rPr>
          <w:i/>
          <w:iCs/>
        </w:rPr>
        <w:t xml:space="preserve">zda mohou konkrétní zvolené metody přispět k přesnějšímu a efektivnějšímu vyhledávání právních informací, zde konkrétně relevantních soudních rozhodnutí“. </w:t>
      </w:r>
      <w:r w:rsidR="00342D19">
        <w:t>Tato obecná výzkumná otázka je pak konkretizována ve čtyřech následných</w:t>
      </w:r>
      <w:r w:rsidR="00F72341">
        <w:t xml:space="preserve"> otázkách</w:t>
      </w:r>
      <w:r w:rsidR="003A0CA6">
        <w:t>, z nichž na každou odpovídá jeden dílčí experiment aplikování metody a její evaluace.</w:t>
      </w:r>
    </w:p>
    <w:p w14:paraId="394C5426" w14:textId="37095442" w:rsidR="00826EFB" w:rsidRDefault="00826EFB" w:rsidP="00C96417">
      <w:pPr>
        <w:pStyle w:val="Dalodstavce"/>
      </w:pPr>
      <w:r>
        <w:t xml:space="preserve">První konkrétní výzkumná otázka se týká citační síťové analýzy a toho, zda </w:t>
      </w:r>
      <w:r w:rsidR="00F72341">
        <w:t xml:space="preserve">lze </w:t>
      </w:r>
      <w:r>
        <w:t>zvolenou metriku authority score</w:t>
      </w:r>
      <w:r w:rsidR="00FC4968">
        <w:t xml:space="preserve"> (založenou na vzájemné </w:t>
      </w:r>
      <w:r w:rsidR="00FC4968">
        <w:lastRenderedPageBreak/>
        <w:t>citovanosti)</w:t>
      </w:r>
      <w:r>
        <w:t xml:space="preserve"> využít k detekci důležitých rozhodnutí v </w:t>
      </w:r>
      <w:r w:rsidR="00FC4968">
        <w:t>datasetu</w:t>
      </w:r>
      <w:r>
        <w:t xml:space="preserve">. Potenciál takové metody pro práci s judikaturou je </w:t>
      </w:r>
      <w:r w:rsidR="00F72341">
        <w:t>evidentní</w:t>
      </w:r>
      <w:r>
        <w:t xml:space="preserve"> – při vyhledávání a rešerši judikatury lze tento ukazatel </w:t>
      </w:r>
      <w:r w:rsidR="00F72341">
        <w:t xml:space="preserve">užít </w:t>
      </w:r>
      <w:r>
        <w:t xml:space="preserve">např. jako porovnávací metriku při předkládání seznamu rozhodnutí, navrhování obdobných rozhodnutí, při vytváření přehledů důležitých soudních rozhodnutí apod. Z výsledků evaluačního výzkumu vyplynulo, že právníci </w:t>
      </w:r>
      <w:r w:rsidR="00823F93">
        <w:t>jednotlivá</w:t>
      </w:r>
      <w:r>
        <w:t xml:space="preserve"> rozhodnutí s vysokým authority score </w:t>
      </w:r>
      <w:r w:rsidR="00823F93">
        <w:t>seznávali</w:t>
      </w:r>
      <w:r>
        <w:t xml:space="preserve"> jako důležitá, v porovnání s kontrolní skupinou rozhodnutí s nulovým authority score obecně důležitější. </w:t>
      </w:r>
      <w:r w:rsidR="00FD44CC">
        <w:t xml:space="preserve">Ráda </w:t>
      </w:r>
      <w:r w:rsidR="00823F93">
        <w:t>bych tento dílčí experiment uzavřela tím</w:t>
      </w:r>
      <w:r w:rsidR="00CD3ED3">
        <w:t>, že obecně tato metoda má potenciál být užita pro vyhledávání soudních rozhodnut</w:t>
      </w:r>
      <w:r w:rsidR="00823F93">
        <w:t>í</w:t>
      </w:r>
      <w:r w:rsidR="00CF11CF">
        <w:t xml:space="preserve"> a to i samostatně</w:t>
      </w:r>
      <w:r w:rsidR="00CD3ED3">
        <w:t xml:space="preserve">, </w:t>
      </w:r>
      <w:r w:rsidR="00FD44CC">
        <w:t>avšak výsledky evaluačního experimentu nejsou tak jednoznačné a přesné</w:t>
      </w:r>
      <w:r w:rsidR="00CD3ED3">
        <w:t>.</w:t>
      </w:r>
    </w:p>
    <w:p w14:paraId="7A3C13D3" w14:textId="7948842B" w:rsidR="00CD3ED3" w:rsidRDefault="00CD3ED3" w:rsidP="00C96417">
      <w:pPr>
        <w:pStyle w:val="Dalodstavce"/>
      </w:pPr>
      <w:r>
        <w:t>Druhá výzkumná otázka se týkala metod</w:t>
      </w:r>
      <w:r w:rsidR="003C79B2">
        <w:t xml:space="preserve"> vektorové reprezentace dokumentů. V této práci byla užita metoda vykazující nejlepší výsledky v komparativních studiích – doc2vec – pro detekci podobných soudních rozhodnutí v datasetu. Opět je zde praktičnost metody jasná – pro vyhledávání soudních rozhodnutí týkajících se podobné právní otázky, jako rozhodnutí které </w:t>
      </w:r>
      <w:r w:rsidR="00823F93">
        <w:t>mám k dispozici</w:t>
      </w:r>
      <w:r w:rsidR="003C79B2">
        <w:t>, či pro t</w:t>
      </w:r>
      <w:r w:rsidR="00823F93">
        <w:t>e</w:t>
      </w:r>
      <w:r w:rsidR="003C79B2">
        <w:t>matickou kategorizaci a vytváření t</w:t>
      </w:r>
      <w:r w:rsidR="00823F93">
        <w:t>e</w:t>
      </w:r>
      <w:r w:rsidR="003C79B2">
        <w:t xml:space="preserve">matických přehledů, pro navrhování souvisejících rozhodnutí apod. </w:t>
      </w:r>
      <w:r w:rsidR="00E85D3C">
        <w:t xml:space="preserve">Při evaluačním experimentu právníci </w:t>
      </w:r>
      <w:r w:rsidR="00FD44CC">
        <w:t>hodnotili podobnost právní otázky původního rozhodnutí a rozhodnutí získaného pomocí natrénovaného modelu doc2vec a obecně byla získaná rozhodnutí hodnocena jako podobná. Ačkoliv metoda zaznamenala nejlepší výsledky z metod první fáze evaluačních experimentů (citační síťová analýza, doc2vec model a metody modelování témat</w:t>
      </w:r>
      <w:r w:rsidR="00CF11CF">
        <w:t xml:space="preserve">) a považuji je za dostatečné pro samostatné užití metody, </w:t>
      </w:r>
      <w:r w:rsidR="00823F93">
        <w:t>mám za to</w:t>
      </w:r>
      <w:r w:rsidR="00CF11CF">
        <w:t xml:space="preserve">, </w:t>
      </w:r>
      <w:r w:rsidR="00823F93">
        <w:t xml:space="preserve">že </w:t>
      </w:r>
      <w:r w:rsidR="00CF11CF">
        <w:t xml:space="preserve">i </w:t>
      </w:r>
      <w:r w:rsidR="00823F93">
        <w:t>tak</w:t>
      </w:r>
      <w:r w:rsidR="00CF11CF">
        <w:t xml:space="preserve"> nejsou výsledky absolutně jednoznačné</w:t>
      </w:r>
      <w:r w:rsidR="00FD44CC">
        <w:t>.</w:t>
      </w:r>
    </w:p>
    <w:p w14:paraId="156577F0" w14:textId="783CE969" w:rsidR="00FD44CC" w:rsidRDefault="00FD44CC" w:rsidP="00C96417">
      <w:pPr>
        <w:pStyle w:val="Dalodstavce"/>
      </w:pPr>
      <w:r>
        <w:t xml:space="preserve">Ve třetím dílčím experimentu jsem se zabývala aplikací dvou metod modelování témat – LDA a NMF. Tyto metody standardně bývají užívány pro přiřazování témat k rozhodnutím (která mohou plnit např. funkci klíčových slov), </w:t>
      </w:r>
      <w:r w:rsidR="00D1224E">
        <w:t xml:space="preserve">pro </w:t>
      </w:r>
      <w:r>
        <w:t>t</w:t>
      </w:r>
      <w:r w:rsidR="00D1224E">
        <w:t>e</w:t>
      </w:r>
      <w:r>
        <w:t xml:space="preserve">matickou kategorizaci rozhodnutí či návrhy podobných rozhodnutí založených na těchto tématech, tedy </w:t>
      </w:r>
      <w:r w:rsidR="00D1224E">
        <w:t>jsou opět vhodné</w:t>
      </w:r>
      <w:r>
        <w:t xml:space="preserve"> pro rešerši judikatury. </w:t>
      </w:r>
      <w:r w:rsidR="00CF11CF">
        <w:t>Avšak obě metody modelování témat představené v tomto experimentu měly při evaluaci právní skupinou velmi nízkou přesnost a jako jediné v první fázi evaluace byly jednoznačně vyhodnoceny jako nevhodné pro samostatné užití.</w:t>
      </w:r>
      <w:r w:rsidR="000E093E">
        <w:t xml:space="preserve"> Nicméně, důležitým závěrem tohoto experimentu bylo to, že kvantitativní (algoritmický) ukazatel kvality metody vždy nemusí odpovídat kvalitativnímu (lidskému) </w:t>
      </w:r>
      <w:r w:rsidR="000E093E">
        <w:lastRenderedPageBreak/>
        <w:t>hodnocení. I tento závěr je argumentem pro větší užití metod manuálního hodnocení ve vyhledávání (právních) informací.</w:t>
      </w:r>
    </w:p>
    <w:p w14:paraId="0EC5DCBE" w14:textId="75707524" w:rsidR="00CF11CF" w:rsidRDefault="00CF11CF" w:rsidP="00C96417">
      <w:pPr>
        <w:pStyle w:val="Dalodstavce"/>
      </w:pPr>
      <w:r>
        <w:t xml:space="preserve">Ve čtvrtém experimentu </w:t>
      </w:r>
      <w:r w:rsidR="000969A7">
        <w:t xml:space="preserve">byly metody aplikovány v tzv. vícevrstvém přístupu a bylo zjišťováno, zda tento přístup povede k větší přesnosti těchto metod. Vícevrstvá aplikace byla založena na nejpřesnější metodě z první fáze evaluačních experimentů – doc2vec – v kombinaci s citační analýzou a metodou modelování témat (LDA). Předpokladem zde bylo, že tento přístup by mohl </w:t>
      </w:r>
      <w:r w:rsidR="00E85B10">
        <w:t>dodatečnou</w:t>
      </w:r>
      <w:r w:rsidR="000969A7">
        <w:t xml:space="preserve"> filtrací výsledků </w:t>
      </w:r>
      <w:r w:rsidR="00E85B10">
        <w:t xml:space="preserve">pomocí citační analýzy a LDA metody </w:t>
      </w:r>
      <w:r w:rsidR="000969A7">
        <w:t>předkládat přesnější výsledky</w:t>
      </w:r>
      <w:r w:rsidR="00E85B10">
        <w:t xml:space="preserve"> při vyhledávání podobných soudních rozhodnutí pomocí doc2vec modelu. Tento předpoklad se potvrdil u kombinace doc2vec modelu a citační analýzy, která v následném evaluačním experimentu vykazovala výrazně lepší výsledky, které již považuji za dostatečně přesné pro </w:t>
      </w:r>
      <w:r w:rsidR="00D1224E">
        <w:t>účely využití</w:t>
      </w:r>
      <w:r w:rsidR="00E85B10">
        <w:t xml:space="preserve"> této metody v praxi. Experiment s aplikací doc2vec modelu a LDA metody </w:t>
      </w:r>
      <w:r w:rsidR="00D1224E">
        <w:t>nicméně</w:t>
      </w:r>
      <w:r w:rsidR="00E85B10">
        <w:t xml:space="preserve"> vykázal o něco málo nižší přesnost než doc2vec model samostatně v první fázi výzkumu.</w:t>
      </w:r>
    </w:p>
    <w:p w14:paraId="797AE666" w14:textId="173D0865" w:rsidR="00E85B10" w:rsidRDefault="00E85B10" w:rsidP="00C96417">
      <w:pPr>
        <w:pStyle w:val="Dalodstavce"/>
      </w:pPr>
      <w:r>
        <w:t xml:space="preserve">Mám-li odpovědět na obecnou výzkumnou otázku aplikace metod pro zlepšení vyhledávání soudních rozhodnutí, myslím, že i přes limity metod a limity evaluačních experimentů </w:t>
      </w:r>
      <w:r w:rsidR="00E8276B">
        <w:t>se vhodnost metod pro vyhledávání soudních rozhodnutí</w:t>
      </w:r>
      <w:r w:rsidR="005943D1">
        <w:t xml:space="preserve"> úspěšně prokázala a jejich výsledky u většiny experimentů jsou dostatečně přesné pro praktické užití. Zejména citační analýza a model doc2vec, jak samostatně</w:t>
      </w:r>
      <w:r w:rsidR="00D1224E">
        <w:t>,</w:t>
      </w:r>
      <w:r w:rsidR="005943D1">
        <w:t xml:space="preserve"> tak ve vícevrstvé aplikaci, mají dle evaluačních výsledků velký potenciál. Tímto syntetickým závěrem mohu považovat výzkumné otázky za zodpovězené, avšak ráda bych tu uvedla ještě několik důležitých zjištění, která </w:t>
      </w:r>
      <w:r w:rsidR="00D1224E">
        <w:t>z této práce vyplývají</w:t>
      </w:r>
      <w:r w:rsidR="005943D1">
        <w:t>.</w:t>
      </w:r>
    </w:p>
    <w:p w14:paraId="3BCB7695" w14:textId="252EDF5A" w:rsidR="005943D1" w:rsidRPr="00342D19" w:rsidRDefault="005943D1" w:rsidP="00C96417">
      <w:pPr>
        <w:pStyle w:val="Dalodstavce"/>
      </w:pPr>
      <w:r>
        <w:t xml:space="preserve">Prvním je shrnutí hodnocení subjektivnosti evaluace metod. Z výsledků této </w:t>
      </w:r>
      <w:r w:rsidR="0052043B">
        <w:t>doplňující</w:t>
      </w:r>
      <w:r>
        <w:t xml:space="preserve"> otázky jasně vyplynulo, že ačkoliv byla evaluační skupina velmi různorodá</w:t>
      </w:r>
      <w:r w:rsidR="00D1224E">
        <w:t>,</w:t>
      </w:r>
      <w:r>
        <w:t xml:space="preserve"> co se týče znalost</w:t>
      </w:r>
      <w:r w:rsidR="0052043B">
        <w:t>í</w:t>
      </w:r>
      <w:r>
        <w:t xml:space="preserve"> a profesního zaměření jejích členů, hodnotili právníci předložené metody velmi podobně a ve </w:t>
      </w:r>
      <w:r w:rsidR="00D1224E">
        <w:t>značné</w:t>
      </w:r>
      <w:r>
        <w:t xml:space="preserve"> části případů dokonce zcela totožně. Manuální hodnocení metod expertní skupinou tedy nelze považovat za vysoce subjektivní, spíše naopak, což je závěr</w:t>
      </w:r>
      <w:r w:rsidR="0052043B">
        <w:t>,</w:t>
      </w:r>
      <w:r>
        <w:t xml:space="preserve"> který zaprvé výrazně validuje výsledky evaluačních experimentů </w:t>
      </w:r>
      <w:r w:rsidR="0052043B">
        <w:t xml:space="preserve">zde předložené </w:t>
      </w:r>
      <w:r>
        <w:t xml:space="preserve">(a tedy závěry výše uvedené) a za druhé podporuje užití této evaluační metody </w:t>
      </w:r>
      <w:r w:rsidR="0052043B">
        <w:t xml:space="preserve">pro hodnocení kvantitativních metod obecně. Druhým vedlejším produktem této práce je uveřejnění všech užitých datasetů a korpusů formou </w:t>
      </w:r>
      <w:r w:rsidR="0052043B" w:rsidRPr="0052043B">
        <w:rPr>
          <w:i/>
          <w:iCs/>
        </w:rPr>
        <w:t>open access</w:t>
      </w:r>
      <w:r w:rsidR="0052043B">
        <w:t xml:space="preserve"> (korpus textů soudních rozhodnutí, dataset citací, datasety pro segmentaci rozhodnutí a extrakci citací). Ačkoliv nejsou korpusy dále aktualizovány, k datu odevzdání této práce se stále jedná o jediné dostupné datasety textů soudních </w:t>
      </w:r>
      <w:r w:rsidR="0052043B">
        <w:lastRenderedPageBreak/>
        <w:t xml:space="preserve">rozhodnutí přístupné pro další výzkumné užití, což </w:t>
      </w:r>
      <w:r w:rsidR="00D1224E">
        <w:t>jak</w:t>
      </w:r>
      <w:r w:rsidR="0052043B">
        <w:t xml:space="preserve"> doufám</w:t>
      </w:r>
      <w:r w:rsidR="00D1224E">
        <w:t>,</w:t>
      </w:r>
      <w:r w:rsidR="0052043B">
        <w:t xml:space="preserve"> také podpoří další výzkum ve zlepšení a zefektivnění vyhledávání právních informací v České republice.</w:t>
      </w:r>
    </w:p>
    <w:p w14:paraId="0318E4A7" w14:textId="172318AA" w:rsidR="009844AC" w:rsidRPr="002610F5" w:rsidRDefault="009844AC" w:rsidP="009844AC">
      <w:pPr>
        <w:pStyle w:val="Dalodstavce"/>
      </w:pPr>
    </w:p>
    <w:p w14:paraId="7A9C3BA0" w14:textId="77777777" w:rsidR="00710C27" w:rsidRDefault="00D80A2A" w:rsidP="008A7F29">
      <w:pPr>
        <w:pStyle w:val="Nadpis10"/>
      </w:pPr>
      <w:bookmarkStart w:id="117" w:name="_Toc257117031"/>
      <w:bookmarkStart w:id="118" w:name="_Toc381564283"/>
      <w:bookmarkStart w:id="119" w:name="_Toc126909375"/>
      <w:r w:rsidRPr="00746487">
        <w:lastRenderedPageBreak/>
        <w:t>Použité zdroje</w:t>
      </w:r>
      <w:bookmarkEnd w:id="117"/>
      <w:bookmarkEnd w:id="118"/>
      <w:bookmarkEnd w:id="119"/>
    </w:p>
    <w:sdt>
      <w:sdtPr>
        <w:id w:val="111145805"/>
        <w:placeholder>
          <w:docPart w:val="AB5D91C1CF66490CB7E6D75498947FE8"/>
        </w:placeholder>
        <w:bibliography/>
      </w:sdtPr>
      <w:sdtContent>
        <w:p w14:paraId="7D0B44F0" w14:textId="77777777" w:rsidR="0007195B" w:rsidRPr="006E6D13" w:rsidRDefault="0007195B" w:rsidP="006E6D13">
          <w:pPr>
            <w:pStyle w:val="ZPLiteratura"/>
            <w:jc w:val="both"/>
            <w:rPr>
              <w:rFonts w:asciiTheme="minorHAnsi" w:hAnsiTheme="minorHAnsi"/>
            </w:rPr>
          </w:pPr>
          <w:r w:rsidRPr="006E6D13">
            <w:rPr>
              <w:rFonts w:asciiTheme="minorHAnsi" w:hAnsiTheme="minorHAnsi"/>
            </w:rPr>
            <w:t xml:space="preserve">Albert, M. B. et al. Direct validation of citation counts as indicators of industrially important patents. </w:t>
          </w:r>
          <w:r w:rsidRPr="006E6D13">
            <w:rPr>
              <w:rFonts w:asciiTheme="minorHAnsi" w:hAnsiTheme="minorHAnsi"/>
              <w:i/>
              <w:iCs/>
            </w:rPr>
            <w:t>Research Policy</w:t>
          </w:r>
          <w:r w:rsidRPr="006E6D13">
            <w:rPr>
              <w:rFonts w:asciiTheme="minorHAnsi" w:hAnsiTheme="minorHAnsi"/>
            </w:rPr>
            <w:t>. 1991, č. 3, s. 251–259.</w:t>
          </w:r>
        </w:p>
        <w:p w14:paraId="3460B548" w14:textId="26A46175"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Ashley, K. D. </w:t>
          </w:r>
          <w:r w:rsidRPr="0007195B">
            <w:rPr>
              <w:rFonts w:asciiTheme="minorHAnsi" w:hAnsiTheme="minorHAnsi"/>
              <w:i/>
              <w:iCs/>
            </w:rPr>
            <w:t>Artificial Intelligence and Legal Analytics: New Tools for Law Practice in the Digital Age</w:t>
          </w:r>
          <w:r w:rsidRPr="0007195B">
            <w:rPr>
              <w:rFonts w:asciiTheme="minorHAnsi" w:hAnsiTheme="minorHAnsi"/>
            </w:rPr>
            <w:t>. Cambridge: Cambridge University Press, 2017. https://www.cambridge.org/core/books/artificial-intelligence-and-legal-analytics/E7D705EEF392501A1DB180645917E7E0</w:t>
          </w:r>
        </w:p>
        <w:p w14:paraId="7D175C00"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Athey, N. C., Bouchard, M. The BALCO scandal: the social structure of a steroid distribution network. </w:t>
          </w:r>
          <w:r w:rsidRPr="0007195B">
            <w:rPr>
              <w:rFonts w:asciiTheme="minorHAnsi" w:hAnsiTheme="minorHAnsi"/>
              <w:i/>
              <w:iCs/>
            </w:rPr>
            <w:t>Global Crime</w:t>
          </w:r>
          <w:r w:rsidRPr="0007195B">
            <w:rPr>
              <w:rFonts w:asciiTheme="minorHAnsi" w:hAnsiTheme="minorHAnsi"/>
            </w:rPr>
            <w:t>. 2013, č. 2–3, s. 216–237.</w:t>
          </w:r>
        </w:p>
        <w:p w14:paraId="04316BD5"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Bartolini, C., Lenzini, G., Santos, C. An Agile Approach to Validate a Formal Representation of the GDPR. In: Kojima, K. et al. (eds). </w:t>
          </w:r>
          <w:r w:rsidRPr="0007195B">
            <w:rPr>
              <w:rFonts w:asciiTheme="minorHAnsi" w:hAnsiTheme="minorHAnsi"/>
              <w:i/>
              <w:iCs/>
            </w:rPr>
            <w:t>New Frontiers in Artificial Intelligence</w:t>
          </w:r>
          <w:r w:rsidRPr="0007195B">
            <w:rPr>
              <w:rFonts w:asciiTheme="minorHAnsi" w:hAnsiTheme="minorHAnsi"/>
            </w:rPr>
            <w:t>. Cham: Springer International Publishing, 2019, s. 160–176. Lecture Notes in Computer Science.</w:t>
          </w:r>
        </w:p>
        <w:p w14:paraId="7702795B"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Berry, M. W. et al. Algorithms and applications for approximate nonnegative matrix factorization. </w:t>
          </w:r>
          <w:r w:rsidRPr="0007195B">
            <w:rPr>
              <w:rFonts w:asciiTheme="minorHAnsi" w:hAnsiTheme="minorHAnsi"/>
              <w:i/>
              <w:iCs/>
            </w:rPr>
            <w:t>Computational Statistics &amp; Data Analysis</w:t>
          </w:r>
          <w:r w:rsidRPr="0007195B">
            <w:rPr>
              <w:rFonts w:asciiTheme="minorHAnsi" w:hAnsiTheme="minorHAnsi"/>
            </w:rPr>
            <w:t>. 2007, č. 1, s. 155–173.</w:t>
          </w:r>
        </w:p>
        <w:p w14:paraId="34F693FE" w14:textId="34BD151A"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Bhatia, S., Lau, J. H., Baldwin, T. An Automatic Approach for Document-level Topic Model Evaluation. </w:t>
          </w:r>
          <w:r w:rsidRPr="0007195B">
            <w:rPr>
              <w:rFonts w:asciiTheme="minorHAnsi" w:hAnsiTheme="minorHAnsi"/>
              <w:i/>
              <w:iCs/>
            </w:rPr>
            <w:t>arXiv:1706.05140 [cs]</w:t>
          </w:r>
          <w:r w:rsidRPr="0007195B">
            <w:rPr>
              <w:rFonts w:asciiTheme="minorHAnsi" w:hAnsiTheme="minorHAnsi"/>
            </w:rPr>
            <w:t>. 2017. http://arxiv.org/abs/1706.05140</w:t>
          </w:r>
        </w:p>
        <w:p w14:paraId="72983B88"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Bilgin, M., Şentürk, İ. F. Sentiment analysis on Twitter data with semi-supervised Doc2Vec. In: </w:t>
          </w:r>
          <w:r w:rsidRPr="0007195B">
            <w:rPr>
              <w:rFonts w:asciiTheme="minorHAnsi" w:hAnsiTheme="minorHAnsi"/>
              <w:i/>
              <w:iCs/>
            </w:rPr>
            <w:t>2017 International Conference on Computer Science and Engineering (UBMK)</w:t>
          </w:r>
          <w:r w:rsidRPr="0007195B">
            <w:rPr>
              <w:rFonts w:asciiTheme="minorHAnsi" w:hAnsiTheme="minorHAnsi"/>
            </w:rPr>
            <w:t>. 2017, s. 661–666.</w:t>
          </w:r>
        </w:p>
        <w:p w14:paraId="5530BC7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Blei, D. M., Ng, A. Y., Jordan, M. I. Latent dirichlet allocation. In: </w:t>
          </w:r>
          <w:r w:rsidRPr="0007195B">
            <w:rPr>
              <w:rFonts w:asciiTheme="minorHAnsi" w:hAnsiTheme="minorHAnsi"/>
              <w:i/>
              <w:iCs/>
            </w:rPr>
            <w:t>Proceedings of the 14th International Conference on Neural Information Processing Systems: Natural and Synthetic</w:t>
          </w:r>
          <w:r w:rsidRPr="0007195B">
            <w:rPr>
              <w:rFonts w:asciiTheme="minorHAnsi" w:hAnsiTheme="minorHAnsi"/>
            </w:rPr>
            <w:t>. Cambridge, MA, USA: MIT Press, 2001, s. 601–608. NIPS’01.</w:t>
          </w:r>
        </w:p>
        <w:p w14:paraId="49BA8548"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Boer, A., Winkels, R. Making a Cold Start in Legal Recommendation: An Experiment. </w:t>
          </w:r>
          <w:r w:rsidRPr="0007195B">
            <w:rPr>
              <w:rFonts w:asciiTheme="minorHAnsi" w:hAnsiTheme="minorHAnsi"/>
              <w:i/>
              <w:iCs/>
            </w:rPr>
            <w:t>Legal Knowledge and Information Systems</w:t>
          </w:r>
          <w:r w:rsidRPr="0007195B">
            <w:rPr>
              <w:rFonts w:asciiTheme="minorHAnsi" w:hAnsiTheme="minorHAnsi"/>
            </w:rPr>
            <w:t>. 2016, s. 131–136.</w:t>
          </w:r>
        </w:p>
        <w:p w14:paraId="1397FE8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lastRenderedPageBreak/>
            <w:t xml:space="preserve">Bommarito, M. J., Katz, D. M. A mathematical approach to the study of the United States Code. </w:t>
          </w:r>
          <w:r w:rsidRPr="0007195B">
            <w:rPr>
              <w:rFonts w:asciiTheme="minorHAnsi" w:hAnsiTheme="minorHAnsi"/>
              <w:i/>
              <w:iCs/>
            </w:rPr>
            <w:t>Physica A: Statistical Mechanics and its Applications</w:t>
          </w:r>
          <w:r w:rsidRPr="0007195B">
            <w:rPr>
              <w:rFonts w:asciiTheme="minorHAnsi" w:hAnsiTheme="minorHAnsi"/>
            </w:rPr>
            <w:t>. 2010, č. 19, s. 4195–4200.</w:t>
          </w:r>
        </w:p>
        <w:p w14:paraId="490BBBE2"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Boulet, R., Mazzega, P., Bourcier, D. A network approach to the French system of legal codes—part I: analysis of a dense network. </w:t>
          </w:r>
          <w:r w:rsidRPr="0007195B">
            <w:rPr>
              <w:rFonts w:asciiTheme="minorHAnsi" w:hAnsiTheme="minorHAnsi"/>
              <w:i/>
              <w:iCs/>
            </w:rPr>
            <w:t>Artificial Intelligence and Law</w:t>
          </w:r>
          <w:r w:rsidRPr="0007195B">
            <w:rPr>
              <w:rFonts w:asciiTheme="minorHAnsi" w:hAnsiTheme="minorHAnsi"/>
            </w:rPr>
            <w:t>. 2011, č. 4, s. 333–355.</w:t>
          </w:r>
        </w:p>
        <w:p w14:paraId="6233B433"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Boulet, R., Mazzega, P., Bourcier, D. Network approach to the French system of legal codes part II: the role of the weights in a network. </w:t>
          </w:r>
          <w:r w:rsidRPr="0007195B">
            <w:rPr>
              <w:rFonts w:asciiTheme="minorHAnsi" w:hAnsiTheme="minorHAnsi"/>
              <w:i/>
              <w:iCs/>
            </w:rPr>
            <w:t>Artificial Intelligence and Law</w:t>
          </w:r>
          <w:r w:rsidRPr="0007195B">
            <w:rPr>
              <w:rFonts w:asciiTheme="minorHAnsi" w:hAnsiTheme="minorHAnsi"/>
            </w:rPr>
            <w:t>. 2018, č. 1, s. 23–47.</w:t>
          </w:r>
        </w:p>
        <w:p w14:paraId="7495065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Bradley, R. E., Sandifer, E. </w:t>
          </w:r>
          <w:r w:rsidRPr="0007195B">
            <w:rPr>
              <w:rFonts w:asciiTheme="minorHAnsi" w:hAnsiTheme="minorHAnsi"/>
              <w:i/>
              <w:iCs/>
            </w:rPr>
            <w:t>Leonhard Euler: Life, Work and Legacy</w:t>
          </w:r>
          <w:r w:rsidRPr="0007195B">
            <w:rPr>
              <w:rFonts w:asciiTheme="minorHAnsi" w:hAnsiTheme="minorHAnsi"/>
            </w:rPr>
            <w:t>. Elsevier, 2007.</w:t>
          </w:r>
        </w:p>
        <w:p w14:paraId="1420C3BF"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Brandes, U. </w:t>
          </w:r>
          <w:r w:rsidRPr="0007195B">
            <w:rPr>
              <w:rFonts w:asciiTheme="minorHAnsi" w:hAnsiTheme="minorHAnsi"/>
              <w:i/>
              <w:iCs/>
            </w:rPr>
            <w:t>Network Analysis: Methodological Foundations</w:t>
          </w:r>
          <w:r w:rsidRPr="0007195B">
            <w:rPr>
              <w:rFonts w:asciiTheme="minorHAnsi" w:hAnsiTheme="minorHAnsi"/>
            </w:rPr>
            <w:t>. Springer Science &amp; Business Media, 2005.</w:t>
          </w:r>
        </w:p>
        <w:p w14:paraId="48023A59"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Caldarelli, G. et al. A Network Analysis of Countries’ Export Flows: Firm Grounds for the Building Blocks of the Economy. </w:t>
          </w:r>
          <w:r w:rsidRPr="0007195B">
            <w:rPr>
              <w:rFonts w:asciiTheme="minorHAnsi" w:hAnsiTheme="minorHAnsi"/>
              <w:i/>
              <w:iCs/>
            </w:rPr>
            <w:t>PLOS ONE</w:t>
          </w:r>
          <w:r w:rsidRPr="0007195B">
            <w:rPr>
              <w:rFonts w:asciiTheme="minorHAnsi" w:hAnsiTheme="minorHAnsi"/>
            </w:rPr>
            <w:t>. 2012, č. 10, s. e47278.</w:t>
          </w:r>
        </w:p>
        <w:p w14:paraId="18853882"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Carlucci, L., Ciani, G., Proserpio, D. M. Polycatenation, polythreading and polyknotting in coordination network chemistry. </w:t>
          </w:r>
          <w:r w:rsidRPr="0007195B">
            <w:rPr>
              <w:rFonts w:asciiTheme="minorHAnsi" w:hAnsiTheme="minorHAnsi"/>
              <w:i/>
              <w:iCs/>
            </w:rPr>
            <w:t>Coordination Chemistry Reviews</w:t>
          </w:r>
          <w:r w:rsidRPr="0007195B">
            <w:rPr>
              <w:rFonts w:asciiTheme="minorHAnsi" w:hAnsiTheme="minorHAnsi"/>
            </w:rPr>
            <w:t>. 2003, č. 1, s. 247–289.</w:t>
          </w:r>
        </w:p>
        <w:p w14:paraId="49D59457" w14:textId="37CD00F2"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Carrington, P. J., Scott, J., Wasserman, S. (eds). </w:t>
          </w:r>
          <w:r w:rsidRPr="0007195B">
            <w:rPr>
              <w:rFonts w:asciiTheme="minorHAnsi" w:hAnsiTheme="minorHAnsi"/>
              <w:i/>
              <w:iCs/>
            </w:rPr>
            <w:t>Models and Methods in Social Network Analysis</w:t>
          </w:r>
          <w:r w:rsidRPr="0007195B">
            <w:rPr>
              <w:rFonts w:asciiTheme="minorHAnsi" w:hAnsiTheme="minorHAnsi"/>
            </w:rPr>
            <w:t>. Cambridge: Cambridge University Press, 2005. Structural Analysis in the Social Sciences. https://www.cambridge.org/core/books/models-and-methods-in-social-network-analysis/820FEB203C5272AD027A33D6F5AB15D4</w:t>
          </w:r>
        </w:p>
        <w:p w14:paraId="21A8A187"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Clark, T. S., Lauderdale, B. E. The Genealogy of Law. </w:t>
          </w:r>
          <w:r w:rsidRPr="0007195B">
            <w:rPr>
              <w:rFonts w:asciiTheme="minorHAnsi" w:hAnsiTheme="minorHAnsi"/>
              <w:i/>
              <w:iCs/>
            </w:rPr>
            <w:t>Political Analysis</w:t>
          </w:r>
          <w:r w:rsidRPr="0007195B">
            <w:rPr>
              <w:rFonts w:asciiTheme="minorHAnsi" w:hAnsiTheme="minorHAnsi"/>
            </w:rPr>
            <w:t>. 2012, č. 3, s. 329–350.</w:t>
          </w:r>
        </w:p>
        <w:p w14:paraId="5D497C4D" w14:textId="4D243D46"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Conrad, J. G. et al. Effective document clustering for large heterogeneous law firm collections. In: </w:t>
          </w:r>
          <w:r w:rsidRPr="0007195B">
            <w:rPr>
              <w:rFonts w:asciiTheme="minorHAnsi" w:hAnsiTheme="minorHAnsi"/>
              <w:i/>
              <w:iCs/>
            </w:rPr>
            <w:t>Proceedings of the 10th international conference on Artificial intelligence and law</w:t>
          </w:r>
          <w:r w:rsidRPr="0007195B">
            <w:rPr>
              <w:rFonts w:asciiTheme="minorHAnsi" w:hAnsiTheme="minorHAnsi"/>
            </w:rPr>
            <w:t>. New York, NY, USA: Association for Computing Machinery, 2005, s. 177–187. ICAIL ’05. https://doi.org/10.1145/1165485.1165513</w:t>
          </w:r>
        </w:p>
        <w:p w14:paraId="67328204" w14:textId="120D7E94"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Conrad, J. G., Zeleznikow, J. The role of evaluation in AI and law: an examination of its different forms in the AI and law journal. In: </w:t>
          </w:r>
          <w:r w:rsidRPr="0007195B">
            <w:rPr>
              <w:rFonts w:asciiTheme="minorHAnsi" w:hAnsiTheme="minorHAnsi"/>
              <w:i/>
              <w:iCs/>
            </w:rPr>
            <w:t>Proceedings of the 15th International Conference on Artificial Intelligence and Law - ICAIL ’15</w:t>
          </w:r>
          <w:r w:rsidRPr="0007195B">
            <w:rPr>
              <w:rFonts w:asciiTheme="minorHAnsi" w:hAnsiTheme="minorHAnsi"/>
            </w:rPr>
            <w:t xml:space="preserve">. San Diego, California: ACM Press, </w:t>
          </w:r>
          <w:r w:rsidRPr="0007195B">
            <w:rPr>
              <w:rFonts w:asciiTheme="minorHAnsi" w:hAnsiTheme="minorHAnsi"/>
            </w:rPr>
            <w:lastRenderedPageBreak/>
            <w:t>2015, s. 181–186. http://dl.acm.org/citation.cfm?doid=2746090.2746116</w:t>
          </w:r>
        </w:p>
        <w:p w14:paraId="17B2D0D0" w14:textId="00323942"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Conrad, J. G., Zeleznikow, J. The significance of evaluation in AI and law: a case study re-examining ICAIL proceedings. In: </w:t>
          </w:r>
          <w:r w:rsidRPr="0007195B">
            <w:rPr>
              <w:rFonts w:asciiTheme="minorHAnsi" w:hAnsiTheme="minorHAnsi"/>
              <w:i/>
              <w:iCs/>
            </w:rPr>
            <w:t>Proceedings of the Fourteenth International Conference on Artificial Intelligence and Law - ICAIL ’13</w:t>
          </w:r>
          <w:r w:rsidRPr="0007195B">
            <w:rPr>
              <w:rFonts w:asciiTheme="minorHAnsi" w:hAnsiTheme="minorHAnsi"/>
            </w:rPr>
            <w:t>. Rome, Italy: ACM Press, 2013, s. 186. http://dl.acm.org/citation.cfm?doid=2514601.2514624</w:t>
          </w:r>
        </w:p>
        <w:p w14:paraId="42016A9E"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Cook, K. S., Whitmeyer, J. M. Two Approaches to Social Structure: Exchange Theory and Network Analysis. </w:t>
          </w:r>
          <w:r w:rsidRPr="0007195B">
            <w:rPr>
              <w:rFonts w:asciiTheme="minorHAnsi" w:hAnsiTheme="minorHAnsi"/>
              <w:i/>
              <w:iCs/>
            </w:rPr>
            <w:t>Annual Review of Sociology</w:t>
          </w:r>
          <w:r w:rsidRPr="0007195B">
            <w:rPr>
              <w:rFonts w:asciiTheme="minorHAnsi" w:hAnsiTheme="minorHAnsi"/>
            </w:rPr>
            <w:t>. 1992, č. 1, s. 109–127.</w:t>
          </w:r>
        </w:p>
        <w:p w14:paraId="4B640BEF" w14:textId="6D91290D"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Croft, W. B. Combining Approaches to Information Retrieval. In: Croft, W. B. (ed.). </w:t>
          </w:r>
          <w:r w:rsidRPr="0007195B">
            <w:rPr>
              <w:rFonts w:asciiTheme="minorHAnsi" w:hAnsiTheme="minorHAnsi"/>
              <w:i/>
              <w:iCs/>
            </w:rPr>
            <w:t>Advances in Information Retrieval: Recent Research from the Center for Intelligent Information Retrieval</w:t>
          </w:r>
          <w:r w:rsidRPr="0007195B">
            <w:rPr>
              <w:rFonts w:asciiTheme="minorHAnsi" w:hAnsiTheme="minorHAnsi"/>
            </w:rPr>
            <w:t>. Boston, MA: Springer US, 2000, s. 1–36. The Information Retrieval Series. https://doi.org/10.1007/0-306-47019-5_1</w:t>
          </w:r>
        </w:p>
        <w:p w14:paraId="582AB62D"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Cross, F. B. et al. Citations in the U.S. Supreme Court: An Empirical Study of Their Use and Significance. </w:t>
          </w:r>
          <w:r w:rsidRPr="0007195B">
            <w:rPr>
              <w:rFonts w:asciiTheme="minorHAnsi" w:hAnsiTheme="minorHAnsi"/>
              <w:i/>
              <w:iCs/>
            </w:rPr>
            <w:t>University of Illinois Law Review</w:t>
          </w:r>
          <w:r w:rsidRPr="0007195B">
            <w:rPr>
              <w:rFonts w:asciiTheme="minorHAnsi" w:hAnsiTheme="minorHAnsi"/>
            </w:rPr>
            <w:t>. 2010, s. 489.</w:t>
          </w:r>
        </w:p>
        <w:p w14:paraId="799BBAD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Dahlin, K., Taylor, M., Fichman, M. Today’s Edisons or weekend hobbyists: technical merit and success of inventions by independent inventors. </w:t>
          </w:r>
          <w:r w:rsidRPr="0007195B">
            <w:rPr>
              <w:rFonts w:asciiTheme="minorHAnsi" w:hAnsiTheme="minorHAnsi"/>
              <w:i/>
              <w:iCs/>
            </w:rPr>
            <w:t>Research Policy</w:t>
          </w:r>
          <w:r w:rsidRPr="0007195B">
            <w:rPr>
              <w:rFonts w:asciiTheme="minorHAnsi" w:hAnsiTheme="minorHAnsi"/>
            </w:rPr>
            <w:t>. 2004, č. 8, s. 1167–1183.</w:t>
          </w:r>
        </w:p>
        <w:p w14:paraId="665B5917" w14:textId="40CC3DDA"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De Nooy, W., Mrvar, A., Batagelj, V. </w:t>
          </w:r>
          <w:r w:rsidRPr="0007195B">
            <w:rPr>
              <w:rFonts w:asciiTheme="minorHAnsi" w:hAnsiTheme="minorHAnsi"/>
              <w:i/>
              <w:iCs/>
            </w:rPr>
            <w:t>Exploratory Social Network Analysis with Pajek: Revised and Expanded Edition for Updated Software</w:t>
          </w:r>
          <w:r w:rsidRPr="0007195B">
            <w:rPr>
              <w:rFonts w:asciiTheme="minorHAnsi" w:hAnsiTheme="minorHAnsi"/>
            </w:rPr>
            <w:t>. Cambridge: Cambridge University Press, 2018. Structural Analysis in the Social Sciences. https://www.cambridge.org/core/books/exploratory-social-network-analysis-with-pajek/6F8EE2512CB7C6D233DB2DAC3886D4F5</w:t>
          </w:r>
        </w:p>
        <w:p w14:paraId="5975ADC8"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Derlén, M., Lindholm, J. Goodbye van Gend en Loos, Hello Bosman? Using Network Analysis to Measure the Importance of Individual CJEU Judgments. </w:t>
          </w:r>
          <w:r w:rsidRPr="0007195B">
            <w:rPr>
              <w:rFonts w:asciiTheme="minorHAnsi" w:hAnsiTheme="minorHAnsi"/>
              <w:i/>
              <w:iCs/>
            </w:rPr>
            <w:t>European Law Journal</w:t>
          </w:r>
          <w:r w:rsidRPr="0007195B">
            <w:rPr>
              <w:rFonts w:asciiTheme="minorHAnsi" w:hAnsiTheme="minorHAnsi"/>
            </w:rPr>
            <w:t>. 2014, č. 5, s. 667–687.</w:t>
          </w:r>
        </w:p>
        <w:p w14:paraId="1298B71D" w14:textId="7FD978DF"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Derlén, M., Lindholm, J. </w:t>
          </w:r>
          <w:r w:rsidRPr="0007195B">
            <w:rPr>
              <w:rFonts w:asciiTheme="minorHAnsi" w:hAnsiTheme="minorHAnsi"/>
              <w:i/>
              <w:iCs/>
            </w:rPr>
            <w:t>Characteristics of Precedent: The Case Law of the European Court of Justice in Three Dimensions</w:t>
          </w:r>
          <w:r w:rsidRPr="0007195B">
            <w:rPr>
              <w:rFonts w:asciiTheme="minorHAnsi" w:hAnsiTheme="minorHAnsi"/>
            </w:rPr>
            <w:t>. Rochester, NY: Social Science Research Network, 2015. https://papers.ssrn.com/abstract=2677555</w:t>
          </w:r>
        </w:p>
        <w:p w14:paraId="07B584C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lastRenderedPageBreak/>
            <w:t xml:space="preserve">Derlén, M., Lindholm, J. Is it Good Law? Network Analysis and the CJEU’s Internal Market Jurisprudence. </w:t>
          </w:r>
          <w:r w:rsidRPr="0007195B">
            <w:rPr>
              <w:rFonts w:asciiTheme="minorHAnsi" w:hAnsiTheme="minorHAnsi"/>
              <w:i/>
              <w:iCs/>
            </w:rPr>
            <w:t>Journal of International Economic Law</w:t>
          </w:r>
          <w:r w:rsidRPr="0007195B">
            <w:rPr>
              <w:rFonts w:asciiTheme="minorHAnsi" w:hAnsiTheme="minorHAnsi"/>
            </w:rPr>
            <w:t>. 2017, č. 2, s. 257–277.</w:t>
          </w:r>
        </w:p>
        <w:p w14:paraId="59B313A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Derlén, M., Lindholm, J. Peek-A-Boo, It’s a Case Law System! Comparing the European Court of Justice and the United States Supreme Court from a Network Perspective. </w:t>
          </w:r>
          <w:r w:rsidRPr="0007195B">
            <w:rPr>
              <w:rFonts w:asciiTheme="minorHAnsi" w:hAnsiTheme="minorHAnsi"/>
              <w:i/>
              <w:iCs/>
            </w:rPr>
            <w:t>German Law Journal</w:t>
          </w:r>
          <w:r w:rsidRPr="0007195B">
            <w:rPr>
              <w:rFonts w:asciiTheme="minorHAnsi" w:hAnsiTheme="minorHAnsi"/>
            </w:rPr>
            <w:t>. 2017, č. 3, s. 647–686.</w:t>
          </w:r>
        </w:p>
        <w:p w14:paraId="46055C82"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Dicken, P. et al. Chains and networks, territories and scales: towards a relational framework for analysing the global economy. </w:t>
          </w:r>
          <w:r w:rsidRPr="0007195B">
            <w:rPr>
              <w:rFonts w:asciiTheme="minorHAnsi" w:hAnsiTheme="minorHAnsi"/>
              <w:i/>
              <w:iCs/>
            </w:rPr>
            <w:t>Global Networks</w:t>
          </w:r>
          <w:r w:rsidRPr="0007195B">
            <w:rPr>
              <w:rFonts w:asciiTheme="minorHAnsi" w:hAnsiTheme="minorHAnsi"/>
            </w:rPr>
            <w:t>. 2001, č. 2, s. 89–112.</w:t>
          </w:r>
        </w:p>
        <w:p w14:paraId="56BAD093" w14:textId="3E79F7CB"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Edwards, A. et al. Go Simple and Pre-Train on Domain-Specific Corpora: On the Role of Training Data for Text Classification. In: </w:t>
          </w:r>
          <w:r w:rsidRPr="0007195B">
            <w:rPr>
              <w:rFonts w:asciiTheme="minorHAnsi" w:hAnsiTheme="minorHAnsi"/>
              <w:i/>
              <w:iCs/>
            </w:rPr>
            <w:t>Proceedings of the 28th International Conference on Computational Linguistics</w:t>
          </w:r>
          <w:r w:rsidRPr="0007195B">
            <w:rPr>
              <w:rFonts w:asciiTheme="minorHAnsi" w:hAnsiTheme="minorHAnsi"/>
            </w:rPr>
            <w:t>. Barcelona, Spain (Online): International Committee on Computational Linguistics, 2020, s. 5522–5529. https://aclanthology.org/2020.coling-main.481</w:t>
          </w:r>
        </w:p>
        <w:p w14:paraId="57E08013"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Emirbayer, M., Goodwin, J. Network Analysis, Culture, and the Problem of Agency. </w:t>
          </w:r>
          <w:r w:rsidRPr="0007195B">
            <w:rPr>
              <w:rFonts w:asciiTheme="minorHAnsi" w:hAnsiTheme="minorHAnsi"/>
              <w:i/>
              <w:iCs/>
            </w:rPr>
            <w:t>American Journal of Sociology</w:t>
          </w:r>
          <w:r w:rsidRPr="0007195B">
            <w:rPr>
              <w:rFonts w:asciiTheme="minorHAnsi" w:hAnsiTheme="minorHAnsi"/>
            </w:rPr>
            <w:t>. 1994, č. 6, s. 1411–1454.</w:t>
          </w:r>
        </w:p>
        <w:p w14:paraId="5A9E4F96"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Farley, J. D. Breaking Al Qaeda Cells: A Mathematical Analysis of Counterterrorism Operations (A Guide for Risk Assessment and Decision Making). </w:t>
          </w:r>
          <w:r w:rsidRPr="0007195B">
            <w:rPr>
              <w:rFonts w:asciiTheme="minorHAnsi" w:hAnsiTheme="minorHAnsi"/>
              <w:i/>
              <w:iCs/>
            </w:rPr>
            <w:t>Studies in Conflict &amp; Terrorism</w:t>
          </w:r>
          <w:r w:rsidRPr="0007195B">
            <w:rPr>
              <w:rFonts w:asciiTheme="minorHAnsi" w:hAnsiTheme="minorHAnsi"/>
            </w:rPr>
            <w:t>. 2003, č. 6, s. 399–411.</w:t>
          </w:r>
        </w:p>
        <w:p w14:paraId="066022E9"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Fleming, L., Sorenson, O. Technology as a complex adaptive system: evidence from patent data. </w:t>
          </w:r>
          <w:r w:rsidRPr="0007195B">
            <w:rPr>
              <w:rFonts w:asciiTheme="minorHAnsi" w:hAnsiTheme="minorHAnsi"/>
              <w:i/>
              <w:iCs/>
            </w:rPr>
            <w:t>Research Policy</w:t>
          </w:r>
          <w:r w:rsidRPr="0007195B">
            <w:rPr>
              <w:rFonts w:asciiTheme="minorHAnsi" w:hAnsiTheme="minorHAnsi"/>
            </w:rPr>
            <w:t>. 2001, č. 7, s. 1019–1039.</w:t>
          </w:r>
        </w:p>
        <w:p w14:paraId="3127E9F6"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Forse, M. Introducing Social Networks. </w:t>
          </w:r>
          <w:r w:rsidRPr="0007195B">
            <w:rPr>
              <w:rFonts w:asciiTheme="minorHAnsi" w:hAnsiTheme="minorHAnsi"/>
              <w:i/>
              <w:iCs/>
            </w:rPr>
            <w:t>Introducing Social Networks</w:t>
          </w:r>
          <w:r w:rsidRPr="0007195B">
            <w:rPr>
              <w:rFonts w:asciiTheme="minorHAnsi" w:hAnsiTheme="minorHAnsi"/>
            </w:rPr>
            <w:t>. 1999, s. 1–256.</w:t>
          </w:r>
        </w:p>
        <w:p w14:paraId="63474760"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Fowler, J. H., Jeon, S. The authority of Supreme Court precedent. </w:t>
          </w:r>
          <w:r w:rsidRPr="0007195B">
            <w:rPr>
              <w:rFonts w:asciiTheme="minorHAnsi" w:hAnsiTheme="minorHAnsi"/>
              <w:i/>
              <w:iCs/>
            </w:rPr>
            <w:t>Social Networks</w:t>
          </w:r>
          <w:r w:rsidRPr="0007195B">
            <w:rPr>
              <w:rFonts w:asciiTheme="minorHAnsi" w:hAnsiTheme="minorHAnsi"/>
            </w:rPr>
            <w:t>. 2008, č. 1, s. 16–30.</w:t>
          </w:r>
        </w:p>
        <w:p w14:paraId="408A12E1"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Fowler, J. H. et al. Network Analysis and the Law: Measuring the Legal Importance of Precedents at the U.S. Supreme Court. </w:t>
          </w:r>
          <w:r w:rsidRPr="0007195B">
            <w:rPr>
              <w:rFonts w:asciiTheme="minorHAnsi" w:hAnsiTheme="minorHAnsi"/>
              <w:i/>
              <w:iCs/>
            </w:rPr>
            <w:t>Political Analysis</w:t>
          </w:r>
          <w:r w:rsidRPr="0007195B">
            <w:rPr>
              <w:rFonts w:asciiTheme="minorHAnsi" w:hAnsiTheme="minorHAnsi"/>
            </w:rPr>
            <w:t>. 2007, č. 3, s. 324–346.</w:t>
          </w:r>
        </w:p>
        <w:p w14:paraId="0C0315E3"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Gammeltoft Hansen, T., Olsen, H. P., Byrne, W. H. Network analysis and comparative migration law: examples from the European Court of Human Rights. </w:t>
          </w:r>
          <w:r w:rsidRPr="0007195B">
            <w:rPr>
              <w:rFonts w:asciiTheme="minorHAnsi" w:hAnsiTheme="minorHAnsi"/>
              <w:i/>
              <w:iCs/>
            </w:rPr>
            <w:t>International Journal of Migration and Border Studies</w:t>
          </w:r>
          <w:r w:rsidRPr="0007195B">
            <w:rPr>
              <w:rFonts w:asciiTheme="minorHAnsi" w:hAnsiTheme="minorHAnsi"/>
            </w:rPr>
            <w:t>. 2022, č. 1, s. 1.</w:t>
          </w:r>
        </w:p>
        <w:p w14:paraId="6D6B584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lastRenderedPageBreak/>
            <w:t xml:space="preserve">Garfield, E. </w:t>
          </w:r>
          <w:r w:rsidRPr="0007195B">
            <w:rPr>
              <w:rFonts w:asciiTheme="minorHAnsi" w:hAnsiTheme="minorHAnsi"/>
              <w:i/>
              <w:iCs/>
            </w:rPr>
            <w:t>Citation Indexing: Its Theory and Application in Science, Technology, and Humanities</w:t>
          </w:r>
          <w:r w:rsidRPr="0007195B">
            <w:rPr>
              <w:rFonts w:asciiTheme="minorHAnsi" w:hAnsiTheme="minorHAnsi"/>
            </w:rPr>
            <w:t>. Isi Press, 1979.</w:t>
          </w:r>
        </w:p>
        <w:p w14:paraId="4A260863"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Geist, A. The Open Revolution: Using Citation Analysis to Improve Legal Text Retrieval. </w:t>
          </w:r>
          <w:r w:rsidRPr="0007195B">
            <w:rPr>
              <w:rFonts w:asciiTheme="minorHAnsi" w:hAnsiTheme="minorHAnsi"/>
              <w:i/>
              <w:iCs/>
            </w:rPr>
            <w:t>European Journal of Legal Studies</w:t>
          </w:r>
          <w:r w:rsidRPr="0007195B">
            <w:rPr>
              <w:rFonts w:asciiTheme="minorHAnsi" w:hAnsiTheme="minorHAnsi"/>
            </w:rPr>
            <w:t>. 2008, č. 3, s. 137–145.</w:t>
          </w:r>
        </w:p>
        <w:p w14:paraId="301C9628"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Geist, A. </w:t>
          </w:r>
          <w:r w:rsidRPr="0007195B">
            <w:rPr>
              <w:rFonts w:asciiTheme="minorHAnsi" w:hAnsiTheme="minorHAnsi"/>
              <w:i/>
              <w:iCs/>
            </w:rPr>
            <w:t>Using Citation Analysis Techniques for Computer-assisted Legal Research in Continental Jurisdictions</w:t>
          </w:r>
          <w:r w:rsidRPr="0007195B">
            <w:rPr>
              <w:rFonts w:asciiTheme="minorHAnsi" w:hAnsiTheme="minorHAnsi"/>
            </w:rPr>
            <w:t>. Norwegian Research Center for Computers and Law, 2010.</w:t>
          </w:r>
        </w:p>
        <w:p w14:paraId="53B94E5A" w14:textId="11C76E9B"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Górski, L. Towards Legal Change Analysis: Clustering of Polish Civil Code Amendments. In: Ashley, K. D. et al. (eds). </w:t>
          </w:r>
          <w:r w:rsidRPr="0007195B">
            <w:rPr>
              <w:rFonts w:asciiTheme="minorHAnsi" w:hAnsiTheme="minorHAnsi"/>
              <w:i/>
              <w:iCs/>
            </w:rPr>
            <w:t>Proceedings of the Third Workshop on Automated Semantic Analysis of Information in Legal Texts co-located with the 17th International Conference on Artificial Intelligence and Law (ICAIL 2019), Montreal, QC, Canada, June 21, 2019</w:t>
          </w:r>
          <w:r w:rsidRPr="0007195B">
            <w:rPr>
              <w:rFonts w:asciiTheme="minorHAnsi" w:hAnsiTheme="minorHAnsi"/>
            </w:rPr>
            <w:t>. 2385. CEUR-WS.org, 2019. CEUR Workshop Proceedings. http://ceur-ws.org/Vol-2385/paper11.pdf</w:t>
          </w:r>
        </w:p>
        <w:p w14:paraId="06FFBA06"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Grimmer, J., Stewart, B. M. Text as Data: The Promise and Pitfalls of Automatic Content Analysis Methods for Political Texts. </w:t>
          </w:r>
          <w:r w:rsidRPr="0007195B">
            <w:rPr>
              <w:rFonts w:asciiTheme="minorHAnsi" w:hAnsiTheme="minorHAnsi"/>
              <w:i/>
              <w:iCs/>
            </w:rPr>
            <w:t>Political Analysis</w:t>
          </w:r>
          <w:r w:rsidRPr="0007195B">
            <w:rPr>
              <w:rFonts w:asciiTheme="minorHAnsi" w:hAnsiTheme="minorHAnsi"/>
            </w:rPr>
            <w:t>. 2013, č. 3, s. 267–297.</w:t>
          </w:r>
        </w:p>
        <w:p w14:paraId="1B903E2A"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 Gomaa, W., A. Fahmy, A. A Survey of Text Similarity Approaches. </w:t>
          </w:r>
          <w:r w:rsidRPr="0007195B">
            <w:rPr>
              <w:rFonts w:asciiTheme="minorHAnsi" w:hAnsiTheme="minorHAnsi"/>
              <w:i/>
              <w:iCs/>
            </w:rPr>
            <w:t>International Journal of Computer Applications</w:t>
          </w:r>
          <w:r w:rsidRPr="0007195B">
            <w:rPr>
              <w:rFonts w:asciiTheme="minorHAnsi" w:hAnsiTheme="minorHAnsi"/>
            </w:rPr>
            <w:t>. 2013, s. 13–18.</w:t>
          </w:r>
        </w:p>
        <w:p w14:paraId="07AD9DC3" w14:textId="16738883"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Hachey, B., Grover, C. Sequence modelling for sentence classification in a legal summarisation system. In: </w:t>
          </w:r>
          <w:r w:rsidRPr="0007195B">
            <w:rPr>
              <w:rFonts w:asciiTheme="minorHAnsi" w:hAnsiTheme="minorHAnsi"/>
              <w:i/>
              <w:iCs/>
            </w:rPr>
            <w:t>Proceedings of the 2005 ACM symposium on Applied computing</w:t>
          </w:r>
          <w:r w:rsidRPr="0007195B">
            <w:rPr>
              <w:rFonts w:asciiTheme="minorHAnsi" w:hAnsiTheme="minorHAnsi"/>
            </w:rPr>
            <w:t>. New York, NY, USA: Association for Computing Machinery, 2005, s. 292–296. SAC ’05. https://doi.org/10.1145/1066677.1066746</w:t>
          </w:r>
        </w:p>
        <w:p w14:paraId="2A8A06C7" w14:textId="1CF1CEEF"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Hao, Z., Wei, X., Hu, H. A Comparative Method of Legal Documents Based on LDA. In: </w:t>
          </w:r>
          <w:r w:rsidRPr="0007195B">
            <w:rPr>
              <w:rFonts w:asciiTheme="minorHAnsi" w:hAnsiTheme="minorHAnsi"/>
              <w:i/>
              <w:iCs/>
            </w:rPr>
            <w:t>International Conference on Applications and Techniques in Cyber Security and Intelligence ATCI 2018</w:t>
          </w:r>
          <w:r w:rsidRPr="0007195B">
            <w:rPr>
              <w:rFonts w:asciiTheme="minorHAnsi" w:hAnsiTheme="minorHAnsi"/>
            </w:rPr>
            <w:t>. Springer, Cham, 2018, s. 271–280. https://link.springer.com/chapter/10.1007/978-3-319-98776-7_29</w:t>
          </w:r>
        </w:p>
        <w:p w14:paraId="0C32B7F8"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Harašta, J. Srovnávací studie právních informačních systémů: rozdíly mezi systémy při využití různých vyhledávacích strategií. </w:t>
          </w:r>
          <w:r w:rsidRPr="0007195B">
            <w:rPr>
              <w:rFonts w:asciiTheme="minorHAnsi" w:hAnsiTheme="minorHAnsi"/>
              <w:i/>
              <w:iCs/>
            </w:rPr>
            <w:t>Revue pro právo a technologie</w:t>
          </w:r>
          <w:r w:rsidRPr="0007195B">
            <w:rPr>
              <w:rFonts w:asciiTheme="minorHAnsi" w:hAnsiTheme="minorHAnsi"/>
            </w:rPr>
            <w:t>. 2020, č. 22, s. 219–260.</w:t>
          </w:r>
        </w:p>
        <w:p w14:paraId="10C85700" w14:textId="0B65DFD7" w:rsidR="0007195B" w:rsidRPr="0007195B" w:rsidRDefault="0007195B" w:rsidP="006E6D13">
          <w:pPr>
            <w:pStyle w:val="ZPLiteratura"/>
            <w:jc w:val="both"/>
            <w:rPr>
              <w:rFonts w:asciiTheme="minorHAnsi" w:hAnsiTheme="minorHAnsi"/>
            </w:rPr>
          </w:pPr>
          <w:r w:rsidRPr="0007195B">
            <w:rPr>
              <w:rFonts w:asciiTheme="minorHAnsi" w:hAnsiTheme="minorHAnsi"/>
            </w:rPr>
            <w:lastRenderedPageBreak/>
            <w:t xml:space="preserve">Harašta, J., Novotná, T., Šavelka, J. Citation Data of Czech Apex Courts. </w:t>
          </w:r>
          <w:r w:rsidRPr="0007195B">
            <w:rPr>
              <w:rFonts w:asciiTheme="minorHAnsi" w:hAnsiTheme="minorHAnsi"/>
              <w:i/>
              <w:iCs/>
            </w:rPr>
            <w:t>arXiv:2002.02224 [cs]</w:t>
          </w:r>
          <w:r w:rsidRPr="0007195B">
            <w:rPr>
              <w:rFonts w:asciiTheme="minorHAnsi" w:hAnsiTheme="minorHAnsi"/>
            </w:rPr>
            <w:t>. 2020. http://arxiv.org/abs/2002.02224</w:t>
          </w:r>
        </w:p>
        <w:p w14:paraId="70BE4D6D" w14:textId="3DEA794B"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Harašta, J. et al. </w:t>
          </w:r>
          <w:r w:rsidRPr="0007195B">
            <w:rPr>
              <w:rFonts w:asciiTheme="minorHAnsi" w:hAnsiTheme="minorHAnsi"/>
              <w:i/>
              <w:iCs/>
            </w:rPr>
            <w:t>Citační analýza judikatury</w:t>
          </w:r>
          <w:r w:rsidRPr="0007195B">
            <w:rPr>
              <w:rFonts w:asciiTheme="minorHAnsi" w:hAnsiTheme="minorHAnsi"/>
            </w:rPr>
            <w:t>. Wolters Kluwer, 2021. https://is.muni.cz/auth/publication/1722017/cs/Citacni-analyza-judikatury/Harasta-Smejkalova-Novotna-Savelka</w:t>
          </w:r>
        </w:p>
        <w:p w14:paraId="4FAD31CD"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Harašta, J. et al. Annotated Corpus of Czech Case Law for Reference Recognition Tasks. In: Sojka, P. et al. (eds). </w:t>
          </w:r>
          <w:r w:rsidRPr="0007195B">
            <w:rPr>
              <w:rFonts w:asciiTheme="minorHAnsi" w:hAnsiTheme="minorHAnsi"/>
              <w:i/>
              <w:iCs/>
            </w:rPr>
            <w:t>Text, Speech, and Dialogue</w:t>
          </w:r>
          <w:r w:rsidRPr="0007195B">
            <w:rPr>
              <w:rFonts w:asciiTheme="minorHAnsi" w:hAnsiTheme="minorHAnsi"/>
            </w:rPr>
            <w:t>. Springer International Publishing, 2018, s. 239–250. Lecture Notes in Computer Science.</w:t>
          </w:r>
        </w:p>
        <w:p w14:paraId="425C7232" w14:textId="26F3F7F3"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Harašta, J. et al. Automatic Segmentation of Czech Court Decisions into Multi-Paragraph Parts. </w:t>
          </w:r>
          <w:r w:rsidRPr="0007195B">
            <w:rPr>
              <w:rFonts w:asciiTheme="minorHAnsi" w:hAnsiTheme="minorHAnsi"/>
              <w:i/>
              <w:iCs/>
            </w:rPr>
            <w:t>Jusletter IT</w:t>
          </w:r>
          <w:r w:rsidRPr="0007195B">
            <w:rPr>
              <w:rFonts w:asciiTheme="minorHAnsi" w:hAnsiTheme="minorHAnsi"/>
            </w:rPr>
            <w:t>. 2019, č. 23-Mai-2019. http://jusletter-it.weblaw.ch/issues/2019/23-Mai-2019/automatic-segmentati_f1ab10b8b5.html__ONCE</w:t>
          </w:r>
        </w:p>
        <w:p w14:paraId="6F95B124" w14:textId="0AF51493"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He, L., Li, W., Zhuge, H. Exploring Differential Topic Models for Comparative Summarization of Scientific Papers. In: </w:t>
          </w:r>
          <w:r w:rsidRPr="0007195B">
            <w:rPr>
              <w:rFonts w:asciiTheme="minorHAnsi" w:hAnsiTheme="minorHAnsi"/>
              <w:i/>
              <w:iCs/>
            </w:rPr>
            <w:t>Proceedings of COLING 2016, the 26th International Conference on Computational Linguistics: Technical Papers</w:t>
          </w:r>
          <w:r w:rsidRPr="0007195B">
            <w:rPr>
              <w:rFonts w:asciiTheme="minorHAnsi" w:hAnsiTheme="minorHAnsi"/>
            </w:rPr>
            <w:t>. Osaka, Japan: The COLING 2016 Organizing Committee, 2016, s. 1028–1038. https://www.aclweb.org/anthology/C16-1098</w:t>
          </w:r>
        </w:p>
        <w:p w14:paraId="5CB9AF22" w14:textId="449E0A1C"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Heinz, J. P., Laumann, E. O. </w:t>
          </w:r>
          <w:r w:rsidRPr="0007195B">
            <w:rPr>
              <w:rFonts w:asciiTheme="minorHAnsi" w:hAnsiTheme="minorHAnsi"/>
              <w:i/>
              <w:iCs/>
            </w:rPr>
            <w:t>Chicago Lawyers: The Social Structure of the Bar</w:t>
          </w:r>
          <w:r w:rsidRPr="0007195B">
            <w:rPr>
              <w:rFonts w:asciiTheme="minorHAnsi" w:hAnsiTheme="minorHAnsi"/>
            </w:rPr>
            <w:t>. Russell Sage Foundation, 1982. https://www.jstor.org/stable/10.7758/9781610442848</w:t>
          </w:r>
        </w:p>
        <w:p w14:paraId="5A808B55"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Heinz, J. P., Laumann, E. O., Nelson, R. L. </w:t>
          </w:r>
          <w:r w:rsidRPr="0007195B">
            <w:rPr>
              <w:rFonts w:asciiTheme="minorHAnsi" w:hAnsiTheme="minorHAnsi"/>
              <w:i/>
              <w:iCs/>
            </w:rPr>
            <w:t>The Hollow Core: Private Interests in National Policy Making</w:t>
          </w:r>
          <w:r w:rsidRPr="0007195B">
            <w:rPr>
              <w:rFonts w:asciiTheme="minorHAnsi" w:hAnsiTheme="minorHAnsi"/>
            </w:rPr>
            <w:t>. Harvard University Press, 1993.</w:t>
          </w:r>
        </w:p>
        <w:p w14:paraId="106E2FDF" w14:textId="736CE4BF"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Horvath, S. </w:t>
          </w:r>
          <w:r w:rsidRPr="0007195B">
            <w:rPr>
              <w:rFonts w:asciiTheme="minorHAnsi" w:hAnsiTheme="minorHAnsi"/>
              <w:i/>
              <w:iCs/>
            </w:rPr>
            <w:t>Weighted Network Analysis: Applications in Genomics and Systems Biology</w:t>
          </w:r>
          <w:r w:rsidRPr="0007195B">
            <w:rPr>
              <w:rFonts w:asciiTheme="minorHAnsi" w:hAnsiTheme="minorHAnsi"/>
            </w:rPr>
            <w:t>. New York: Springer-Verlag, 2011. https://www.springer.com/gp/book/9781441988188</w:t>
          </w:r>
        </w:p>
        <w:p w14:paraId="6E2F3861"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Hrala, M., Král, P. Evaluation of the Document Classification Approaches. In: Burduk, R. et al. (eds). </w:t>
          </w:r>
          <w:r w:rsidRPr="0007195B">
            <w:rPr>
              <w:rFonts w:asciiTheme="minorHAnsi" w:hAnsiTheme="minorHAnsi"/>
              <w:i/>
              <w:iCs/>
            </w:rPr>
            <w:t>Proceedings of the 8th International Conference on Computer Recognition Systems CORES 2013</w:t>
          </w:r>
          <w:r w:rsidRPr="0007195B">
            <w:rPr>
              <w:rFonts w:asciiTheme="minorHAnsi" w:hAnsiTheme="minorHAnsi"/>
            </w:rPr>
            <w:t>. Heidelberg: Springer International Publishing, 2013, s. 877–885. Advances in Intelligent Systems and Computing.</w:t>
          </w:r>
        </w:p>
        <w:p w14:paraId="2492CE30" w14:textId="1E22F21E"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Chang, J. et al. Reading Tea Leaves: How Humans Interpret Topic Models. In: </w:t>
          </w:r>
          <w:r w:rsidRPr="0007195B">
            <w:rPr>
              <w:rFonts w:asciiTheme="minorHAnsi" w:hAnsiTheme="minorHAnsi"/>
              <w:i/>
              <w:iCs/>
            </w:rPr>
            <w:t>Advances in Neural Information Processing Systems</w:t>
          </w:r>
          <w:r w:rsidRPr="0007195B">
            <w:rPr>
              <w:rFonts w:asciiTheme="minorHAnsi" w:hAnsiTheme="minorHAnsi"/>
            </w:rPr>
            <w:t xml:space="preserve">. 22. Curran Associates, Inc., 2009. </w:t>
          </w:r>
          <w:r w:rsidRPr="0007195B">
            <w:rPr>
              <w:rFonts w:asciiTheme="minorHAnsi" w:hAnsiTheme="minorHAnsi"/>
            </w:rPr>
            <w:lastRenderedPageBreak/>
            <w:t>https://proceedings.neurips.cc/paper/2009/hash/f92586a25bb3145facd64ab20fd554ff-Abstract.html</w:t>
          </w:r>
        </w:p>
        <w:p w14:paraId="2EFCBF1C" w14:textId="504D30C0"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Chelimsky, E., Shadish, W. </w:t>
          </w:r>
          <w:r w:rsidRPr="0007195B">
            <w:rPr>
              <w:rFonts w:asciiTheme="minorHAnsi" w:hAnsiTheme="minorHAnsi"/>
              <w:i/>
              <w:iCs/>
            </w:rPr>
            <w:t>Evaluation for the 21st Century: A Handbook</w:t>
          </w:r>
          <w:r w:rsidRPr="0007195B">
            <w:rPr>
              <w:rFonts w:asciiTheme="minorHAnsi" w:hAnsiTheme="minorHAnsi"/>
            </w:rPr>
            <w:t>. 2455 Teller Road, Thousand Oaks California 91320 United States: SAGE Publications, Inc., 1997. https://methods.sagepub.com/book/evaluation-for-the-21st-century</w:t>
          </w:r>
        </w:p>
        <w:p w14:paraId="313C6D70"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Chen, Y. et al. Experimental explorations on short text topic mining between LDA and NMF based Schemes. </w:t>
          </w:r>
          <w:r w:rsidRPr="0007195B">
            <w:rPr>
              <w:rFonts w:asciiTheme="minorHAnsi" w:hAnsiTheme="minorHAnsi"/>
              <w:i/>
              <w:iCs/>
            </w:rPr>
            <w:t>Knowledge-Based Systems</w:t>
          </w:r>
          <w:r w:rsidRPr="0007195B">
            <w:rPr>
              <w:rFonts w:asciiTheme="minorHAnsi" w:hAnsiTheme="minorHAnsi"/>
            </w:rPr>
            <w:t>. 2019, s. 1–13.</w:t>
          </w:r>
        </w:p>
        <w:p w14:paraId="763F3A79"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Jacobi, C., Atteveldt, W. van, Welbers, K. Quantitative analysis of large amounts of journalistic texts using topic modelling. </w:t>
          </w:r>
          <w:r w:rsidRPr="0007195B">
            <w:rPr>
              <w:rFonts w:asciiTheme="minorHAnsi" w:hAnsiTheme="minorHAnsi"/>
              <w:i/>
              <w:iCs/>
            </w:rPr>
            <w:t>Digital Journalism</w:t>
          </w:r>
          <w:r w:rsidRPr="0007195B">
            <w:rPr>
              <w:rFonts w:asciiTheme="minorHAnsi" w:hAnsiTheme="minorHAnsi"/>
            </w:rPr>
            <w:t>. 2016, č. 1, s. 89–106.</w:t>
          </w:r>
        </w:p>
        <w:p w14:paraId="72B33D86"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Jungiewicz, M., Łopuszyński, M. Towards Meaningful Maps of Polish Case Law. </w:t>
          </w:r>
          <w:r w:rsidRPr="0007195B">
            <w:rPr>
              <w:rFonts w:asciiTheme="minorHAnsi" w:hAnsiTheme="minorHAnsi"/>
              <w:i/>
              <w:iCs/>
            </w:rPr>
            <w:t>Legal Knowledge and Information Systems</w:t>
          </w:r>
          <w:r w:rsidRPr="0007195B">
            <w:rPr>
              <w:rFonts w:asciiTheme="minorHAnsi" w:hAnsiTheme="minorHAnsi"/>
            </w:rPr>
            <w:t>. 2015, s. 185–186.</w:t>
          </w:r>
        </w:p>
        <w:p w14:paraId="614C2A66"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Kahler, M. </w:t>
          </w:r>
          <w:r w:rsidRPr="0007195B">
            <w:rPr>
              <w:rFonts w:asciiTheme="minorHAnsi" w:hAnsiTheme="minorHAnsi"/>
              <w:i/>
              <w:iCs/>
            </w:rPr>
            <w:t>Networked Politics: Agency, Power, and Governance</w:t>
          </w:r>
          <w:r w:rsidRPr="0007195B">
            <w:rPr>
              <w:rFonts w:asciiTheme="minorHAnsi" w:hAnsiTheme="minorHAnsi"/>
            </w:rPr>
            <w:t>. Cornell University Press, 2011.</w:t>
          </w:r>
        </w:p>
        <w:p w14:paraId="42037A79"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Katz, D. M., Stafford, D. K. Hustle and Flow: A Social Network Analysis of the American Federal Judiciary. </w:t>
          </w:r>
          <w:r w:rsidRPr="0007195B">
            <w:rPr>
              <w:rFonts w:asciiTheme="minorHAnsi" w:hAnsiTheme="minorHAnsi"/>
              <w:i/>
              <w:iCs/>
            </w:rPr>
            <w:t>Ohio State Law Journal</w:t>
          </w:r>
          <w:r w:rsidRPr="0007195B">
            <w:rPr>
              <w:rFonts w:asciiTheme="minorHAnsi" w:hAnsiTheme="minorHAnsi"/>
            </w:rPr>
            <w:t>. 2010, č. 3, s. 457–510.</w:t>
          </w:r>
        </w:p>
        <w:p w14:paraId="1A7E519F" w14:textId="69AB8AB1" w:rsidR="0007195B" w:rsidRDefault="0007195B" w:rsidP="006E6D13">
          <w:pPr>
            <w:pStyle w:val="ZPLiteratura"/>
            <w:jc w:val="both"/>
            <w:rPr>
              <w:rFonts w:asciiTheme="minorHAnsi" w:hAnsiTheme="minorHAnsi"/>
            </w:rPr>
          </w:pPr>
          <w:r w:rsidRPr="0007195B">
            <w:rPr>
              <w:rFonts w:asciiTheme="minorHAnsi" w:hAnsiTheme="minorHAnsi"/>
            </w:rPr>
            <w:t xml:space="preserve">Kipling, A. L., Thompson, Michael. Network analysis method applied to liquid-phase acoustic wave sensors. </w:t>
          </w:r>
          <w:r w:rsidRPr="0007195B">
            <w:rPr>
              <w:rFonts w:asciiTheme="minorHAnsi" w:hAnsiTheme="minorHAnsi"/>
              <w:i/>
              <w:iCs/>
            </w:rPr>
            <w:t>Analytical Chemistry</w:t>
          </w:r>
          <w:r w:rsidRPr="0007195B">
            <w:rPr>
              <w:rFonts w:asciiTheme="minorHAnsi" w:hAnsiTheme="minorHAnsi"/>
            </w:rPr>
            <w:t>. 1990, č. 14, s. 1514–1519.</w:t>
          </w:r>
        </w:p>
        <w:p w14:paraId="74F4A607" w14:textId="14D49E52" w:rsidR="005E5E59" w:rsidRPr="005E5E59" w:rsidRDefault="005E5E59" w:rsidP="005E5E59">
          <w:pPr>
            <w:pStyle w:val="ZPLiteratura"/>
          </w:pPr>
          <w:r w:rsidRPr="005E5E59">
            <w:t xml:space="preserve">Kleinberg, J. M. Authoritative sources in a hyperlinked environment. </w:t>
          </w:r>
          <w:r w:rsidRPr="005E5E59">
            <w:rPr>
              <w:i/>
              <w:iCs/>
            </w:rPr>
            <w:t>Journal of the ACM</w:t>
          </w:r>
          <w:r w:rsidRPr="005E5E59">
            <w:t>. 1999, č. 5, s. 604–632.</w:t>
          </w:r>
        </w:p>
        <w:p w14:paraId="7B0DF62F"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Kocmi, T. </w:t>
          </w:r>
          <w:r w:rsidRPr="0007195B">
            <w:rPr>
              <w:rFonts w:asciiTheme="minorHAnsi" w:hAnsiTheme="minorHAnsi"/>
              <w:i/>
              <w:iCs/>
            </w:rPr>
            <w:t>Document Embeddings as a Means of Domain Adaptation for the Machine Translation</w:t>
          </w:r>
          <w:r w:rsidRPr="0007195B">
            <w:rPr>
              <w:rFonts w:asciiTheme="minorHAnsi" w:hAnsiTheme="minorHAnsi"/>
            </w:rPr>
            <w:t>, Graduation thesis, Faculty of Mathematics and Physics, Charles University Institute of Formal and Applied Linguistics.</w:t>
          </w:r>
        </w:p>
        <w:p w14:paraId="61AA5678" w14:textId="795322F9"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Koehn, P. Europarl: A Parallel Corpus for Statistical Machine Translation. In: </w:t>
          </w:r>
          <w:r w:rsidRPr="0007195B">
            <w:rPr>
              <w:rFonts w:asciiTheme="minorHAnsi" w:hAnsiTheme="minorHAnsi"/>
              <w:i/>
              <w:iCs/>
            </w:rPr>
            <w:t>Proceedings of Machine Translation Summit X: Papers</w:t>
          </w:r>
          <w:r w:rsidRPr="0007195B">
            <w:rPr>
              <w:rFonts w:asciiTheme="minorHAnsi" w:hAnsiTheme="minorHAnsi"/>
            </w:rPr>
            <w:t>. Phuket, Thailand, 2005, s. 79–86. https://aclanthology.org/2005.mtsummit-papers.11</w:t>
          </w:r>
        </w:p>
        <w:p w14:paraId="5EC41AED"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Koniaris, M., Anagnostopoulos, I., Vassiliou, Y. Network Analysis in the Legal Domain: A complex model for European Union legal sources. </w:t>
          </w:r>
          <w:r w:rsidRPr="0007195B">
            <w:rPr>
              <w:rFonts w:asciiTheme="minorHAnsi" w:hAnsiTheme="minorHAnsi"/>
              <w:i/>
              <w:iCs/>
            </w:rPr>
            <w:t>Journal of Complex Networks</w:t>
          </w:r>
          <w:r w:rsidRPr="0007195B">
            <w:rPr>
              <w:rFonts w:asciiTheme="minorHAnsi" w:hAnsiTheme="minorHAnsi"/>
            </w:rPr>
            <w:t>. 2017, č. 2, s. 243–268.</w:t>
          </w:r>
        </w:p>
        <w:p w14:paraId="2449CE11" w14:textId="5676861C" w:rsidR="0007195B" w:rsidRPr="0007195B" w:rsidRDefault="0007195B" w:rsidP="006E6D13">
          <w:pPr>
            <w:pStyle w:val="ZPLiteratura"/>
            <w:jc w:val="both"/>
            <w:rPr>
              <w:rFonts w:asciiTheme="minorHAnsi" w:hAnsiTheme="minorHAnsi"/>
            </w:rPr>
          </w:pPr>
          <w:r w:rsidRPr="0007195B">
            <w:rPr>
              <w:rFonts w:asciiTheme="minorHAnsi" w:hAnsiTheme="minorHAnsi"/>
            </w:rPr>
            <w:lastRenderedPageBreak/>
            <w:t xml:space="preserve">Kríž, V., Hladká, B., Urešová, Z. Czech Legal Text Treebank 1.0. In: </w:t>
          </w:r>
          <w:r w:rsidRPr="0007195B">
            <w:rPr>
              <w:rFonts w:asciiTheme="minorHAnsi" w:hAnsiTheme="minorHAnsi"/>
              <w:i/>
              <w:iCs/>
            </w:rPr>
            <w:t>Proceedings of the Tenth International Conference on Language Resources and Evaluation (LREC’16)</w:t>
          </w:r>
          <w:r w:rsidRPr="0007195B">
            <w:rPr>
              <w:rFonts w:asciiTheme="minorHAnsi" w:hAnsiTheme="minorHAnsi"/>
            </w:rPr>
            <w:t>. Portorož, Slovenia: European Language Resources Association (ELRA), 2016, s. 2387–2392. https://aclanthology.org/L16-1378</w:t>
          </w:r>
        </w:p>
        <w:p w14:paraId="3E731F18" w14:textId="53F1486F"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Kuang, D., Choo, J., Park, H. Nonnegative Matrix Factorization for Interactive Topic Modeling and Document Clustering. In: Celebi, M. E. (ed.). </w:t>
          </w:r>
          <w:r w:rsidRPr="0007195B">
            <w:rPr>
              <w:rFonts w:asciiTheme="minorHAnsi" w:hAnsiTheme="minorHAnsi"/>
              <w:i/>
              <w:iCs/>
            </w:rPr>
            <w:t>Partitional Clustering Algorithms</w:t>
          </w:r>
          <w:r w:rsidRPr="0007195B">
            <w:rPr>
              <w:rFonts w:asciiTheme="minorHAnsi" w:hAnsiTheme="minorHAnsi"/>
            </w:rPr>
            <w:t>. Cham: Springer International Publishing, 2015, s. 215–243. https://doi.org/10.1007/978-3-319-09259-1_7</w:t>
          </w:r>
        </w:p>
        <w:p w14:paraId="617CA90B"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Kuppevelt, D. van, Dijck, G. van. Answering Legal Research Questions About Dutch Case Law with Network Analysis and Visualization. In: </w:t>
          </w:r>
          <w:r w:rsidRPr="0007195B">
            <w:rPr>
              <w:rFonts w:asciiTheme="minorHAnsi" w:hAnsiTheme="minorHAnsi"/>
              <w:i/>
              <w:iCs/>
            </w:rPr>
            <w:t>Legal Knowledge and Information Systems: JURIX 2017: The Thirtieth Annual Conference</w:t>
          </w:r>
          <w:r w:rsidRPr="0007195B">
            <w:rPr>
              <w:rFonts w:asciiTheme="minorHAnsi" w:hAnsiTheme="minorHAnsi"/>
            </w:rPr>
            <w:t>. 302. IOS Press, 2017, s. 95.</w:t>
          </w:r>
        </w:p>
        <w:p w14:paraId="066DF639" w14:textId="228B8475"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Lau, J. H., Baldwin, T. An Empirical Evaluation of doc2vec with Practical Insights into Document Embedding Generation. </w:t>
          </w:r>
          <w:r w:rsidRPr="0007195B">
            <w:rPr>
              <w:rFonts w:asciiTheme="minorHAnsi" w:hAnsiTheme="minorHAnsi"/>
              <w:i/>
              <w:iCs/>
            </w:rPr>
            <w:t>arXiv:1607.05368 [cs]</w:t>
          </w:r>
          <w:r w:rsidRPr="0007195B">
            <w:rPr>
              <w:rFonts w:asciiTheme="minorHAnsi" w:hAnsiTheme="minorHAnsi"/>
            </w:rPr>
            <w:t>. 2016. http://arxiv.org/abs/1607.05368</w:t>
          </w:r>
        </w:p>
        <w:p w14:paraId="438B9969"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Laxmi Lydia, E. et al. Charismatic Document Clustering Through Novel K-Means Non-negative Matrix Factorization (KNMF) Algorithm Using Key Phrase Extraction. </w:t>
          </w:r>
          <w:r w:rsidRPr="0007195B">
            <w:rPr>
              <w:rFonts w:asciiTheme="minorHAnsi" w:hAnsiTheme="minorHAnsi"/>
              <w:i/>
              <w:iCs/>
            </w:rPr>
            <w:t>International Journal of Parallel Programming</w:t>
          </w:r>
          <w:r w:rsidRPr="0007195B">
            <w:rPr>
              <w:rFonts w:asciiTheme="minorHAnsi" w:hAnsiTheme="minorHAnsi"/>
            </w:rPr>
            <w:t>. 2020, č. 3, s. 496–514.</w:t>
          </w:r>
        </w:p>
        <w:p w14:paraId="5D892D88" w14:textId="53B8E325"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Lazega, E. </w:t>
          </w:r>
          <w:r w:rsidRPr="0007195B">
            <w:rPr>
              <w:rFonts w:asciiTheme="minorHAnsi" w:hAnsiTheme="minorHAnsi"/>
              <w:i/>
              <w:iCs/>
            </w:rPr>
            <w:t>The Collegial Phenomenon: The Social Mechanisms of Cooperation Among Peers in a Corporate Law Partnership</w:t>
          </w:r>
          <w:r w:rsidRPr="0007195B">
            <w:rPr>
              <w:rFonts w:asciiTheme="minorHAnsi" w:hAnsiTheme="minorHAnsi"/>
            </w:rPr>
            <w:t>. Oxford: Oxford University Press, 2001. https://oxford.universitypressscholarship.com/10.1093/acprof:oso/9780199242726.001.0001/acprof-9780199242726</w:t>
          </w:r>
        </w:p>
        <w:p w14:paraId="72A492D2"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Lazega, E., Van Duijn, M. Position in formal structure, personal characteristics and choices of advisors in a law firm: A logistic regression model for dyadic network data. </w:t>
          </w:r>
          <w:r w:rsidRPr="0007195B">
            <w:rPr>
              <w:rFonts w:asciiTheme="minorHAnsi" w:hAnsiTheme="minorHAnsi"/>
              <w:i/>
              <w:iCs/>
            </w:rPr>
            <w:t>Social Networks</w:t>
          </w:r>
          <w:r w:rsidRPr="0007195B">
            <w:rPr>
              <w:rFonts w:asciiTheme="minorHAnsi" w:hAnsiTheme="minorHAnsi"/>
            </w:rPr>
            <w:t>. 1997, č. 4, s. 375–397.</w:t>
          </w:r>
        </w:p>
        <w:p w14:paraId="2EA16904" w14:textId="7D45A78F"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Le, Q., Mikolov, T. Distributed Representations of Sentences and Documents. In: </w:t>
          </w:r>
          <w:r w:rsidRPr="0007195B">
            <w:rPr>
              <w:rFonts w:asciiTheme="minorHAnsi" w:hAnsiTheme="minorHAnsi"/>
              <w:i/>
              <w:iCs/>
            </w:rPr>
            <w:t>International Conference on Machine Learning</w:t>
          </w:r>
          <w:r w:rsidRPr="0007195B">
            <w:rPr>
              <w:rFonts w:asciiTheme="minorHAnsi" w:hAnsiTheme="minorHAnsi"/>
            </w:rPr>
            <w:t>. PMLR, 2014, s. 1188–1196. http://proceedings.mlr.press/v32/le14.html</w:t>
          </w:r>
        </w:p>
        <w:p w14:paraId="0146997F" w14:textId="654512F4"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Lee, D. D., Seung, H. S. Algorithms for Non-negative Matrix Factorization. In: Leen, T. K., Dietterich, T. G., Tresp, V. (eds). </w:t>
          </w:r>
          <w:r w:rsidRPr="0007195B">
            <w:rPr>
              <w:rFonts w:asciiTheme="minorHAnsi" w:hAnsiTheme="minorHAnsi"/>
              <w:i/>
              <w:iCs/>
            </w:rPr>
            <w:t xml:space="preserve">Advances </w:t>
          </w:r>
          <w:r w:rsidRPr="0007195B">
            <w:rPr>
              <w:rFonts w:asciiTheme="minorHAnsi" w:hAnsiTheme="minorHAnsi"/>
              <w:i/>
              <w:iCs/>
            </w:rPr>
            <w:lastRenderedPageBreak/>
            <w:t>in Neural Information Processing Systems 13</w:t>
          </w:r>
          <w:r w:rsidRPr="0007195B">
            <w:rPr>
              <w:rFonts w:asciiTheme="minorHAnsi" w:hAnsiTheme="minorHAnsi"/>
            </w:rPr>
            <w:t>. MIT Press, 2001, s. 556–562. http://papers.nips.cc/paper/1861-algorithms-for-non-negative-matrix-factorization.pdf</w:t>
          </w:r>
        </w:p>
        <w:p w14:paraId="0C7B44DA"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Leifeld, P. Reconceptualizing Major Policy Change in the Advocacy Coalition Framework: A Discourse Network Analysis of German Pension Politics. </w:t>
          </w:r>
          <w:r w:rsidRPr="0007195B">
            <w:rPr>
              <w:rFonts w:asciiTheme="minorHAnsi" w:hAnsiTheme="minorHAnsi"/>
              <w:i/>
              <w:iCs/>
            </w:rPr>
            <w:t>Policy Studies Journal</w:t>
          </w:r>
          <w:r w:rsidRPr="0007195B">
            <w:rPr>
              <w:rFonts w:asciiTheme="minorHAnsi" w:hAnsiTheme="minorHAnsi"/>
            </w:rPr>
            <w:t>. 2013, č. 1, s. 169–198.</w:t>
          </w:r>
        </w:p>
        <w:p w14:paraId="700D1D02"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Leighton, B. The Community Concept in Criminology: Toward a Social Network Approach. </w:t>
          </w:r>
          <w:r w:rsidRPr="0007195B">
            <w:rPr>
              <w:rFonts w:asciiTheme="minorHAnsi" w:hAnsiTheme="minorHAnsi"/>
              <w:i/>
              <w:iCs/>
            </w:rPr>
            <w:t>Journal of Research in Crime and Delinquency</w:t>
          </w:r>
          <w:r w:rsidRPr="0007195B">
            <w:rPr>
              <w:rFonts w:asciiTheme="minorHAnsi" w:hAnsiTheme="minorHAnsi"/>
            </w:rPr>
            <w:t>. 1988, č. 4, s. 351–374.</w:t>
          </w:r>
        </w:p>
        <w:p w14:paraId="421EDBD0"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Lincoln, J. R., Gerlach, M. L., Takahashi, P. Keiretsu Networks in the Japanese Economy: A Dyad Analysis of Intercorporate Ties. </w:t>
          </w:r>
          <w:r w:rsidRPr="0007195B">
            <w:rPr>
              <w:rFonts w:asciiTheme="minorHAnsi" w:hAnsiTheme="minorHAnsi"/>
              <w:i/>
              <w:iCs/>
            </w:rPr>
            <w:t>American Sociological Review</w:t>
          </w:r>
          <w:r w:rsidRPr="0007195B">
            <w:rPr>
              <w:rFonts w:asciiTheme="minorHAnsi" w:hAnsiTheme="minorHAnsi"/>
            </w:rPr>
            <w:t>. 1992, č. 5, s. 561–585.</w:t>
          </w:r>
        </w:p>
        <w:p w14:paraId="34E38305" w14:textId="25A97151"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Lu, Q. et al. Legal document clustering with built-in topic segmentation. In: </w:t>
          </w:r>
          <w:r w:rsidRPr="0007195B">
            <w:rPr>
              <w:rFonts w:asciiTheme="minorHAnsi" w:hAnsiTheme="minorHAnsi"/>
              <w:i/>
              <w:iCs/>
            </w:rPr>
            <w:t>Proceedings of the 20th ACM international conference on Information and knowledge management - CIKM ’11</w:t>
          </w:r>
          <w:r w:rsidRPr="0007195B">
            <w:rPr>
              <w:rFonts w:asciiTheme="minorHAnsi" w:hAnsiTheme="minorHAnsi"/>
            </w:rPr>
            <w:t>. Glasgow, Scotland, UK: ACM Press, 2011, s. 383. http://dl.acm.org/citation.cfm?doid=2063576.2063636</w:t>
          </w:r>
        </w:p>
        <w:p w14:paraId="17262319"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Malmgren, S. </w:t>
          </w:r>
          <w:r w:rsidRPr="0007195B">
            <w:rPr>
              <w:rFonts w:asciiTheme="minorHAnsi" w:hAnsiTheme="minorHAnsi"/>
              <w:i/>
              <w:iCs/>
            </w:rPr>
            <w:t>Towards a theory of jurisprudential relevance ranking – Using link analysis on EU Case Law</w:t>
          </w:r>
          <w:r w:rsidRPr="0007195B">
            <w:rPr>
              <w:rFonts w:asciiTheme="minorHAnsi" w:hAnsiTheme="minorHAnsi"/>
            </w:rPr>
            <w:t>. graduate thesis, Faculty of Law, Stockholm University, 2011.</w:t>
          </w:r>
        </w:p>
        <w:p w14:paraId="2D1D261D"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Marx, S. M. Citation Networks in the Law. </w:t>
          </w:r>
          <w:r w:rsidRPr="0007195B">
            <w:rPr>
              <w:rFonts w:asciiTheme="minorHAnsi" w:hAnsiTheme="minorHAnsi"/>
              <w:i/>
              <w:iCs/>
            </w:rPr>
            <w:t>Jurimetrics Journal</w:t>
          </w:r>
          <w:r w:rsidRPr="0007195B">
            <w:rPr>
              <w:rFonts w:asciiTheme="minorHAnsi" w:hAnsiTheme="minorHAnsi"/>
            </w:rPr>
            <w:t>. 1970, č. 4, s. 121–137.</w:t>
          </w:r>
        </w:p>
        <w:p w14:paraId="524BEA92"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Mifrah, S. Topic Modeling Coherence: A Comparative Study between LDA and NMF Models using COVID’19 Corpus. </w:t>
          </w:r>
          <w:r w:rsidRPr="0007195B">
            <w:rPr>
              <w:rFonts w:asciiTheme="minorHAnsi" w:hAnsiTheme="minorHAnsi"/>
              <w:i/>
              <w:iCs/>
            </w:rPr>
            <w:t>International Journal of Advanced Trends in Computer Science and Engineering</w:t>
          </w:r>
          <w:r w:rsidRPr="0007195B">
            <w:rPr>
              <w:rFonts w:asciiTheme="minorHAnsi" w:hAnsiTheme="minorHAnsi"/>
            </w:rPr>
            <w:t>. 2020, č. 4, s. 5756–5761.</w:t>
          </w:r>
        </w:p>
        <w:p w14:paraId="4572BA2E" w14:textId="34423D04"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Mikolov, T. et al. Efficient Estimation of Word Representations in Vector Space. </w:t>
          </w:r>
          <w:r w:rsidRPr="0007195B">
            <w:rPr>
              <w:rFonts w:asciiTheme="minorHAnsi" w:hAnsiTheme="minorHAnsi"/>
              <w:i/>
              <w:iCs/>
            </w:rPr>
            <w:t>arXiv:1301.3781 [cs]</w:t>
          </w:r>
          <w:r w:rsidRPr="0007195B">
            <w:rPr>
              <w:rFonts w:asciiTheme="minorHAnsi" w:hAnsiTheme="minorHAnsi"/>
            </w:rPr>
            <w:t>. 2013. http://arxiv.org/abs/1301.3781</w:t>
          </w:r>
        </w:p>
        <w:p w14:paraId="5D5D5A10"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Mo, Y., Kontonatsios, G., Ananiadou, S. Supporting systematic reviews using LDA-based document representations. </w:t>
          </w:r>
          <w:r w:rsidRPr="0007195B">
            <w:rPr>
              <w:rFonts w:asciiTheme="minorHAnsi" w:hAnsiTheme="minorHAnsi"/>
              <w:i/>
              <w:iCs/>
            </w:rPr>
            <w:t>Systematic Reviews</w:t>
          </w:r>
          <w:r w:rsidRPr="0007195B">
            <w:rPr>
              <w:rFonts w:asciiTheme="minorHAnsi" w:hAnsiTheme="minorHAnsi"/>
            </w:rPr>
            <w:t>. 2015, č. 1, s. 172.</w:t>
          </w:r>
        </w:p>
        <w:p w14:paraId="61551278"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Morselli, C., Giguère, C., Petit, K. The efficiency/security trade-off in criminal networks. </w:t>
          </w:r>
          <w:r w:rsidRPr="0007195B">
            <w:rPr>
              <w:rFonts w:asciiTheme="minorHAnsi" w:hAnsiTheme="minorHAnsi"/>
              <w:i/>
              <w:iCs/>
            </w:rPr>
            <w:t>Social Networks</w:t>
          </w:r>
          <w:r w:rsidRPr="0007195B">
            <w:rPr>
              <w:rFonts w:asciiTheme="minorHAnsi" w:hAnsiTheme="minorHAnsi"/>
            </w:rPr>
            <w:t>. 2007, č. 1, s. 143–153.</w:t>
          </w:r>
        </w:p>
        <w:p w14:paraId="17B26CB3" w14:textId="434B960D"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Nanda, R. et al. Legal Information Retrieval Using Topic Clustering and Neural Networks. In: Satoh, K. et al. (eds). </w:t>
          </w:r>
          <w:r w:rsidRPr="0007195B">
            <w:rPr>
              <w:rFonts w:asciiTheme="minorHAnsi" w:hAnsiTheme="minorHAnsi"/>
              <w:i/>
              <w:iCs/>
            </w:rPr>
            <w:t xml:space="preserve">COLIEE 2017. 4th Competition on Legal Information Extraction and Entailment, held </w:t>
          </w:r>
          <w:r w:rsidRPr="0007195B">
            <w:rPr>
              <w:rFonts w:asciiTheme="minorHAnsi" w:hAnsiTheme="minorHAnsi"/>
              <w:i/>
              <w:iCs/>
            </w:rPr>
            <w:lastRenderedPageBreak/>
            <w:t>in conjunction with the 16th International Conference on Artificial Intelligence and Law (ICAIL 2017) in King’s College London, UK</w:t>
          </w:r>
          <w:r w:rsidRPr="0007195B">
            <w:rPr>
              <w:rFonts w:asciiTheme="minorHAnsi" w:hAnsiTheme="minorHAnsi"/>
            </w:rPr>
            <w:t>. 47. EasyChair, 2017, s. 68–78. EPiC Series in Computing. http://www.easychair.org/publications/paper/347228</w:t>
          </w:r>
        </w:p>
        <w:p w14:paraId="3300C01B"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Nash, R., Bouchard, M., Malm, A. Investing in people: The role of social networks in the diffusion of a large-scale fraud. </w:t>
          </w:r>
          <w:r w:rsidRPr="0007195B">
            <w:rPr>
              <w:rFonts w:asciiTheme="minorHAnsi" w:hAnsiTheme="minorHAnsi"/>
              <w:i/>
              <w:iCs/>
            </w:rPr>
            <w:t>Social Networks</w:t>
          </w:r>
          <w:r w:rsidRPr="0007195B">
            <w:rPr>
              <w:rFonts w:asciiTheme="minorHAnsi" w:hAnsiTheme="minorHAnsi"/>
            </w:rPr>
            <w:t>. 2013, č. 4, s. 686–698.</w:t>
          </w:r>
        </w:p>
        <w:p w14:paraId="3ED6A4AD"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Nath Nandi, R. et al. Bangla News Recommendation Using doc2vec. In: </w:t>
          </w:r>
          <w:r w:rsidRPr="0007195B">
            <w:rPr>
              <w:rFonts w:asciiTheme="minorHAnsi" w:hAnsiTheme="minorHAnsi"/>
              <w:i/>
              <w:iCs/>
            </w:rPr>
            <w:t>2018 International Conference on Bangla Speech and Language Processing (ICBSLP)</w:t>
          </w:r>
          <w:r w:rsidRPr="0007195B">
            <w:rPr>
              <w:rFonts w:asciiTheme="minorHAnsi" w:hAnsiTheme="minorHAnsi"/>
            </w:rPr>
            <w:t>. 2018, s. 1–5.</w:t>
          </w:r>
        </w:p>
        <w:p w14:paraId="4B7844A8"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Neale, T. Citation Analysis of Canadian Case Law. </w:t>
          </w:r>
          <w:r w:rsidRPr="0007195B">
            <w:rPr>
              <w:rFonts w:asciiTheme="minorHAnsi" w:hAnsiTheme="minorHAnsi"/>
              <w:i/>
              <w:iCs/>
            </w:rPr>
            <w:t>Journal of Open Access to Law</w:t>
          </w:r>
          <w:r w:rsidRPr="0007195B">
            <w:rPr>
              <w:rFonts w:asciiTheme="minorHAnsi" w:hAnsiTheme="minorHAnsi"/>
            </w:rPr>
            <w:t>. 2013, s. 1–60.</w:t>
          </w:r>
        </w:p>
        <w:p w14:paraId="5FEEC9A1" w14:textId="4FDB3BD2"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Nikolaos Aletras and Ilias Chalkidis. </w:t>
          </w:r>
          <w:r w:rsidRPr="0007195B">
            <w:rPr>
              <w:rFonts w:asciiTheme="minorHAnsi" w:hAnsiTheme="minorHAnsi"/>
              <w:i/>
              <w:iCs/>
            </w:rPr>
            <w:t>ECHR Dataset - ACL 2019</w:t>
          </w:r>
          <w:r w:rsidRPr="0007195B">
            <w:rPr>
              <w:rFonts w:asciiTheme="minorHAnsi" w:hAnsiTheme="minorHAnsi"/>
            </w:rPr>
            <w:t>. http://archive.org/details/ECHR-ACL2019</w:t>
          </w:r>
        </w:p>
        <w:p w14:paraId="66BA153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Nikolenko, S. I., Koltcov, S., Koltsova, O. Topic modelling for qualitative studies. </w:t>
          </w:r>
          <w:r w:rsidRPr="0007195B">
            <w:rPr>
              <w:rFonts w:asciiTheme="minorHAnsi" w:hAnsiTheme="minorHAnsi"/>
              <w:i/>
              <w:iCs/>
            </w:rPr>
            <w:t>Journal of Information Science</w:t>
          </w:r>
          <w:r w:rsidRPr="0007195B">
            <w:rPr>
              <w:rFonts w:asciiTheme="minorHAnsi" w:hAnsiTheme="minorHAnsi"/>
            </w:rPr>
            <w:t>. 2017, č. 1, s. 88–102.</w:t>
          </w:r>
        </w:p>
        <w:p w14:paraId="0BCC656E" w14:textId="1D1CD02B" w:rsidR="0007195B" w:rsidRPr="0007195B" w:rsidRDefault="0007195B" w:rsidP="006E6D13">
          <w:pPr>
            <w:pStyle w:val="ZPLiteratura"/>
            <w:jc w:val="both"/>
            <w:rPr>
              <w:rFonts w:asciiTheme="minorHAnsi" w:hAnsiTheme="minorHAnsi"/>
            </w:rPr>
          </w:pPr>
          <w:r w:rsidRPr="0007195B">
            <w:rPr>
              <w:rFonts w:asciiTheme="minorHAnsi" w:hAnsiTheme="minorHAnsi"/>
            </w:rPr>
            <w:t>Novotn</w:t>
          </w:r>
          <w:r w:rsidR="00665872">
            <w:rPr>
              <w:rFonts w:asciiTheme="minorHAnsi" w:hAnsiTheme="minorHAnsi"/>
            </w:rPr>
            <w:t>á</w:t>
          </w:r>
          <w:r w:rsidRPr="0007195B">
            <w:rPr>
              <w:rFonts w:asciiTheme="minorHAnsi" w:hAnsiTheme="minorHAnsi"/>
            </w:rPr>
            <w:t xml:space="preserve">, Tereza. Human Evaluation Experiment of Legal Information Retrieval Methods. </w:t>
          </w:r>
          <w:r w:rsidRPr="0007195B">
            <w:rPr>
              <w:rFonts w:asciiTheme="minorHAnsi" w:hAnsiTheme="minorHAnsi"/>
              <w:i/>
              <w:iCs/>
            </w:rPr>
            <w:t>Legal Knowledge and Information Systems</w:t>
          </w:r>
          <w:r w:rsidRPr="0007195B">
            <w:rPr>
              <w:rFonts w:asciiTheme="minorHAnsi" w:hAnsiTheme="minorHAnsi"/>
            </w:rPr>
            <w:t>. 2021, s. 131–137.</w:t>
          </w:r>
        </w:p>
        <w:p w14:paraId="3B5BD1E7"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Novotná, T. Document Similarity of Czech Supreme Court Decisions. </w:t>
          </w:r>
          <w:r w:rsidRPr="0007195B">
            <w:rPr>
              <w:rFonts w:asciiTheme="minorHAnsi" w:hAnsiTheme="minorHAnsi"/>
              <w:i/>
              <w:iCs/>
            </w:rPr>
            <w:t>Masaryk University Journal of Law and Technology</w:t>
          </w:r>
          <w:r w:rsidRPr="0007195B">
            <w:rPr>
              <w:rFonts w:asciiTheme="minorHAnsi" w:hAnsiTheme="minorHAnsi"/>
            </w:rPr>
            <w:t>. 2020, č. 1, s. 105–122.</w:t>
          </w:r>
        </w:p>
        <w:p w14:paraId="4C905373" w14:textId="21800549"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Novotná, T. Network Analysis in Law: A Literature Overview and Research Agenda. </w:t>
          </w:r>
          <w:r w:rsidRPr="0007195B">
            <w:rPr>
              <w:rFonts w:asciiTheme="minorHAnsi" w:hAnsiTheme="minorHAnsi"/>
              <w:i/>
              <w:iCs/>
            </w:rPr>
            <w:t>Jusletter IT</w:t>
          </w:r>
          <w:r w:rsidRPr="0007195B">
            <w:rPr>
              <w:rFonts w:asciiTheme="minorHAnsi" w:hAnsiTheme="minorHAnsi"/>
            </w:rPr>
            <w:t>. 2019, č. IRIS. https://jusletter-it.weblaw.ch/issues/2019/IRIS/network-analysis-in-_a403e72bf1.html__ONCE&amp;login=false</w:t>
          </w:r>
        </w:p>
        <w:p w14:paraId="57DE3606"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Novotná, T. Síťová analýza v právu: Síťové metody a jejich využití pro získávání a vyhledávání právních informací. </w:t>
          </w:r>
          <w:r w:rsidRPr="0007195B">
            <w:rPr>
              <w:rFonts w:asciiTheme="minorHAnsi" w:hAnsiTheme="minorHAnsi"/>
              <w:i/>
              <w:iCs/>
            </w:rPr>
            <w:t>Revue pro právo a technologie</w:t>
          </w:r>
          <w:r w:rsidRPr="0007195B">
            <w:rPr>
              <w:rFonts w:asciiTheme="minorHAnsi" w:hAnsiTheme="minorHAnsi"/>
            </w:rPr>
            <w:t>. 2021, č. 24, s. 39–76.</w:t>
          </w:r>
        </w:p>
        <w:p w14:paraId="02CB5674" w14:textId="0B370266" w:rsidR="0007195B" w:rsidRPr="0007195B" w:rsidRDefault="0007195B" w:rsidP="006E6D13">
          <w:pPr>
            <w:pStyle w:val="ZPLiteratura"/>
            <w:jc w:val="both"/>
            <w:rPr>
              <w:rFonts w:asciiTheme="minorHAnsi" w:hAnsiTheme="minorHAnsi"/>
            </w:rPr>
          </w:pPr>
          <w:r w:rsidRPr="0007195B">
            <w:rPr>
              <w:rFonts w:asciiTheme="minorHAnsi" w:hAnsiTheme="minorHAnsi"/>
            </w:rPr>
            <w:t>Novotná, T., Harašta, J. Czech Court Decisions Corpus (CzCDC 1.0). . 2019. https://lindat.mff.cuni.cz/repository/xmlui/handle/11372/LRT-3052</w:t>
          </w:r>
        </w:p>
        <w:p w14:paraId="4DC0648D" w14:textId="06838D40"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Novotná, T., Harašta, J. The Czech Court Decisions Corpus (CzCDC): Availability as the First Step. </w:t>
          </w:r>
          <w:r w:rsidRPr="0007195B">
            <w:rPr>
              <w:rFonts w:asciiTheme="minorHAnsi" w:hAnsiTheme="minorHAnsi"/>
              <w:i/>
              <w:iCs/>
            </w:rPr>
            <w:t>arXiv:1910.09513 [cs]</w:t>
          </w:r>
          <w:r w:rsidRPr="0007195B">
            <w:rPr>
              <w:rFonts w:asciiTheme="minorHAnsi" w:hAnsiTheme="minorHAnsi"/>
            </w:rPr>
            <w:t>. 2019. http://arxiv.org/abs/1910.09513</w:t>
          </w:r>
        </w:p>
        <w:p w14:paraId="68DE48D8" w14:textId="1C80B7F8"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Novotná, T., Harašta, J., Kól, J. Topic Modelling of the Czech Supreme Court Decisions. In: Ashley, K. D. et al. (eds). </w:t>
          </w:r>
          <w:r w:rsidRPr="0007195B">
            <w:rPr>
              <w:rFonts w:asciiTheme="minorHAnsi" w:hAnsiTheme="minorHAnsi"/>
              <w:i/>
              <w:iCs/>
            </w:rPr>
            <w:t xml:space="preserve">Proceedings </w:t>
          </w:r>
          <w:r w:rsidRPr="0007195B">
            <w:rPr>
              <w:rFonts w:asciiTheme="minorHAnsi" w:hAnsiTheme="minorHAnsi"/>
              <w:i/>
              <w:iCs/>
            </w:rPr>
            <w:lastRenderedPageBreak/>
            <w:t>of the Fourth Workshop on Automated Semantic Analysis of Information in Legal Text</w:t>
          </w:r>
          <w:r w:rsidRPr="0007195B">
            <w:rPr>
              <w:rFonts w:asciiTheme="minorHAnsi" w:hAnsiTheme="minorHAnsi"/>
            </w:rPr>
            <w:t>. 2764. December: CEUR, 2020. CEUR Workshop Proceedings. http://ceur-ws.org/Vol-2764/#paper3</w:t>
          </w:r>
        </w:p>
        <w:p w14:paraId="329D6C39"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Novotný, J., Ircing, P. The Benefit of Document Embedding in Unsupervised Document Classification. In: Karpov, A., Jokisch, O., Potapova, R. (eds). </w:t>
          </w:r>
          <w:r w:rsidRPr="0007195B">
            <w:rPr>
              <w:rFonts w:asciiTheme="minorHAnsi" w:hAnsiTheme="minorHAnsi"/>
              <w:i/>
              <w:iCs/>
            </w:rPr>
            <w:t>Speech and Computer</w:t>
          </w:r>
          <w:r w:rsidRPr="0007195B">
            <w:rPr>
              <w:rFonts w:asciiTheme="minorHAnsi" w:hAnsiTheme="minorHAnsi"/>
            </w:rPr>
            <w:t>. Cham: Springer International Publishing, 2018, s. 470–478. Lecture Notes in Computer Science.</w:t>
          </w:r>
        </w:p>
        <w:p w14:paraId="5C4D93CF"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O’Callaghan, D. et al. An analysis of the coherence of descriptors in topic modeling. </w:t>
          </w:r>
          <w:r w:rsidRPr="0007195B">
            <w:rPr>
              <w:rFonts w:asciiTheme="minorHAnsi" w:hAnsiTheme="minorHAnsi"/>
              <w:i/>
              <w:iCs/>
            </w:rPr>
            <w:t>Expert Systems with Applications</w:t>
          </w:r>
          <w:r w:rsidRPr="0007195B">
            <w:rPr>
              <w:rFonts w:asciiTheme="minorHAnsi" w:hAnsiTheme="minorHAnsi"/>
            </w:rPr>
            <w:t>. 2015, č. 13, s. 5645–5657.</w:t>
          </w:r>
        </w:p>
        <w:p w14:paraId="272C4285"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Ocelík, P. et al. A contested transition toward a coal-free future: Advocacy coalitions and coal policy in the Czech Republic. </w:t>
          </w:r>
          <w:r w:rsidRPr="0007195B">
            <w:rPr>
              <w:rFonts w:asciiTheme="minorHAnsi" w:hAnsiTheme="minorHAnsi"/>
              <w:i/>
              <w:iCs/>
            </w:rPr>
            <w:t>Energy Research &amp; Social Science</w:t>
          </w:r>
          <w:r w:rsidRPr="0007195B">
            <w:rPr>
              <w:rFonts w:asciiTheme="minorHAnsi" w:hAnsiTheme="minorHAnsi"/>
            </w:rPr>
            <w:t>. 2019, s. 101283.</w:t>
          </w:r>
        </w:p>
        <w:p w14:paraId="6800A561" w14:textId="3031D218"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Van Opijnen, M. A model for automated rating of case law. In: </w:t>
          </w:r>
          <w:r w:rsidRPr="0007195B">
            <w:rPr>
              <w:rFonts w:asciiTheme="minorHAnsi" w:hAnsiTheme="minorHAnsi"/>
              <w:i/>
              <w:iCs/>
            </w:rPr>
            <w:t>Proceedings of the Fourteenth International Conference on Artificial Intelligence and Law - ICAIL ’13</w:t>
          </w:r>
          <w:r w:rsidRPr="0007195B">
            <w:rPr>
              <w:rFonts w:asciiTheme="minorHAnsi" w:hAnsiTheme="minorHAnsi"/>
            </w:rPr>
            <w:t>. Rome, Italy: ACM Press, 2013, s. 140. http://dl.acm.org/citation.cfm?doid=2514601.2514617</w:t>
          </w:r>
        </w:p>
        <w:p w14:paraId="7BD57BDC"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Van Opijnen, M., Santos, C. On the concept of relevance in legal information retrieval. </w:t>
          </w:r>
          <w:r w:rsidRPr="0007195B">
            <w:rPr>
              <w:rFonts w:asciiTheme="minorHAnsi" w:hAnsiTheme="minorHAnsi"/>
              <w:i/>
              <w:iCs/>
            </w:rPr>
            <w:t>Artificial Intelligence and Law</w:t>
          </w:r>
          <w:r w:rsidRPr="0007195B">
            <w:rPr>
              <w:rFonts w:asciiTheme="minorHAnsi" w:hAnsiTheme="minorHAnsi"/>
            </w:rPr>
            <w:t>. 2017, č. 1, s. 65–87.</w:t>
          </w:r>
        </w:p>
        <w:p w14:paraId="47FDB04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Otte, E., Rousseau, R. Social network analysis: a powerful strategy, also for the information sciences. </w:t>
          </w:r>
          <w:r w:rsidRPr="0007195B">
            <w:rPr>
              <w:rFonts w:asciiTheme="minorHAnsi" w:hAnsiTheme="minorHAnsi"/>
              <w:i/>
              <w:iCs/>
            </w:rPr>
            <w:t>Journal of Information Science</w:t>
          </w:r>
          <w:r w:rsidRPr="0007195B">
            <w:rPr>
              <w:rFonts w:asciiTheme="minorHAnsi" w:hAnsiTheme="minorHAnsi"/>
            </w:rPr>
            <w:t>. 2002, č. 6, s. 441–453.</w:t>
          </w:r>
        </w:p>
        <w:p w14:paraId="6A5FF897"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Paatero, P., Tapper, U. Positive matrix factorization: A non-negative factor model with optimal utilization of error estimates of data values†. . 1994</w:t>
          </w:r>
        </w:p>
        <w:p w14:paraId="7ED0BB87"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Panagis, Y., Sadl, U., Tarissan, F. Giving every case its (legal) due The contribution of citation networks and text similarity techniques to legal studies of European Union law. In: </w:t>
          </w:r>
          <w:r w:rsidRPr="0007195B">
            <w:rPr>
              <w:rFonts w:asciiTheme="minorHAnsi" w:hAnsiTheme="minorHAnsi"/>
              <w:i/>
              <w:iCs/>
            </w:rPr>
            <w:t>30th International Conference on Legal Knowledge and Information Systems (JURIX’17)</w:t>
          </w:r>
          <w:r w:rsidRPr="0007195B">
            <w:rPr>
              <w:rFonts w:asciiTheme="minorHAnsi" w:hAnsiTheme="minorHAnsi"/>
            </w:rPr>
            <w:t>. 302. IOS Press, 2017, s. 59–68.</w:t>
          </w:r>
        </w:p>
        <w:p w14:paraId="28B721DB"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Peczenik, A. The Binding Force of Precedent. In: </w:t>
          </w:r>
          <w:r w:rsidRPr="0007195B">
            <w:rPr>
              <w:rFonts w:asciiTheme="minorHAnsi" w:hAnsiTheme="minorHAnsi"/>
              <w:i/>
              <w:iCs/>
            </w:rPr>
            <w:t>Interpreting Precedents</w:t>
          </w:r>
          <w:r w:rsidRPr="0007195B">
            <w:rPr>
              <w:rFonts w:asciiTheme="minorHAnsi" w:hAnsiTheme="minorHAnsi"/>
            </w:rPr>
            <w:t>. Routledge, 1997</w:t>
          </w:r>
        </w:p>
        <w:p w14:paraId="149A931F" w14:textId="563D2560"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Polčák, R. </w:t>
          </w:r>
          <w:r w:rsidRPr="0007195B">
            <w:rPr>
              <w:rFonts w:asciiTheme="minorHAnsi" w:hAnsiTheme="minorHAnsi"/>
              <w:i/>
              <w:iCs/>
            </w:rPr>
            <w:t>Internet a proměny práva</w:t>
          </w:r>
          <w:r w:rsidRPr="0007195B">
            <w:rPr>
              <w:rFonts w:asciiTheme="minorHAnsi" w:hAnsiTheme="minorHAnsi"/>
            </w:rPr>
            <w:t>. Auditorium, 2012. https://dspace.cuni.cz/handle/20.500.11956/119974</w:t>
          </w:r>
        </w:p>
        <w:p w14:paraId="090AC775" w14:textId="65E64F7B" w:rsidR="0007195B" w:rsidRPr="0007195B" w:rsidRDefault="0007195B" w:rsidP="006E6D13">
          <w:pPr>
            <w:pStyle w:val="ZPLiteratura"/>
            <w:jc w:val="both"/>
            <w:rPr>
              <w:rFonts w:asciiTheme="minorHAnsi" w:hAnsiTheme="minorHAnsi"/>
            </w:rPr>
          </w:pPr>
          <w:r w:rsidRPr="0007195B">
            <w:rPr>
              <w:rFonts w:asciiTheme="minorHAnsi" w:hAnsiTheme="minorHAnsi"/>
            </w:rPr>
            <w:lastRenderedPageBreak/>
            <w:t xml:space="preserve">Poudyal, P., Gonçalves, T., Quaresma, P. Using Clustering Techniques to Identify Arguments in Legal Documents. In: Ashley, K. D. et al. (eds). </w:t>
          </w:r>
          <w:r w:rsidRPr="0007195B">
            <w:rPr>
              <w:rFonts w:asciiTheme="minorHAnsi" w:hAnsiTheme="minorHAnsi"/>
              <w:i/>
              <w:iCs/>
            </w:rPr>
            <w:t>Proceedings of the Third Workshop on Automated Semantic Analysis of Information in Legal Texts co-located with the 17th International Conference on Artificial Intelligence and Law (ICAIL 2019), Montreal, QC, Canada, June 21, 2019</w:t>
          </w:r>
          <w:r w:rsidRPr="0007195B">
            <w:rPr>
              <w:rFonts w:asciiTheme="minorHAnsi" w:hAnsiTheme="minorHAnsi"/>
            </w:rPr>
            <w:t>. 2385. CEUR-WS.org, 2019. CEUR Workshop Proceedings. http://ceur-ws.org/Vol-2385/paper2.pdf</w:t>
          </w:r>
        </w:p>
        <w:p w14:paraId="7D929A02"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Quinn, K. M. et al. How to Analyze Political Attention with Minimal Assumptions and Costs. </w:t>
          </w:r>
          <w:r w:rsidRPr="0007195B">
            <w:rPr>
              <w:rFonts w:asciiTheme="minorHAnsi" w:hAnsiTheme="minorHAnsi"/>
              <w:i/>
              <w:iCs/>
            </w:rPr>
            <w:t>American Journal of Political Science</w:t>
          </w:r>
          <w:r w:rsidRPr="0007195B">
            <w:rPr>
              <w:rFonts w:asciiTheme="minorHAnsi" w:hAnsiTheme="minorHAnsi"/>
            </w:rPr>
            <w:t>. 2010, č. 1, s. 209–228.</w:t>
          </w:r>
        </w:p>
        <w:p w14:paraId="7C2B3C01"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Ranera, L. T. B., Solano, G. A., Oco, N. Retrieval of Semantically Similar Philippine Supreme Court Case Decisions using Doc2Vec. In: </w:t>
          </w:r>
          <w:r w:rsidRPr="0007195B">
            <w:rPr>
              <w:rFonts w:asciiTheme="minorHAnsi" w:hAnsiTheme="minorHAnsi"/>
              <w:i/>
              <w:iCs/>
            </w:rPr>
            <w:t>2019 International Symposium on Multimedia and Communication Technology (ISMAC)</w:t>
          </w:r>
          <w:r w:rsidRPr="0007195B">
            <w:rPr>
              <w:rFonts w:asciiTheme="minorHAnsi" w:hAnsiTheme="minorHAnsi"/>
            </w:rPr>
            <w:t>. 2019, s. 1–6.</w:t>
          </w:r>
        </w:p>
        <w:p w14:paraId="21A9E72E"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Remmits, Y. </w:t>
          </w:r>
          <w:r w:rsidRPr="0007195B">
            <w:rPr>
              <w:rFonts w:asciiTheme="minorHAnsi" w:hAnsiTheme="minorHAnsi"/>
              <w:i/>
              <w:iCs/>
            </w:rPr>
            <w:t>Finding the Topics of Case Law: Latent Dirichlet Allocation on Supreme Court Decisions</w:t>
          </w:r>
          <w:r w:rsidRPr="0007195B">
            <w:rPr>
              <w:rFonts w:asciiTheme="minorHAnsi" w:hAnsiTheme="minorHAnsi"/>
            </w:rPr>
            <w:t>. 2017, Graduate thesis, Radboud University.</w:t>
          </w:r>
        </w:p>
        <w:p w14:paraId="0E168A15"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Renjit, S., Idicula, S. M. CUSAT NLP@AILA-FIRE2019: Similarity in Legal Texts using Document Level Embeddings. , s. 6.</w:t>
          </w:r>
        </w:p>
        <w:p w14:paraId="11BC0E37" w14:textId="69F52F51"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Röder, M., Both, A., Hinneburg, A. Exploring the Space of Topic Coherence Measures. In: </w:t>
          </w:r>
          <w:r w:rsidRPr="0007195B">
            <w:rPr>
              <w:rFonts w:asciiTheme="minorHAnsi" w:hAnsiTheme="minorHAnsi"/>
              <w:i/>
              <w:iCs/>
            </w:rPr>
            <w:t>Proceedings of the Eighth ACM International Conference on Web Search and Data Mining - WSDM ’15</w:t>
          </w:r>
          <w:r w:rsidRPr="0007195B">
            <w:rPr>
              <w:rFonts w:asciiTheme="minorHAnsi" w:hAnsiTheme="minorHAnsi"/>
            </w:rPr>
            <w:t>. Shanghai, China: ACM Press, 2015, s. 399–408. http://dl.acm.org/citation.cfm?doid=2684822.2685324</w:t>
          </w:r>
        </w:p>
        <w:p w14:paraId="767A0B80"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Rücker, G. Network meta-analysis, electrical networks and graph theory. </w:t>
          </w:r>
          <w:r w:rsidRPr="0007195B">
            <w:rPr>
              <w:rFonts w:asciiTheme="minorHAnsi" w:hAnsiTheme="minorHAnsi"/>
              <w:i/>
              <w:iCs/>
            </w:rPr>
            <w:t>Research Synthesis Methods</w:t>
          </w:r>
          <w:r w:rsidRPr="0007195B">
            <w:rPr>
              <w:rFonts w:asciiTheme="minorHAnsi" w:hAnsiTheme="minorHAnsi"/>
            </w:rPr>
            <w:t>. 2012, č. 4, s. 312–324.</w:t>
          </w:r>
        </w:p>
        <w:p w14:paraId="43181E31"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Sartor, G. et al. Automated Extraction and Representation of Citation Network: A CJEU Case-Study. In: Guizzardi, R., Neumayr, B. (eds). </w:t>
          </w:r>
          <w:r w:rsidRPr="0007195B">
            <w:rPr>
              <w:rFonts w:asciiTheme="minorHAnsi" w:hAnsiTheme="minorHAnsi"/>
              <w:i/>
              <w:iCs/>
            </w:rPr>
            <w:t>Advances in Conceptual Modeling</w:t>
          </w:r>
          <w:r w:rsidRPr="0007195B">
            <w:rPr>
              <w:rFonts w:asciiTheme="minorHAnsi" w:hAnsiTheme="minorHAnsi"/>
            </w:rPr>
            <w:t>. Cham: Springer International Publishing, 2022, s. 102–111. Lecture Notes in Computer Science.</w:t>
          </w:r>
        </w:p>
        <w:p w14:paraId="0F4B1ED6" w14:textId="5997B7F5"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Savelka, J. et al. Lex Rosetta: transfer of predictive models across languages, jurisdictions, and legal domains. In: </w:t>
          </w:r>
          <w:r w:rsidRPr="0007195B">
            <w:rPr>
              <w:rFonts w:asciiTheme="minorHAnsi" w:hAnsiTheme="minorHAnsi"/>
              <w:i/>
              <w:iCs/>
            </w:rPr>
            <w:t>Proceedings of the Eighteenth International Conference on Artificial Intelligence and Law</w:t>
          </w:r>
          <w:r w:rsidRPr="0007195B">
            <w:rPr>
              <w:rFonts w:asciiTheme="minorHAnsi" w:hAnsiTheme="minorHAnsi"/>
            </w:rPr>
            <w:t>. New York, NY, USA: Association for Computing Machinery, 2021, s. 129–138. https://doi.org/10.1145/3462757.3466149</w:t>
          </w:r>
        </w:p>
        <w:p w14:paraId="4FEAB3D6" w14:textId="5F1A15A4" w:rsidR="0007195B" w:rsidRPr="0007195B" w:rsidRDefault="0007195B" w:rsidP="006E6D13">
          <w:pPr>
            <w:pStyle w:val="ZPLiteratura"/>
            <w:jc w:val="both"/>
            <w:rPr>
              <w:rFonts w:asciiTheme="minorHAnsi" w:hAnsiTheme="minorHAnsi"/>
            </w:rPr>
          </w:pPr>
          <w:r w:rsidRPr="0007195B">
            <w:rPr>
              <w:rFonts w:asciiTheme="minorHAnsi" w:hAnsiTheme="minorHAnsi"/>
            </w:rPr>
            <w:lastRenderedPageBreak/>
            <w:t xml:space="preserve">Scott, J. </w:t>
          </w:r>
          <w:r w:rsidRPr="0007195B">
            <w:rPr>
              <w:rFonts w:asciiTheme="minorHAnsi" w:hAnsiTheme="minorHAnsi"/>
              <w:i/>
              <w:iCs/>
            </w:rPr>
            <w:t>Social Network Analysis</w:t>
          </w:r>
          <w:r w:rsidRPr="0007195B">
            <w:rPr>
              <w:rFonts w:asciiTheme="minorHAnsi" w:hAnsiTheme="minorHAnsi"/>
            </w:rPr>
            <w:t>. 1 Oliver’s Yard, 55 City Road London EC1Y 1SP: SAGE Publications Ltd, 2017. https://methods.sagepub.com/book/social-network-analysis-4e</w:t>
          </w:r>
        </w:p>
        <w:p w14:paraId="7A01E624"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Scott, J. TREND REPORT SOCIAL NETWORK ANALYSIS. </w:t>
          </w:r>
          <w:r w:rsidRPr="0007195B">
            <w:rPr>
              <w:rFonts w:asciiTheme="minorHAnsi" w:hAnsiTheme="minorHAnsi"/>
              <w:i/>
              <w:iCs/>
            </w:rPr>
            <w:t>Sociology</w:t>
          </w:r>
          <w:r w:rsidRPr="0007195B">
            <w:rPr>
              <w:rFonts w:asciiTheme="minorHAnsi" w:hAnsiTheme="minorHAnsi"/>
            </w:rPr>
            <w:t>. 1988, č. 1, s. 109–127.</w:t>
          </w:r>
        </w:p>
        <w:p w14:paraId="35E6E545" w14:textId="69D6ABFD"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Schweighofer, E., Winiwarter, W., Merkl, D. Information filtering: the computation of similarities in large corpora of legal texts. In: </w:t>
          </w:r>
          <w:r w:rsidRPr="0007195B">
            <w:rPr>
              <w:rFonts w:asciiTheme="minorHAnsi" w:hAnsiTheme="minorHAnsi"/>
              <w:i/>
              <w:iCs/>
            </w:rPr>
            <w:t>Proceedings of the fifth international conference on Artificial intelligence and law  - ICAIL ’95</w:t>
          </w:r>
          <w:r w:rsidRPr="0007195B">
            <w:rPr>
              <w:rFonts w:asciiTheme="minorHAnsi" w:hAnsiTheme="minorHAnsi"/>
            </w:rPr>
            <w:t>. College Park, Maryland, United States: ACM Press, 1995, s. 119–126. http://portal.acm.org/citation.cfm?doid=222092.222205</w:t>
          </w:r>
        </w:p>
        <w:p w14:paraId="75F65B02"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Smaragdis, P., Brown, J. C. Non-negative matrix factorization for polyphonic music transcription. In: </w:t>
          </w:r>
          <w:r w:rsidRPr="0007195B">
            <w:rPr>
              <w:rFonts w:asciiTheme="minorHAnsi" w:hAnsiTheme="minorHAnsi"/>
              <w:i/>
              <w:iCs/>
            </w:rPr>
            <w:t>2003 IEEE Workshop on Applications of Signal Processing to Audio and Acoustics (IEEE Cat. No.03TH8684)</w:t>
          </w:r>
          <w:r w:rsidRPr="0007195B">
            <w:rPr>
              <w:rFonts w:asciiTheme="minorHAnsi" w:hAnsiTheme="minorHAnsi"/>
            </w:rPr>
            <w:t>. 2003, s. 177–180.</w:t>
          </w:r>
        </w:p>
        <w:p w14:paraId="070E5EDB"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Smejkalová, T., Novotná, T. Exploring the Relation Between the Indegree Centrality and Authority Score of a Decision and the Reason for Which It Was Cited: A Case Study. </w:t>
          </w:r>
          <w:r w:rsidRPr="0007195B">
            <w:rPr>
              <w:rFonts w:asciiTheme="minorHAnsi" w:hAnsiTheme="minorHAnsi"/>
              <w:i/>
              <w:iCs/>
            </w:rPr>
            <w:t>Masaryk University Journal of Law and Technology</w:t>
          </w:r>
          <w:r w:rsidRPr="0007195B">
            <w:rPr>
              <w:rFonts w:asciiTheme="minorHAnsi" w:hAnsiTheme="minorHAnsi"/>
            </w:rPr>
            <w:t>. 2021, č. 2, s. 225–246.</w:t>
          </w:r>
        </w:p>
        <w:p w14:paraId="4D59A63D"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Smith, D. A., White, D. R. Structure and Dynamics of the Global Economy: Network Analysis of International Trade 1965–1980. </w:t>
          </w:r>
          <w:r w:rsidRPr="0007195B">
            <w:rPr>
              <w:rFonts w:asciiTheme="minorHAnsi" w:hAnsiTheme="minorHAnsi"/>
              <w:i/>
              <w:iCs/>
            </w:rPr>
            <w:t>Social Forces</w:t>
          </w:r>
          <w:r w:rsidRPr="0007195B">
            <w:rPr>
              <w:rFonts w:asciiTheme="minorHAnsi" w:hAnsiTheme="minorHAnsi"/>
            </w:rPr>
            <w:t>. 1992, č. 4, s. 857–893.</w:t>
          </w:r>
        </w:p>
        <w:p w14:paraId="034B5239"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Smith, T. A. The Web of Law. </w:t>
          </w:r>
          <w:r w:rsidRPr="0007195B">
            <w:rPr>
              <w:rFonts w:asciiTheme="minorHAnsi" w:hAnsiTheme="minorHAnsi"/>
              <w:i/>
              <w:iCs/>
            </w:rPr>
            <w:t>San Diego Law Review</w:t>
          </w:r>
          <w:r w:rsidRPr="0007195B">
            <w:rPr>
              <w:rFonts w:asciiTheme="minorHAnsi" w:hAnsiTheme="minorHAnsi"/>
            </w:rPr>
            <w:t>. 2007, s. 309.</w:t>
          </w:r>
        </w:p>
        <w:p w14:paraId="7B9E02EF"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Suri, P., Roy, N. R. Comparison between LDA NMF for event-detection from large text stream data. In: </w:t>
          </w:r>
          <w:r w:rsidRPr="0007195B">
            <w:rPr>
              <w:rFonts w:asciiTheme="minorHAnsi" w:hAnsiTheme="minorHAnsi"/>
              <w:i/>
              <w:iCs/>
            </w:rPr>
            <w:t>2017 3rd International Conference on Computational Intelligence Communication Technology (CICT)</w:t>
          </w:r>
          <w:r w:rsidRPr="0007195B">
            <w:rPr>
              <w:rFonts w:asciiTheme="minorHAnsi" w:hAnsiTheme="minorHAnsi"/>
            </w:rPr>
            <w:t>. 2017, s. 1–5.</w:t>
          </w:r>
        </w:p>
        <w:p w14:paraId="77E38DCC"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Susskind, R. E. </w:t>
          </w:r>
          <w:r w:rsidRPr="0007195B">
            <w:rPr>
              <w:rFonts w:asciiTheme="minorHAnsi" w:hAnsiTheme="minorHAnsi"/>
              <w:i/>
              <w:iCs/>
            </w:rPr>
            <w:t>The Future of Law: Facing the Challenges of Information Technology</w:t>
          </w:r>
          <w:r w:rsidRPr="0007195B">
            <w:rPr>
              <w:rFonts w:asciiTheme="minorHAnsi" w:hAnsiTheme="minorHAnsi"/>
            </w:rPr>
            <w:t>. Clarendon Press, 1998.</w:t>
          </w:r>
        </w:p>
        <w:p w14:paraId="6FC3CF81"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Tapper, C. The Use of Citation Vectors for Legal Information Retrieval. </w:t>
          </w:r>
          <w:r w:rsidRPr="0007195B">
            <w:rPr>
              <w:rFonts w:asciiTheme="minorHAnsi" w:hAnsiTheme="minorHAnsi"/>
              <w:i/>
              <w:iCs/>
            </w:rPr>
            <w:t>Journal of Law and Information Science</w:t>
          </w:r>
          <w:r w:rsidRPr="0007195B">
            <w:rPr>
              <w:rFonts w:asciiTheme="minorHAnsi" w:hAnsiTheme="minorHAnsi"/>
            </w:rPr>
            <w:t>. 1981, s. 131.</w:t>
          </w:r>
        </w:p>
        <w:p w14:paraId="45FC8691"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Thompson, P. A combination of expert opinion approach to probabilistic information retrieval, part 1: The conceptual model. </w:t>
          </w:r>
          <w:r w:rsidRPr="0007195B">
            <w:rPr>
              <w:rFonts w:asciiTheme="minorHAnsi" w:hAnsiTheme="minorHAnsi"/>
              <w:i/>
              <w:iCs/>
            </w:rPr>
            <w:t>Information Processing &amp; Management</w:t>
          </w:r>
          <w:r w:rsidRPr="0007195B">
            <w:rPr>
              <w:rFonts w:asciiTheme="minorHAnsi" w:hAnsiTheme="minorHAnsi"/>
            </w:rPr>
            <w:t>. 1990, č. 3, s. 371–382.</w:t>
          </w:r>
        </w:p>
        <w:p w14:paraId="03C34883"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Tian, X. et al. K-Means Clustering for Controversial Issues Merging in Chinese Legal Texts. </w:t>
          </w:r>
          <w:r w:rsidRPr="0007195B">
            <w:rPr>
              <w:rFonts w:asciiTheme="minorHAnsi" w:hAnsiTheme="minorHAnsi"/>
              <w:i/>
              <w:iCs/>
            </w:rPr>
            <w:t>Legal Knowledge and Information Systems</w:t>
          </w:r>
          <w:r w:rsidRPr="0007195B">
            <w:rPr>
              <w:rFonts w:asciiTheme="minorHAnsi" w:hAnsiTheme="minorHAnsi"/>
            </w:rPr>
            <w:t>. 2018, s. 215–219.</w:t>
          </w:r>
        </w:p>
        <w:p w14:paraId="75C18947" w14:textId="1439B293" w:rsidR="0007195B" w:rsidRPr="0007195B" w:rsidRDefault="0007195B" w:rsidP="006E6D13">
          <w:pPr>
            <w:pStyle w:val="ZPLiteratura"/>
            <w:jc w:val="both"/>
            <w:rPr>
              <w:rFonts w:asciiTheme="minorHAnsi" w:hAnsiTheme="minorHAnsi"/>
            </w:rPr>
          </w:pPr>
          <w:r w:rsidRPr="0007195B">
            <w:rPr>
              <w:rFonts w:asciiTheme="minorHAnsi" w:hAnsiTheme="minorHAnsi"/>
            </w:rPr>
            <w:lastRenderedPageBreak/>
            <w:t xml:space="preserve">Trieu, L. Q., Tran, H. Q., Tran, M.-T. News Classification from Social Media Using Twitter-based Doc2Vec Model and Automatic Query Expansion. In: </w:t>
          </w:r>
          <w:r w:rsidRPr="0007195B">
            <w:rPr>
              <w:rFonts w:asciiTheme="minorHAnsi" w:hAnsiTheme="minorHAnsi"/>
              <w:i/>
              <w:iCs/>
            </w:rPr>
            <w:t>Proceedings of the Eighth International Symposium on Information and Communication Technology</w:t>
          </w:r>
          <w:r w:rsidRPr="0007195B">
            <w:rPr>
              <w:rFonts w:asciiTheme="minorHAnsi" w:hAnsiTheme="minorHAnsi"/>
            </w:rPr>
            <w:t>. Nha Trang City, Viet Nam: Association for Computing Machinery, 2017, s. 460–467. SoICT 2017. https://doi.org/10.1145/3155133.3155206</w:t>
          </w:r>
        </w:p>
        <w:p w14:paraId="1CBC51C5"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Uzzi, B., Lancaster, R. Embeddedness and Price Formation in the Corporate Law Market. </w:t>
          </w:r>
          <w:r w:rsidRPr="0007195B">
            <w:rPr>
              <w:rFonts w:asciiTheme="minorHAnsi" w:hAnsiTheme="minorHAnsi"/>
              <w:i/>
              <w:iCs/>
            </w:rPr>
            <w:t>American Sociological Review</w:t>
          </w:r>
          <w:r w:rsidRPr="0007195B">
            <w:rPr>
              <w:rFonts w:asciiTheme="minorHAnsi" w:hAnsiTheme="minorHAnsi"/>
            </w:rPr>
            <w:t>. 2004, č. 3, s. 319–344.</w:t>
          </w:r>
        </w:p>
        <w:p w14:paraId="7F99B879"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Vartazaryan, G. Síťová analýza disentujících ústavních soudců. </w:t>
          </w:r>
          <w:r w:rsidRPr="0007195B">
            <w:rPr>
              <w:rFonts w:asciiTheme="minorHAnsi" w:hAnsiTheme="minorHAnsi"/>
              <w:i/>
              <w:iCs/>
            </w:rPr>
            <w:t>Právník. Teoretický časopis pro otázky státu a práva (The Lawyer - Scientific Review for Problems of State and Law)</w:t>
          </w:r>
          <w:r w:rsidRPr="0007195B">
            <w:rPr>
              <w:rFonts w:asciiTheme="minorHAnsi" w:hAnsiTheme="minorHAnsi"/>
            </w:rPr>
            <w:t>. 2022, č. 12, s. 1196–1214.</w:t>
          </w:r>
        </w:p>
        <w:p w14:paraId="4746E5DB"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Venkatesh, R. K. Legal Documents Clustering and Summarization using Hierarchical Latent Dirichlet Allocation. </w:t>
          </w:r>
          <w:r w:rsidRPr="0007195B">
            <w:rPr>
              <w:rFonts w:asciiTheme="minorHAnsi" w:hAnsiTheme="minorHAnsi"/>
              <w:i/>
              <w:iCs/>
            </w:rPr>
            <w:t>IAES International Journal of Artificial Intelligence (IJ-AI)</w:t>
          </w:r>
          <w:r w:rsidRPr="0007195B">
            <w:rPr>
              <w:rFonts w:asciiTheme="minorHAnsi" w:hAnsiTheme="minorHAnsi"/>
            </w:rPr>
            <w:t>. 2013, č. 1, s. 27–35.</w:t>
          </w:r>
        </w:p>
        <w:p w14:paraId="05ECCB9E"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Venkatesh, R. K., Raghuveer, K. Legal Document Summarization using Latent Dirichlet Allocation. </w:t>
          </w:r>
          <w:r w:rsidRPr="0007195B">
            <w:rPr>
              <w:rFonts w:asciiTheme="minorHAnsi" w:hAnsiTheme="minorHAnsi"/>
              <w:i/>
              <w:iCs/>
            </w:rPr>
            <w:t>International Journal of Applied Information Systems</w:t>
          </w:r>
          <w:r w:rsidRPr="0007195B">
            <w:rPr>
              <w:rFonts w:asciiTheme="minorHAnsi" w:hAnsiTheme="minorHAnsi"/>
            </w:rPr>
            <w:t>. 2012, č. 2, s. 27–33.</w:t>
          </w:r>
        </w:p>
        <w:p w14:paraId="684C23B2"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Wagh, R., Anand, D. Application of citation network analysis for improved similarity index estimation of legal case documents : A study. In: </w:t>
          </w:r>
          <w:r w:rsidRPr="0007195B">
            <w:rPr>
              <w:rFonts w:asciiTheme="minorHAnsi" w:hAnsiTheme="minorHAnsi"/>
              <w:i/>
              <w:iCs/>
            </w:rPr>
            <w:t>2017 IEEE International Conference on Current Trends in Advanced Computing (ICCTAC)</w:t>
          </w:r>
          <w:r w:rsidRPr="0007195B">
            <w:rPr>
              <w:rFonts w:asciiTheme="minorHAnsi" w:hAnsiTheme="minorHAnsi"/>
            </w:rPr>
            <w:t>. 2017, s. 1–5.</w:t>
          </w:r>
        </w:p>
        <w:p w14:paraId="4C023F73"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Wasserman, S., Faust, K. </w:t>
          </w:r>
          <w:r w:rsidRPr="0007195B">
            <w:rPr>
              <w:rFonts w:asciiTheme="minorHAnsi" w:hAnsiTheme="minorHAnsi"/>
              <w:i/>
              <w:iCs/>
            </w:rPr>
            <w:t>Social network analysis:  Methods and applications</w:t>
          </w:r>
          <w:r w:rsidRPr="0007195B">
            <w:rPr>
              <w:rFonts w:asciiTheme="minorHAnsi" w:hAnsiTheme="minorHAnsi"/>
            </w:rPr>
            <w:t>. New York, NY, US: Cambridge University Press, 1994. Social network analysis:  Methods and applications.</w:t>
          </w:r>
        </w:p>
        <w:p w14:paraId="0D490C2D"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Watts, D. J. </w:t>
          </w:r>
          <w:r w:rsidRPr="0007195B">
            <w:rPr>
              <w:rFonts w:asciiTheme="minorHAnsi" w:hAnsiTheme="minorHAnsi"/>
              <w:i/>
              <w:iCs/>
            </w:rPr>
            <w:t>Six Degrees: The Science of a Connected Age</w:t>
          </w:r>
          <w:r w:rsidRPr="0007195B">
            <w:rPr>
              <w:rFonts w:asciiTheme="minorHAnsi" w:hAnsiTheme="minorHAnsi"/>
            </w:rPr>
            <w:t>. Vintage, 2004.</w:t>
          </w:r>
        </w:p>
        <w:p w14:paraId="4664D551"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Wellman, B., Berkowitz, S. D. </w:t>
          </w:r>
          <w:r w:rsidRPr="0007195B">
            <w:rPr>
              <w:rFonts w:asciiTheme="minorHAnsi" w:hAnsiTheme="minorHAnsi"/>
              <w:i/>
              <w:iCs/>
            </w:rPr>
            <w:t>Social Structures: A Network Approach</w:t>
          </w:r>
          <w:r w:rsidRPr="0007195B">
            <w:rPr>
              <w:rFonts w:asciiTheme="minorHAnsi" w:hAnsiTheme="minorHAnsi"/>
            </w:rPr>
            <w:t>. CUP Archive, 1988.</w:t>
          </w:r>
        </w:p>
        <w:p w14:paraId="25585C65"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Westermann, H. et al. Data-Centric Machine Learning: Improving Model Performance and Understanding Through Dataset Analysis. </w:t>
          </w:r>
          <w:r w:rsidRPr="0007195B">
            <w:rPr>
              <w:rFonts w:asciiTheme="minorHAnsi" w:hAnsiTheme="minorHAnsi"/>
              <w:i/>
              <w:iCs/>
            </w:rPr>
            <w:t>Legal Knowledge and Information Systems</w:t>
          </w:r>
          <w:r w:rsidRPr="0007195B">
            <w:rPr>
              <w:rFonts w:asciiTheme="minorHAnsi" w:hAnsiTheme="minorHAnsi"/>
            </w:rPr>
            <w:t>. 2021, s. 54–57.</w:t>
          </w:r>
        </w:p>
        <w:p w14:paraId="49DD4B9C"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Westlake, B. G., Bouchard, M. Criminal Careers in Cyberspace: Examining Website Failure within Child Exploitation Networks. </w:t>
          </w:r>
          <w:r w:rsidRPr="0007195B">
            <w:rPr>
              <w:rFonts w:asciiTheme="minorHAnsi" w:hAnsiTheme="minorHAnsi"/>
              <w:i/>
              <w:iCs/>
            </w:rPr>
            <w:t>Justice Quarterly</w:t>
          </w:r>
          <w:r w:rsidRPr="0007195B">
            <w:rPr>
              <w:rFonts w:asciiTheme="minorHAnsi" w:hAnsiTheme="minorHAnsi"/>
            </w:rPr>
            <w:t>. 2016, č. 7, s. 1154–1181.</w:t>
          </w:r>
        </w:p>
        <w:p w14:paraId="49AA6CFF"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lastRenderedPageBreak/>
            <w:t xml:space="preserve">Whalen, R. Legal Networks: The Promises and Challenges of Legal Network Analysis. </w:t>
          </w:r>
          <w:r w:rsidRPr="0007195B">
            <w:rPr>
              <w:rFonts w:asciiTheme="minorHAnsi" w:hAnsiTheme="minorHAnsi"/>
              <w:i/>
              <w:iCs/>
            </w:rPr>
            <w:t>Michigan State Law Review</w:t>
          </w:r>
          <w:r w:rsidRPr="0007195B">
            <w:rPr>
              <w:rFonts w:asciiTheme="minorHAnsi" w:hAnsiTheme="minorHAnsi"/>
            </w:rPr>
            <w:t>. 2016, s. 539.</w:t>
          </w:r>
        </w:p>
        <w:p w14:paraId="2A245DDC" w14:textId="0C97917F"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Winkels, R., Ruyter, J., Kroese, H. </w:t>
          </w:r>
          <w:r w:rsidRPr="0007195B">
            <w:rPr>
              <w:rFonts w:asciiTheme="minorHAnsi" w:hAnsiTheme="minorHAnsi"/>
              <w:i/>
              <w:iCs/>
            </w:rPr>
            <w:t>Determining Authority of Dutch Case Law</w:t>
          </w:r>
          <w:r w:rsidRPr="0007195B">
            <w:rPr>
              <w:rFonts w:asciiTheme="minorHAnsi" w:hAnsiTheme="minorHAnsi"/>
            </w:rPr>
            <w:t>. Rochester, NY: Social Science Research Network, 2011. https://papers.ssrn.com/abstract=2013190</w:t>
          </w:r>
        </w:p>
        <w:p w14:paraId="503197FD"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Wolfe, A. W. Anthropologist view of social network analysis and data mining. </w:t>
          </w:r>
          <w:r w:rsidRPr="0007195B">
            <w:rPr>
              <w:rFonts w:asciiTheme="minorHAnsi" w:hAnsiTheme="minorHAnsi"/>
              <w:i/>
              <w:iCs/>
            </w:rPr>
            <w:t>Social Network Analysis and Mining</w:t>
          </w:r>
          <w:r w:rsidRPr="0007195B">
            <w:rPr>
              <w:rFonts w:asciiTheme="minorHAnsi" w:hAnsiTheme="minorHAnsi"/>
            </w:rPr>
            <w:t>. 2011, č. 1, s. 3–19.</w:t>
          </w:r>
        </w:p>
        <w:p w14:paraId="19A0A14D" w14:textId="77777777"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Wolfe, A. W. The rise of network thinking in anthropology. </w:t>
          </w:r>
          <w:r w:rsidRPr="0007195B">
            <w:rPr>
              <w:rFonts w:asciiTheme="minorHAnsi" w:hAnsiTheme="minorHAnsi"/>
              <w:i/>
              <w:iCs/>
            </w:rPr>
            <w:t>Social Networks</w:t>
          </w:r>
          <w:r w:rsidRPr="0007195B">
            <w:rPr>
              <w:rFonts w:asciiTheme="minorHAnsi" w:hAnsiTheme="minorHAnsi"/>
            </w:rPr>
            <w:t>. 1978, č. 1, s. 53–64.</w:t>
          </w:r>
        </w:p>
        <w:p w14:paraId="4258B906" w14:textId="059E2279" w:rsidR="0007195B" w:rsidRPr="0007195B" w:rsidRDefault="0007195B" w:rsidP="006E6D13">
          <w:pPr>
            <w:pStyle w:val="ZPLiteratura"/>
            <w:jc w:val="both"/>
            <w:rPr>
              <w:rFonts w:asciiTheme="minorHAnsi" w:hAnsiTheme="minorHAnsi"/>
            </w:rPr>
          </w:pPr>
          <w:r w:rsidRPr="0007195B">
            <w:rPr>
              <w:rFonts w:asciiTheme="minorHAnsi" w:hAnsiTheme="minorHAnsi"/>
            </w:rPr>
            <w:t xml:space="preserve">Xu, W., Liu, X., Gong, Y. Document clustering based on non-negative matrix factorization. In: </w:t>
          </w:r>
          <w:r w:rsidRPr="0007195B">
            <w:rPr>
              <w:rFonts w:asciiTheme="minorHAnsi" w:hAnsiTheme="minorHAnsi"/>
              <w:i/>
              <w:iCs/>
            </w:rPr>
            <w:t>Proceedings of the 26th annual international ACM SIGIR conference on Research and development in informaion retrieval</w:t>
          </w:r>
          <w:r w:rsidRPr="0007195B">
            <w:rPr>
              <w:rFonts w:asciiTheme="minorHAnsi" w:hAnsiTheme="minorHAnsi"/>
            </w:rPr>
            <w:t>. New York, NY, USA: Association for Computing Machinery, 2003, s. 267–273. SIGIR ’03. https://doi.org/10.1145/860435.860485</w:t>
          </w:r>
        </w:p>
        <w:p w14:paraId="56A8504D" w14:textId="6CC486B2" w:rsidR="002A18FA" w:rsidRPr="006E6D13" w:rsidRDefault="0007195B" w:rsidP="006E6D13">
          <w:pPr>
            <w:pStyle w:val="ZPLiteratura"/>
            <w:jc w:val="both"/>
            <w:rPr>
              <w:rFonts w:asciiTheme="minorHAnsi" w:hAnsiTheme="minorHAnsi"/>
            </w:rPr>
          </w:pPr>
          <w:r w:rsidRPr="0007195B">
            <w:rPr>
              <w:rFonts w:asciiTheme="minorHAnsi" w:hAnsiTheme="minorHAnsi"/>
            </w:rPr>
            <w:t xml:space="preserve">Zouaghi, A., Merhbene, L., Zrigui, M. Combination of information retrieval methods with LESK algorithm for Arabic word sense disambiguation. </w:t>
          </w:r>
          <w:r w:rsidRPr="0007195B">
            <w:rPr>
              <w:rFonts w:asciiTheme="minorHAnsi" w:hAnsiTheme="minorHAnsi"/>
              <w:i/>
              <w:iCs/>
            </w:rPr>
            <w:t>Artificial Intelligence Review</w:t>
          </w:r>
          <w:r w:rsidRPr="0007195B">
            <w:rPr>
              <w:rFonts w:asciiTheme="minorHAnsi" w:hAnsiTheme="minorHAnsi"/>
            </w:rPr>
            <w:t>. 2012, č. 4, s. 257–269.</w:t>
          </w:r>
        </w:p>
        <w:p w14:paraId="0FA2FC38" w14:textId="0A420856" w:rsidR="005E4C2C" w:rsidRPr="00746487" w:rsidRDefault="00000000" w:rsidP="00610890">
          <w:pPr>
            <w:pStyle w:val="Bibliografie"/>
            <w:ind w:left="0" w:firstLine="0"/>
            <w:sectPr w:rsidR="005E4C2C" w:rsidRPr="00746487" w:rsidSect="002A18FA">
              <w:headerReference w:type="even" r:id="rId64"/>
              <w:headerReference w:type="default" r:id="rId65"/>
              <w:type w:val="oddPage"/>
              <w:pgSz w:w="11906" w:h="16838" w:code="9"/>
              <w:pgMar w:top="2380" w:right="2020" w:bottom="2380" w:left="2020" w:header="1900" w:footer="1280" w:gutter="500"/>
              <w:cols w:space="708"/>
              <w:docGrid w:linePitch="360"/>
            </w:sectPr>
          </w:pPr>
        </w:p>
      </w:sdtContent>
    </w:sdt>
    <w:p w14:paraId="40ECB48A" w14:textId="77777777" w:rsidR="00556FD7" w:rsidRPr="0069336E" w:rsidRDefault="00556FD7" w:rsidP="00366302">
      <w:pPr>
        <w:pStyle w:val="Dalodstavce"/>
        <w:ind w:firstLine="0"/>
        <w:rPr>
          <w:lang w:val="en-029"/>
        </w:rPr>
        <w:sectPr w:rsidR="00556FD7" w:rsidRPr="0069336E" w:rsidSect="002A18FA">
          <w:headerReference w:type="even" r:id="rId66"/>
          <w:headerReference w:type="default" r:id="rId67"/>
          <w:type w:val="continuous"/>
          <w:pgSz w:w="11906" w:h="16838" w:code="9"/>
          <w:pgMar w:top="2380" w:right="2020" w:bottom="2380" w:left="2020" w:header="1900" w:footer="1280" w:gutter="500"/>
          <w:cols w:space="708"/>
          <w:docGrid w:linePitch="360"/>
        </w:sectPr>
      </w:pPr>
    </w:p>
    <w:p w14:paraId="756FB4EA" w14:textId="6DF29B3A" w:rsidR="007C0619" w:rsidRDefault="007C0619" w:rsidP="007C0619">
      <w:pPr>
        <w:rPr>
          <w:b/>
          <w:bCs/>
        </w:rPr>
      </w:pPr>
    </w:p>
    <w:sectPr w:rsidR="007C0619" w:rsidSect="002A18FA">
      <w:headerReference w:type="even" r:id="rId68"/>
      <w:headerReference w:type="default" r:id="rId69"/>
      <w:pgSz w:w="11906" w:h="16838" w:code="9"/>
      <w:pgMar w:top="2380" w:right="2020" w:bottom="2380" w:left="2020" w:header="1900" w:footer="1280" w:gutter="5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3C6B2" w14:textId="77777777" w:rsidR="00FA6BAF" w:rsidRDefault="00FA6BAF">
      <w:r>
        <w:separator/>
      </w:r>
    </w:p>
    <w:p w14:paraId="53CA4AC4" w14:textId="77777777" w:rsidR="00FA6BAF" w:rsidRDefault="00FA6BAF"/>
    <w:p w14:paraId="12A33293" w14:textId="77777777" w:rsidR="00FA6BAF" w:rsidRDefault="00FA6BAF"/>
    <w:p w14:paraId="19D7DE10" w14:textId="77777777" w:rsidR="00FA6BAF" w:rsidRDefault="00FA6BAF"/>
    <w:p w14:paraId="096EC92F" w14:textId="77777777" w:rsidR="00FA6BAF" w:rsidRDefault="00FA6BAF"/>
    <w:p w14:paraId="7A28BA7B" w14:textId="77777777" w:rsidR="00FA6BAF" w:rsidRDefault="00FA6BAF"/>
  </w:endnote>
  <w:endnote w:type="continuationSeparator" w:id="0">
    <w:p w14:paraId="602022E2" w14:textId="77777777" w:rsidR="00FA6BAF" w:rsidRDefault="00FA6BAF">
      <w:r>
        <w:continuationSeparator/>
      </w:r>
    </w:p>
    <w:p w14:paraId="4BE72CB1" w14:textId="77777777" w:rsidR="00FA6BAF" w:rsidRDefault="00FA6BAF"/>
    <w:p w14:paraId="7EAA4E0D" w14:textId="77777777" w:rsidR="00FA6BAF" w:rsidRDefault="00FA6BAF"/>
    <w:p w14:paraId="66813B10" w14:textId="77777777" w:rsidR="00FA6BAF" w:rsidRDefault="00FA6BAF"/>
    <w:p w14:paraId="06C3B5D9" w14:textId="77777777" w:rsidR="00FA6BAF" w:rsidRDefault="00FA6BAF"/>
    <w:p w14:paraId="1D2401ED" w14:textId="77777777" w:rsidR="00FA6BAF" w:rsidRDefault="00FA6B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4091" w14:textId="77777777"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3ACF" w14:textId="77777777" w:rsidR="00387B07" w:rsidRPr="00920AB6" w:rsidRDefault="00387B07" w:rsidP="00920A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56E2E" w14:textId="77777777"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B317" w14:textId="77777777" w:rsidR="002155EC" w:rsidRDefault="002155EC" w:rsidP="0095124B">
    <w:pPr>
      <w:pStyle w:val="ZPZapatlich"/>
    </w:pPr>
    <w:r>
      <w:fldChar w:fldCharType="begin"/>
    </w:r>
    <w:r>
      <w:instrText>PAGE   \* MERGEFORMAT</w:instrText>
    </w:r>
    <w:r>
      <w:fldChar w:fldCharType="separate"/>
    </w:r>
    <w:r w:rsidR="00A05FCE">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9B528" w14:textId="77777777" w:rsidR="00F02FCC" w:rsidRPr="0089154B" w:rsidRDefault="00F02FCC" w:rsidP="00F02FCC">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 xml:space="preserve">ablona DP </w:t>
    </w:r>
    <w:r w:rsidR="002A18FA">
      <w:rPr>
        <w:color w:val="BFBFBF" w:themeColor="background1" w:themeShade="BF"/>
        <w:sz w:val="16"/>
        <w:szCs w:val="16"/>
        <w:lang w:val="en-US"/>
      </w:rPr>
      <w:t>3.4.1</w:t>
    </w:r>
    <w:r w:rsidR="006959C8">
      <w:rPr>
        <w:color w:val="BFBFBF" w:themeColor="background1" w:themeShade="BF"/>
        <w:sz w:val="16"/>
        <w:szCs w:val="16"/>
      </w:rPr>
      <w:t>-</w:t>
    </w:r>
    <w:r w:rsidR="002A18FA">
      <w:rPr>
        <w:color w:val="BFBFBF" w:themeColor="background1" w:themeShade="BF"/>
        <w:sz w:val="16"/>
        <w:szCs w:val="16"/>
        <w:lang w:val="en-US"/>
      </w:rPr>
      <w:t>LAW-dis</w:t>
    </w:r>
    <w:r>
      <w:rPr>
        <w:color w:val="BFBFBF" w:themeColor="background1" w:themeShade="BF"/>
        <w:sz w:val="16"/>
        <w:szCs w:val="16"/>
      </w:rPr>
      <w:t xml:space="preserve"> (</w:t>
    </w:r>
    <w:r w:rsidR="002A18FA">
      <w:rPr>
        <w:color w:val="BFBFBF" w:themeColor="background1" w:themeShade="BF"/>
        <w:sz w:val="16"/>
        <w:szCs w:val="16"/>
      </w:rPr>
      <w:t>2022-11-10</w:t>
    </w:r>
    <w:r w:rsidRPr="0089154B">
      <w:rPr>
        <w:color w:val="BFBFBF" w:themeColor="background1" w:themeShade="BF"/>
        <w:sz w:val="16"/>
        <w:szCs w:val="16"/>
      </w:rPr>
      <w:t>) © 2014, 2016</w:t>
    </w:r>
    <w:r>
      <w:rPr>
        <w:color w:val="BFBFBF" w:themeColor="background1" w:themeShade="BF"/>
        <w:sz w:val="16"/>
        <w:szCs w:val="16"/>
      </w:rPr>
      <w:t>, 2018</w:t>
    </w:r>
    <w:r w:rsidR="005904F8">
      <w:rPr>
        <w:color w:val="BFBFBF" w:themeColor="background1" w:themeShade="BF"/>
        <w:sz w:val="16"/>
        <w:szCs w:val="16"/>
      </w:rPr>
      <w:t>–202</w:t>
    </w:r>
    <w:r w:rsidR="00504943">
      <w:rPr>
        <w:color w:val="BFBFBF" w:themeColor="background1" w:themeShade="BF"/>
        <w:sz w:val="16"/>
        <w:szCs w:val="16"/>
      </w:rPr>
      <w:t>1</w:t>
    </w:r>
    <w:r w:rsidRPr="0089154B">
      <w:rPr>
        <w:color w:val="BFBFBF" w:themeColor="background1" w:themeShade="BF"/>
        <w:sz w:val="16"/>
        <w:szCs w:val="16"/>
      </w:rPr>
      <w:t xml:space="preserve"> </w:t>
    </w:r>
    <w:r w:rsidR="00C63745">
      <w:rPr>
        <w:color w:val="BFBFBF" w:themeColor="background1" w:themeShade="BF"/>
        <w:sz w:val="16"/>
        <w:szCs w:val="16"/>
      </w:rPr>
      <w:t>Masarykova univerzita</w:t>
    </w:r>
    <w:r w:rsidR="006A6C98">
      <w:rPr>
        <w:color w:val="BFBFBF" w:themeColor="background1" w:themeShade="BF"/>
        <w:sz w:val="16"/>
        <w:szCs w:val="16"/>
      </w:rPr>
      <w:tab/>
    </w:r>
    <w:r w:rsidR="006A6C98">
      <w:rPr>
        <w:smallCaps/>
        <w:noProof/>
      </w:rPr>
      <w:fldChar w:fldCharType="begin"/>
    </w:r>
    <w:r w:rsidR="006A6C98">
      <w:rPr>
        <w:smallCaps/>
        <w:noProof/>
      </w:rPr>
      <w:instrText>PAGE   \* MERGEFORMAT</w:instrText>
    </w:r>
    <w:r w:rsidR="006A6C98">
      <w:rPr>
        <w:smallCaps/>
        <w:noProof/>
      </w:rPr>
      <w:fldChar w:fldCharType="separate"/>
    </w:r>
    <w:r w:rsidR="00A05FCE">
      <w:rPr>
        <w:smallCaps/>
        <w:noProof/>
      </w:rPr>
      <w:t>9</w:t>
    </w:r>
    <w:r w:rsidR="006A6C98">
      <w:rPr>
        <w:small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AA5E" w14:textId="77777777" w:rsidR="0089154B" w:rsidRPr="0089154B" w:rsidRDefault="008B5E98"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8527" w14:textId="77777777" w:rsidR="0089154B" w:rsidRDefault="00E41640" w:rsidP="0095124B">
    <w:pPr>
      <w:pStyle w:val="ZPZapatlich"/>
    </w:pPr>
    <w:r>
      <w:fldChar w:fldCharType="begin"/>
    </w:r>
    <w:r>
      <w:instrText xml:space="preserve"> PAGE  \* Arabic  \* MERGEFORMAT </w:instrText>
    </w:r>
    <w:r>
      <w:fldChar w:fldCharType="separate"/>
    </w:r>
    <w:r w:rsidR="00A05FC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52130" w14:textId="77777777" w:rsidR="00FA6BAF" w:rsidRDefault="00FA6BAF">
      <w:r>
        <w:separator/>
      </w:r>
    </w:p>
  </w:footnote>
  <w:footnote w:type="continuationSeparator" w:id="0">
    <w:p w14:paraId="01EF5743" w14:textId="77777777" w:rsidR="00FA6BAF" w:rsidRDefault="00FA6BAF">
      <w:r>
        <w:continuationSeparator/>
      </w:r>
    </w:p>
  </w:footnote>
  <w:footnote w:type="continuationNotice" w:id="1">
    <w:p w14:paraId="72ABE6B8" w14:textId="77777777" w:rsidR="00FA6BAF" w:rsidRDefault="00FA6BAF"/>
  </w:footnote>
  <w:footnote w:id="2">
    <w:p w14:paraId="5E81642A" w14:textId="41516F01" w:rsidR="00195FE1" w:rsidRDefault="00195FE1">
      <w:pPr>
        <w:pStyle w:val="Textpoznpodarou"/>
      </w:pPr>
      <w:r>
        <w:rPr>
          <w:rStyle w:val="Znakapoznpodarou"/>
        </w:rPr>
        <w:footnoteRef/>
      </w:r>
      <w:r>
        <w:t xml:space="preserve"> Část této kapitoly byla publikována jako kapitola </w:t>
      </w:r>
      <w:r w:rsidR="006A25DA">
        <w:t xml:space="preserve">1.  článku: </w:t>
      </w:r>
      <w:r w:rsidR="006A25DA" w:rsidRPr="006A25DA">
        <w:t xml:space="preserve">Novotná, T. Síťová analýza v právu: Síťové metody a jejich využití pro získávání a vyhledávání právních informací. </w:t>
      </w:r>
      <w:r w:rsidR="006A25DA" w:rsidRPr="006A25DA">
        <w:rPr>
          <w:i/>
          <w:iCs/>
        </w:rPr>
        <w:t>Revue pro právo a technologie</w:t>
      </w:r>
      <w:r w:rsidR="006A25DA" w:rsidRPr="006A25DA">
        <w:t>. 2021, č. 24, s. 39–76.</w:t>
      </w:r>
      <w:r w:rsidR="00A13DA0">
        <w:t xml:space="preserve"> Zde byla rozšířena o další kontext v souvislosti s touto prací.</w:t>
      </w:r>
    </w:p>
  </w:footnote>
  <w:footnote w:id="3">
    <w:p w14:paraId="7CFB06EA" w14:textId="65827A77" w:rsidR="00FA43A5" w:rsidRDefault="00FA43A5" w:rsidP="00FA43A5">
      <w:pPr>
        <w:pStyle w:val="Textpoznpodarou"/>
      </w:pPr>
      <w:r>
        <w:rPr>
          <w:rStyle w:val="Znakapoznpodarou"/>
        </w:rPr>
        <w:footnoteRef/>
      </w:r>
      <w:r>
        <w:t xml:space="preserve"> </w:t>
      </w:r>
      <w:r w:rsidR="00F774D4" w:rsidRPr="00F774D4">
        <w:t xml:space="preserve">Susskind, R. E. </w:t>
      </w:r>
      <w:r w:rsidR="00F774D4" w:rsidRPr="00F774D4">
        <w:rPr>
          <w:i/>
          <w:iCs/>
        </w:rPr>
        <w:t>The Future of Law: Facing the Challenges of Information Technology</w:t>
      </w:r>
      <w:r w:rsidR="00F774D4" w:rsidRPr="00F774D4">
        <w:t>. Clarendon Press, 1998.</w:t>
      </w:r>
    </w:p>
  </w:footnote>
  <w:footnote w:id="4">
    <w:p w14:paraId="45454641" w14:textId="32D250C4" w:rsidR="00FA43A5" w:rsidRDefault="00FA43A5" w:rsidP="00FA43A5">
      <w:pPr>
        <w:pStyle w:val="Textpoznpodarou"/>
      </w:pPr>
      <w:r>
        <w:rPr>
          <w:rStyle w:val="Znakapoznpodarou"/>
        </w:rPr>
        <w:footnoteRef/>
      </w:r>
      <w:r>
        <w:t xml:space="preserve"> O požadavcích kladených konkrétně na promulgaci práva viz např.: POLČÁK, Radim. </w:t>
      </w:r>
      <w:r>
        <w:rPr>
          <w:i/>
          <w:iCs/>
        </w:rPr>
        <w:t>Internet a proměny práva</w:t>
      </w:r>
      <w:r>
        <w:t>. 1. vyd. Praha: Auditorium, 2012, s. 204 a 209, citující Benthama.</w:t>
      </w:r>
    </w:p>
  </w:footnote>
  <w:footnote w:id="5">
    <w:p w14:paraId="0DA50036" w14:textId="71568C97" w:rsidR="00FA43A5" w:rsidRDefault="00FA43A5" w:rsidP="00ED66F3">
      <w:pPr>
        <w:pStyle w:val="Textpoznpodarou"/>
      </w:pPr>
      <w:r>
        <w:rPr>
          <w:rStyle w:val="Znakapoznpodarou"/>
        </w:rPr>
        <w:footnoteRef/>
      </w:r>
      <w:r>
        <w:t xml:space="preserve"> Kognitivní poznatelností práva a vztahem k právním informačním systémům se zabývá např. </w:t>
      </w:r>
      <w:r w:rsidR="00ED66F3" w:rsidRPr="00ED66F3">
        <w:t xml:space="preserve">Ashley, K. D. </w:t>
      </w:r>
      <w:r w:rsidR="00ED66F3" w:rsidRPr="00ED66F3">
        <w:rPr>
          <w:i/>
          <w:iCs/>
        </w:rPr>
        <w:t>Artificial Intelligence and Legal Analytics: New Tools for Law Practice in the Digital Age</w:t>
      </w:r>
      <w:r w:rsidR="00ED66F3" w:rsidRPr="00ED66F3">
        <w:t>. Cambridge: Cambridge University Press, 2017.</w:t>
      </w:r>
    </w:p>
  </w:footnote>
  <w:footnote w:id="6">
    <w:p w14:paraId="37B7394B" w14:textId="23E0A515" w:rsidR="00FA43A5" w:rsidRDefault="00FA43A5" w:rsidP="00ED66F3">
      <w:pPr>
        <w:pStyle w:val="Textpoznpodarou"/>
      </w:pPr>
      <w:r>
        <w:rPr>
          <w:rStyle w:val="Znakapoznpodarou"/>
        </w:rPr>
        <w:footnoteRef/>
      </w:r>
      <w:r>
        <w:t xml:space="preserve"> V tomto ohledu lze zmínit výzkum Harašty, který se týká sekundárních pramenů, tedy soudních rozhodnutí, a ukazuje, že tři nejpoužívanější české právní informační systémy se velmi málo liší celkovým objemem judikatury, který obsahují, avšak výrazně se liší tím, jak tuto judikaturu zprostředkovávají k vyhledávání uživateli. Podmínku správnosti tedy splňují víceméně stejně, liší se však ve způsobech předkládání informací uživateli. Viz: </w:t>
      </w:r>
      <w:r w:rsidR="00ED66F3" w:rsidRPr="00ED66F3">
        <w:t xml:space="preserve">Harašta, J. Srovnávací studie právních informačních systémů: rozdíly mezi systémy při využití různých vyhledávacích strategií. </w:t>
      </w:r>
      <w:r w:rsidR="00ED66F3" w:rsidRPr="00ED66F3">
        <w:rPr>
          <w:i/>
          <w:iCs/>
        </w:rPr>
        <w:t>Revue pro právo a technologie</w:t>
      </w:r>
      <w:r w:rsidR="00ED66F3" w:rsidRPr="00ED66F3">
        <w:t>. 2020, č. 22, s. 219–260.</w:t>
      </w:r>
    </w:p>
  </w:footnote>
  <w:footnote w:id="7">
    <w:p w14:paraId="654D91EB" w14:textId="50779603" w:rsidR="00BF0406" w:rsidRDefault="00BF0406">
      <w:pPr>
        <w:pStyle w:val="Textpoznpodarou"/>
      </w:pPr>
      <w:r>
        <w:rPr>
          <w:rStyle w:val="Znakapoznpodarou"/>
        </w:rPr>
        <w:footnoteRef/>
      </w:r>
      <w:r>
        <w:t xml:space="preserve"> Viz podkapitola </w:t>
      </w:r>
      <w:r w:rsidR="005D250C">
        <w:t>4.1</w:t>
      </w:r>
      <w:r>
        <w:t xml:space="preserve"> Data.</w:t>
      </w:r>
    </w:p>
  </w:footnote>
  <w:footnote w:id="8">
    <w:p w14:paraId="0FC9A993" w14:textId="5A6EACEC" w:rsidR="00FA43A5" w:rsidRDefault="00FA43A5" w:rsidP="007444B7">
      <w:pPr>
        <w:pStyle w:val="Textpoznpodarou"/>
      </w:pPr>
      <w:r>
        <w:rPr>
          <w:rStyle w:val="Znakapoznpodarou"/>
        </w:rPr>
        <w:footnoteRef/>
      </w:r>
      <w:r>
        <w:t xml:space="preserve"> </w:t>
      </w:r>
      <w:r w:rsidRPr="00895EFD">
        <w:t>Malmgren</w:t>
      </w:r>
      <w:r w:rsidR="007444B7">
        <w:t>, S</w:t>
      </w:r>
      <w:r w:rsidRPr="00895EFD">
        <w:t xml:space="preserve">, </w:t>
      </w:r>
      <w:r w:rsidRPr="00895EFD">
        <w:rPr>
          <w:i/>
          <w:iCs/>
        </w:rPr>
        <w:t>Towards a Theory of Jurisprudential Relevance Ranking – Using Link Analysis</w:t>
      </w:r>
      <w:r w:rsidR="00F73DC3">
        <w:rPr>
          <w:i/>
          <w:iCs/>
        </w:rPr>
        <w:t xml:space="preserve"> on EU Case Law</w:t>
      </w:r>
      <w:r w:rsidR="007444B7">
        <w:rPr>
          <w:i/>
          <w:iCs/>
        </w:rPr>
        <w:t>.</w:t>
      </w:r>
      <w:r w:rsidRPr="00895EFD">
        <w:t xml:space="preserve"> 2011</w:t>
      </w:r>
      <w:r>
        <w:t xml:space="preserve">, </w:t>
      </w:r>
      <w:r w:rsidR="007444B7">
        <w:t xml:space="preserve">graduate thesis, Faculty of Law, </w:t>
      </w:r>
      <w:r w:rsidR="007444B7" w:rsidRPr="007444B7">
        <w:t>Stockholm University</w:t>
      </w:r>
      <w:r w:rsidR="007444B7">
        <w:t>,</w:t>
      </w:r>
      <w:r w:rsidR="007444B7" w:rsidRPr="007444B7">
        <w:t xml:space="preserve"> </w:t>
      </w:r>
      <w:r>
        <w:t>s. 6 a násl.</w:t>
      </w:r>
      <w:r w:rsidR="007444B7" w:rsidRPr="007444B7">
        <w:rPr>
          <w:rFonts w:ascii="Times New Roman" w:hAnsi="Times New Roman"/>
        </w:rPr>
        <w:t xml:space="preserve"> </w:t>
      </w:r>
    </w:p>
  </w:footnote>
  <w:footnote w:id="9">
    <w:p w14:paraId="467B2798" w14:textId="5BCCF4B0" w:rsidR="00FA43A5" w:rsidRDefault="00FA43A5" w:rsidP="007444B7">
      <w:pPr>
        <w:pStyle w:val="Textpoznpodarou"/>
      </w:pPr>
      <w:r>
        <w:rPr>
          <w:rStyle w:val="Znakapoznpodarou"/>
        </w:rPr>
        <w:footnoteRef/>
      </w:r>
      <w:r>
        <w:t xml:space="preserve"> Jedná se o tzv. bibliografickou relevanci dle kategorizace viz:</w:t>
      </w:r>
      <w:r w:rsidR="007444B7">
        <w:t xml:space="preserve"> </w:t>
      </w:r>
      <w:r w:rsidR="007444B7" w:rsidRPr="007444B7">
        <w:t xml:space="preserve">Van Opijnen, M., Santos, C. On the concept of relevance in legal information retrieval. </w:t>
      </w:r>
      <w:r w:rsidR="007444B7" w:rsidRPr="007444B7">
        <w:rPr>
          <w:i/>
          <w:iCs/>
        </w:rPr>
        <w:t>Artificial Intelligence and Law</w:t>
      </w:r>
      <w:r w:rsidR="007444B7" w:rsidRPr="007444B7">
        <w:t xml:space="preserve">. 2017, č. 1, s. </w:t>
      </w:r>
      <w:r w:rsidR="00467A5A">
        <w:t>71</w:t>
      </w:r>
      <w:r w:rsidR="007444B7" w:rsidRPr="007444B7">
        <w:t>.</w:t>
      </w:r>
    </w:p>
  </w:footnote>
  <w:footnote w:id="10">
    <w:p w14:paraId="7DAADF16" w14:textId="0AB5FF9B" w:rsidR="00FA43A5" w:rsidRDefault="00FA43A5" w:rsidP="00FA43A5">
      <w:pPr>
        <w:pStyle w:val="Textpoznpodarou"/>
      </w:pPr>
      <w:r>
        <w:rPr>
          <w:rStyle w:val="Znakapoznpodarou"/>
        </w:rPr>
        <w:footnoteRef/>
      </w:r>
      <w:r>
        <w:t xml:space="preserve"> </w:t>
      </w:r>
      <w:r w:rsidR="00F73DC3" w:rsidRPr="00F73DC3">
        <w:t xml:space="preserve">Malmgren, S, </w:t>
      </w:r>
      <w:r w:rsidR="00F73DC3" w:rsidRPr="00F73DC3">
        <w:rPr>
          <w:i/>
          <w:iCs/>
        </w:rPr>
        <w:t>Towards a Theory of Jurisprudential Relevance Ranking – Using Link Analysis on EU Case Law.</w:t>
      </w:r>
      <w:r w:rsidR="00F73DC3" w:rsidRPr="00F73DC3">
        <w:t xml:space="preserve"> 2011, graduate thesis, Faculty of Law, Stockholm University, s. </w:t>
      </w:r>
      <w:r w:rsidR="00F73DC3">
        <w:t>7</w:t>
      </w:r>
      <w:r w:rsidR="00F73DC3" w:rsidRPr="00F73DC3">
        <w:t xml:space="preserve"> a násl.</w:t>
      </w:r>
    </w:p>
  </w:footnote>
  <w:footnote w:id="11">
    <w:p w14:paraId="1F3D4C46" w14:textId="77777777" w:rsidR="00FA43A5" w:rsidRDefault="00FA43A5" w:rsidP="00FA43A5">
      <w:pPr>
        <w:pStyle w:val="Textpoznpodarou"/>
      </w:pPr>
      <w:r>
        <w:rPr>
          <w:rStyle w:val="Znakapoznpodarou"/>
        </w:rPr>
        <w:footnoteRef/>
      </w:r>
      <w:r>
        <w:t xml:space="preserve"> Jedná se o metriky </w:t>
      </w:r>
      <w:r>
        <w:rPr>
          <w:i/>
          <w:iCs/>
        </w:rPr>
        <w:t>precision</w:t>
      </w:r>
      <w:r>
        <w:t xml:space="preserve"> a </w:t>
      </w:r>
      <w:r>
        <w:rPr>
          <w:i/>
          <w:iCs/>
        </w:rPr>
        <w:t>recall</w:t>
      </w:r>
      <w:r>
        <w:t xml:space="preserve">. Konkrétně jsou na příkladu českých právních informačních systémů popsány např. v: HARAŠTA, Jakub. Srovnávací studie právních informačních systémů: rozdíly mezi systémy při využití různých vyhledávacích strategií. </w:t>
      </w:r>
      <w:r>
        <w:rPr>
          <w:i/>
          <w:iCs/>
        </w:rPr>
        <w:t>Revue pro právo a technologie</w:t>
      </w:r>
      <w:r>
        <w:t xml:space="preserve">. Masarykova univerzita, 2020, roč. 11, č. 22, s. 225 s odkazem na: ASHLEY, Kevin. </w:t>
      </w:r>
      <w:r>
        <w:rPr>
          <w:i/>
          <w:iCs/>
        </w:rPr>
        <w:t>Artificial Intelligence and Legal Analytics: New Tools for Law Practice in the Digital Age</w:t>
      </w:r>
      <w:r>
        <w:t>. Cambridge: Cambridge University Press, 2017, s. 222.</w:t>
      </w:r>
    </w:p>
  </w:footnote>
  <w:footnote w:id="12">
    <w:p w14:paraId="0DA3E7E2" w14:textId="05DE6E41" w:rsidR="00FA43A5" w:rsidRDefault="00FA43A5" w:rsidP="00FA43A5">
      <w:pPr>
        <w:pStyle w:val="Textpoznpodarou"/>
      </w:pPr>
      <w:r>
        <w:rPr>
          <w:rStyle w:val="Znakapoznpodarou"/>
        </w:rPr>
        <w:footnoteRef/>
      </w:r>
      <w:r>
        <w:t xml:space="preserve"> </w:t>
      </w:r>
      <w:r w:rsidR="00076173" w:rsidRPr="00076173">
        <w:t xml:space="preserve">Van Opijnen, M., Santos, C. On the concept of relevance in legal information retrieval. </w:t>
      </w:r>
      <w:r w:rsidR="00076173" w:rsidRPr="00076173">
        <w:rPr>
          <w:i/>
          <w:iCs/>
        </w:rPr>
        <w:t>Artificial Intelligence and Law</w:t>
      </w:r>
      <w:r w:rsidR="00076173" w:rsidRPr="00076173">
        <w:t xml:space="preserve">. 2017, č. 1, s. </w:t>
      </w:r>
      <w:r w:rsidR="00467A5A">
        <w:t>70-71</w:t>
      </w:r>
      <w:r w:rsidR="00076173" w:rsidRPr="00076173">
        <w:t>.</w:t>
      </w:r>
    </w:p>
  </w:footnote>
  <w:footnote w:id="13">
    <w:p w14:paraId="64038365" w14:textId="0B70F04F" w:rsidR="00FA43A5" w:rsidRDefault="00FA43A5" w:rsidP="00FA43A5">
      <w:pPr>
        <w:pStyle w:val="Textpoznpodarou"/>
      </w:pPr>
      <w:r>
        <w:rPr>
          <w:rStyle w:val="Znakapoznpodarou"/>
        </w:rPr>
        <w:footnoteRef/>
      </w:r>
      <w:r>
        <w:t xml:space="preserve"> Blíže jsou termíny síťová analýza v užším a širším smyslu a související terminologie vysvětleny v kapitole </w:t>
      </w:r>
      <w:r w:rsidR="00D26529">
        <w:t>3</w:t>
      </w:r>
      <w:r>
        <w:t xml:space="preserve"> </w:t>
      </w:r>
      <w:r w:rsidR="00D26529">
        <w:t>Přehled literatury</w:t>
      </w:r>
      <w:r>
        <w:t>.</w:t>
      </w:r>
    </w:p>
  </w:footnote>
  <w:footnote w:id="14">
    <w:p w14:paraId="0298D8B4" w14:textId="2500BD19" w:rsidR="003E2B59" w:rsidRDefault="003E2B59" w:rsidP="003E2B59">
      <w:pPr>
        <w:pStyle w:val="Textpoznpodarou"/>
      </w:pPr>
      <w:r>
        <w:rPr>
          <w:rStyle w:val="Znakapoznpodarou"/>
        </w:rPr>
        <w:footnoteRef/>
      </w:r>
      <w:r>
        <w:t xml:space="preserve"> Podkapitola </w:t>
      </w:r>
      <w:r w:rsidR="008E79A9">
        <w:t>3.6.1</w:t>
      </w:r>
      <w:r>
        <w:t>.</w:t>
      </w:r>
    </w:p>
  </w:footnote>
  <w:footnote w:id="15">
    <w:p w14:paraId="2A54D60A" w14:textId="38319848" w:rsidR="006E46CB" w:rsidRDefault="006E46CB" w:rsidP="008C2E58">
      <w:pPr>
        <w:pStyle w:val="Textpoznpodarou"/>
      </w:pPr>
      <w:r>
        <w:rPr>
          <w:rStyle w:val="Znakapoznpodarou"/>
        </w:rPr>
        <w:footnoteRef/>
      </w:r>
      <w:r>
        <w:t xml:space="preserve"> </w:t>
      </w:r>
      <w:r w:rsidR="008C2E58">
        <w:t xml:space="preserve">Tato kapitola byla publikována jako odborný článek v: </w:t>
      </w:r>
      <w:r w:rsidR="008C2E58" w:rsidRPr="008C2E58">
        <w:t xml:space="preserve">Novotná, T. Síťová analýza v právu: Síťové metody a jejich využití pro získávání a vyhledávání právních informací. </w:t>
      </w:r>
      <w:r w:rsidR="008C2E58" w:rsidRPr="008C2E58">
        <w:rPr>
          <w:i/>
          <w:iCs/>
        </w:rPr>
        <w:t>Revue pro právo a technologie</w:t>
      </w:r>
      <w:r w:rsidR="008C2E58" w:rsidRPr="008C2E58">
        <w:t>. 2021, č. 24, s. 39–76.</w:t>
      </w:r>
      <w:r w:rsidR="008C2E58">
        <w:t xml:space="preserve"> Oproti tomuto článku je aktualizovaná o relevantní zdroje k datu 10. 2. 2023</w:t>
      </w:r>
      <w:r w:rsidR="006047EB">
        <w:t xml:space="preserve"> a o kontextuální informace související s výzkumem představovaným v této práci.</w:t>
      </w:r>
    </w:p>
  </w:footnote>
  <w:footnote w:id="16">
    <w:p w14:paraId="4D071F4B" w14:textId="20DFAC98" w:rsidR="00947E41" w:rsidRDefault="00947E41" w:rsidP="00542C25">
      <w:pPr>
        <w:pStyle w:val="Textpoznpodarou"/>
      </w:pPr>
      <w:r>
        <w:rPr>
          <w:rStyle w:val="Znakapoznpodarou"/>
        </w:rPr>
        <w:footnoteRef/>
      </w:r>
      <w:r>
        <w:t xml:space="preserve"> </w:t>
      </w:r>
      <w:r w:rsidR="00542C25" w:rsidRPr="00542C25">
        <w:t xml:space="preserve">De Nooy, W., Mrvar, A., Batagelj, V. </w:t>
      </w:r>
      <w:r w:rsidR="00542C25" w:rsidRPr="00542C25">
        <w:rPr>
          <w:i/>
          <w:iCs/>
        </w:rPr>
        <w:t>Exploratory Social Network Analysis with Pajek: Revised and Expanded Edition for Updated Software</w:t>
      </w:r>
      <w:r w:rsidR="00542C25" w:rsidRPr="00542C25">
        <w:t>. Cambridge: Cambridge University Press, 2018</w:t>
      </w:r>
      <w:r w:rsidR="00542C25">
        <w:t xml:space="preserve">, s. 5. </w:t>
      </w:r>
      <w:r w:rsidR="00542C25" w:rsidRPr="00542C25">
        <w:t xml:space="preserve">Watts, D. J. </w:t>
      </w:r>
      <w:r w:rsidR="00542C25" w:rsidRPr="00542C25">
        <w:rPr>
          <w:i/>
          <w:iCs/>
        </w:rPr>
        <w:t>Six Degrees: The Science of a Connected Age</w:t>
      </w:r>
      <w:r w:rsidR="00542C25" w:rsidRPr="00542C25">
        <w:t>. Vintage, 2004</w:t>
      </w:r>
      <w:r w:rsidR="00542C25">
        <w:t>, s. 27 a násl.</w:t>
      </w:r>
      <w:r w:rsidR="00542C25" w:rsidRPr="00542C25">
        <w:rPr>
          <w:rFonts w:ascii="Times New Roman" w:hAnsi="Times New Roman"/>
        </w:rPr>
        <w:t xml:space="preserve"> </w:t>
      </w:r>
      <w:r w:rsidR="00542C25" w:rsidRPr="00542C25">
        <w:t xml:space="preserve">Forse, M. Introducing Social Networks. </w:t>
      </w:r>
      <w:r w:rsidR="00542C25" w:rsidRPr="00542C25">
        <w:rPr>
          <w:i/>
          <w:iCs/>
        </w:rPr>
        <w:t>Introducing Social Networks</w:t>
      </w:r>
      <w:r w:rsidR="00542C25" w:rsidRPr="00542C25">
        <w:t xml:space="preserve">. 1999, s. </w:t>
      </w:r>
      <w:r w:rsidR="00542C25">
        <w:t>5</w:t>
      </w:r>
      <w:r w:rsidR="00542C25" w:rsidRPr="00542C25">
        <w:t>.</w:t>
      </w:r>
    </w:p>
  </w:footnote>
  <w:footnote w:id="17">
    <w:p w14:paraId="5D92818F" w14:textId="236828B9" w:rsidR="00947E41" w:rsidRDefault="00947E41" w:rsidP="00753D8C">
      <w:pPr>
        <w:pStyle w:val="Textpoznpodarou"/>
      </w:pPr>
      <w:r>
        <w:rPr>
          <w:rStyle w:val="Znakapoznpodarou"/>
        </w:rPr>
        <w:footnoteRef/>
      </w:r>
      <w:r>
        <w:t xml:space="preserve"> </w:t>
      </w:r>
      <w:r w:rsidR="00753D8C" w:rsidRPr="00753D8C">
        <w:t xml:space="preserve">Wasserman, S., Faust, K. </w:t>
      </w:r>
      <w:r w:rsidR="00753D8C" w:rsidRPr="00753D8C">
        <w:rPr>
          <w:i/>
          <w:iCs/>
        </w:rPr>
        <w:t>Social network analysis:  Methods and applications</w:t>
      </w:r>
      <w:r w:rsidR="00753D8C" w:rsidRPr="00753D8C">
        <w:t>. New York, NY, US: Cambridge University Press, 1994</w:t>
      </w:r>
      <w:r w:rsidR="00753D8C">
        <w:t>,</w:t>
      </w:r>
      <w:r w:rsidR="00753D8C" w:rsidRPr="00753D8C">
        <w:t xml:space="preserve"> </w:t>
      </w:r>
      <w:r w:rsidR="00753D8C">
        <w:t>s. 4 – 5.</w:t>
      </w:r>
    </w:p>
  </w:footnote>
  <w:footnote w:id="18">
    <w:p w14:paraId="5881447B" w14:textId="36E9D10E" w:rsidR="00947E41" w:rsidRDefault="00947E41" w:rsidP="00D3639E">
      <w:pPr>
        <w:pStyle w:val="Textpoznpodarou"/>
      </w:pPr>
      <w:r>
        <w:rPr>
          <w:rStyle w:val="Znakapoznpodarou"/>
        </w:rPr>
        <w:footnoteRef/>
      </w:r>
      <w:r>
        <w:t xml:space="preserve"> </w:t>
      </w:r>
      <w:r w:rsidR="00D3639E" w:rsidRPr="00D3639E">
        <w:t xml:space="preserve">Carrington, P. J., Scott, J., Wasserman, S. (eds). </w:t>
      </w:r>
      <w:r w:rsidR="00D3639E" w:rsidRPr="00D3639E">
        <w:rPr>
          <w:i/>
          <w:iCs/>
        </w:rPr>
        <w:t>Models and Methods in Social Network Analysis</w:t>
      </w:r>
      <w:r w:rsidR="00D3639E" w:rsidRPr="00D3639E">
        <w:t>. Cambridge: Cambridge University Press, 2005</w:t>
      </w:r>
      <w:r w:rsidR="00D3639E">
        <w:t>, s. 248 – 251.</w:t>
      </w:r>
    </w:p>
  </w:footnote>
  <w:footnote w:id="19">
    <w:p w14:paraId="617E5AD6" w14:textId="05F69F15" w:rsidR="00E10B48" w:rsidRPr="00E10B48" w:rsidRDefault="00947E41" w:rsidP="00E10B48">
      <w:pPr>
        <w:pStyle w:val="Textpoznpodarou"/>
      </w:pPr>
      <w:r>
        <w:rPr>
          <w:rStyle w:val="Znakapoznpodarou"/>
        </w:rPr>
        <w:footnoteRef/>
      </w:r>
      <w:r>
        <w:t xml:space="preserve"> </w:t>
      </w:r>
      <w:r w:rsidR="00E10B48" w:rsidRPr="00E10B48">
        <w:t xml:space="preserve">Wellman, B., Berkowitz, S. D. </w:t>
      </w:r>
      <w:r w:rsidR="00E10B48" w:rsidRPr="00E10B48">
        <w:rPr>
          <w:i/>
          <w:iCs/>
        </w:rPr>
        <w:t>Social Structures: A Network Approach</w:t>
      </w:r>
      <w:r w:rsidR="00E10B48" w:rsidRPr="00E10B48">
        <w:t>. CUP Archive, 1988</w:t>
      </w:r>
      <w:r w:rsidR="00E10B48">
        <w:t>, s. 20.</w:t>
      </w:r>
    </w:p>
    <w:p w14:paraId="29A9055B" w14:textId="476FB303" w:rsidR="00947E41" w:rsidRDefault="00947E41" w:rsidP="00E10B48">
      <w:pPr>
        <w:pStyle w:val="Textpoznpodarou"/>
      </w:pPr>
    </w:p>
  </w:footnote>
  <w:footnote w:id="20">
    <w:p w14:paraId="3484756B" w14:textId="49B8D93C" w:rsidR="00332EA6" w:rsidRDefault="00332EA6" w:rsidP="003D3EC4">
      <w:pPr>
        <w:pStyle w:val="Textpoznpodarou"/>
      </w:pPr>
      <w:r>
        <w:rPr>
          <w:rStyle w:val="Znakapoznpodarou"/>
        </w:rPr>
        <w:footnoteRef/>
      </w:r>
      <w:r>
        <w:t xml:space="preserve"> </w:t>
      </w:r>
      <w:r w:rsidR="003D3EC4" w:rsidRPr="003D3EC4">
        <w:t xml:space="preserve">Bradley, R. E., Sandifer, E. </w:t>
      </w:r>
      <w:r w:rsidR="003D3EC4" w:rsidRPr="003D3EC4">
        <w:rPr>
          <w:i/>
          <w:iCs/>
        </w:rPr>
        <w:t>Leonhard Euler: Life, Work and Legacy</w:t>
      </w:r>
      <w:r w:rsidR="003D3EC4" w:rsidRPr="003D3EC4">
        <w:t>. Elsevier, 2007</w:t>
      </w:r>
      <w:r w:rsidR="003D3EC4">
        <w:t>,</w:t>
      </w:r>
      <w:r w:rsidR="003D3EC4" w:rsidRPr="003D3EC4">
        <w:rPr>
          <w:sz w:val="24"/>
          <w:szCs w:val="24"/>
        </w:rPr>
        <w:t xml:space="preserve"> </w:t>
      </w:r>
      <w:r w:rsidR="003D3EC4" w:rsidRPr="003D3EC4">
        <w:t>s. 409 a násl</w:t>
      </w:r>
      <w:r w:rsidR="003D3EC4">
        <w:t>.</w:t>
      </w:r>
    </w:p>
  </w:footnote>
  <w:footnote w:id="21">
    <w:p w14:paraId="589959BE" w14:textId="77777777" w:rsidR="00332EA6" w:rsidRDefault="00332EA6" w:rsidP="00332EA6">
      <w:pPr>
        <w:pStyle w:val="Textpoznpodarou"/>
      </w:pPr>
      <w:r>
        <w:rPr>
          <w:rStyle w:val="Znakapoznpodarou"/>
        </w:rPr>
        <w:footnoteRef/>
      </w:r>
      <w:r>
        <w:t xml:space="preserve"> Zejména díky dnes už dostupným softwarům (jako např. Gephi) či modulům implementovaným do programovacích jazyků (jako např. Gensim pro Python či dostupné moduly pro R).</w:t>
      </w:r>
    </w:p>
  </w:footnote>
  <w:footnote w:id="22">
    <w:p w14:paraId="0E14BFFE" w14:textId="543EB7B1" w:rsidR="00332EA6" w:rsidRDefault="00332EA6" w:rsidP="003D3EC4">
      <w:pPr>
        <w:pStyle w:val="Textpoznpodarou"/>
      </w:pPr>
      <w:r>
        <w:rPr>
          <w:rStyle w:val="Znakapoznpodarou"/>
        </w:rPr>
        <w:footnoteRef/>
      </w:r>
      <w:r>
        <w:t xml:space="preserve"> Např.:  </w:t>
      </w:r>
      <w:r w:rsidR="003D3EC4" w:rsidRPr="003D3EC4">
        <w:t xml:space="preserve">Horvath, S. </w:t>
      </w:r>
      <w:r w:rsidR="003D3EC4" w:rsidRPr="003D3EC4">
        <w:rPr>
          <w:i/>
          <w:iCs/>
        </w:rPr>
        <w:t>Weighted Network Analysis: Applications in Genomics and Systems Biology</w:t>
      </w:r>
      <w:r w:rsidR="003D3EC4" w:rsidRPr="003D3EC4">
        <w:t>. New York: Springer-Verlag, 2011.</w:t>
      </w:r>
    </w:p>
  </w:footnote>
  <w:footnote w:id="23">
    <w:p w14:paraId="4D163150" w14:textId="6D5C7583" w:rsidR="00332EA6" w:rsidRDefault="00332EA6" w:rsidP="003D3EC4">
      <w:pPr>
        <w:pStyle w:val="Textpoznpodarou"/>
      </w:pPr>
      <w:r>
        <w:rPr>
          <w:rStyle w:val="Znakapoznpodarou"/>
        </w:rPr>
        <w:footnoteRef/>
      </w:r>
      <w:r>
        <w:t xml:space="preserve"> Např.:</w:t>
      </w:r>
      <w:r w:rsidR="003D3EC4">
        <w:t xml:space="preserve"> </w:t>
      </w:r>
      <w:r w:rsidR="003D3EC4" w:rsidRPr="003D3EC4">
        <w:t xml:space="preserve">Kipling, A. L., Thompson, Michael. Network analysis method applied to liquid-phase acoustic wave sensors. </w:t>
      </w:r>
      <w:r w:rsidR="003D3EC4" w:rsidRPr="003D3EC4">
        <w:rPr>
          <w:i/>
          <w:iCs/>
        </w:rPr>
        <w:t>Analytical Chemistry</w:t>
      </w:r>
      <w:r w:rsidR="003D3EC4" w:rsidRPr="003D3EC4">
        <w:t>. 1990, č. 14, s. 1514–1519.</w:t>
      </w:r>
      <w:r w:rsidR="003D3EC4">
        <w:t xml:space="preserve"> </w:t>
      </w:r>
      <w:r w:rsidR="003D3EC4" w:rsidRPr="003D3EC4">
        <w:t xml:space="preserve">Carlucci, L., Ciani, G., Proserpio, D. M. Polycatenation, polythreading and polyknotting in coordination network chemistry. </w:t>
      </w:r>
      <w:r w:rsidR="003D3EC4" w:rsidRPr="003D3EC4">
        <w:rPr>
          <w:i/>
          <w:iCs/>
        </w:rPr>
        <w:t>Coordination Chemistry Reviews</w:t>
      </w:r>
      <w:r w:rsidR="003D3EC4" w:rsidRPr="003D3EC4">
        <w:t>. 2003, č. 1, s. 247–289.</w:t>
      </w:r>
    </w:p>
  </w:footnote>
  <w:footnote w:id="24">
    <w:p w14:paraId="676EB32F" w14:textId="5921CAF8" w:rsidR="00332EA6" w:rsidRDefault="00332EA6" w:rsidP="00536C4F">
      <w:pPr>
        <w:pStyle w:val="Textpoznpodarou"/>
      </w:pPr>
      <w:r>
        <w:rPr>
          <w:rStyle w:val="Znakapoznpodarou"/>
        </w:rPr>
        <w:footnoteRef/>
      </w:r>
      <w:r>
        <w:t xml:space="preserve"> Např.: </w:t>
      </w:r>
      <w:r w:rsidR="00536C4F" w:rsidRPr="00536C4F">
        <w:t xml:space="preserve">Rücker, G. Network meta-analysis, electrical networks and graph theory. </w:t>
      </w:r>
      <w:r w:rsidR="00536C4F" w:rsidRPr="00536C4F">
        <w:rPr>
          <w:i/>
          <w:iCs/>
        </w:rPr>
        <w:t>Research Synthesis Methods</w:t>
      </w:r>
      <w:r w:rsidR="00536C4F" w:rsidRPr="00536C4F">
        <w:t>. 2012, č. 4, s. 312–324.</w:t>
      </w:r>
    </w:p>
  </w:footnote>
  <w:footnote w:id="25">
    <w:p w14:paraId="43679AB1" w14:textId="52542CA2" w:rsidR="007B7C2D" w:rsidRDefault="007B7C2D">
      <w:pPr>
        <w:pStyle w:val="Textpoznpodarou"/>
      </w:pPr>
      <w:r>
        <w:rPr>
          <w:rStyle w:val="Znakapoznpodarou"/>
        </w:rPr>
        <w:footnoteRef/>
      </w:r>
      <w:r>
        <w:t xml:space="preserve"> SCOTT, John. </w:t>
      </w:r>
      <w:r>
        <w:rPr>
          <w:i/>
          <w:iCs/>
        </w:rPr>
        <w:t>Social Network Analysis</w:t>
      </w:r>
      <w:r>
        <w:t>. 4th Edition. Los Angeles: SAGE Publications, 2017, s. 10.</w:t>
      </w:r>
    </w:p>
  </w:footnote>
  <w:footnote w:id="26">
    <w:p w14:paraId="7570D1F5" w14:textId="4AEBC4E4" w:rsidR="007B7C2D" w:rsidRDefault="007B7C2D">
      <w:pPr>
        <w:pStyle w:val="Textpoznpodarou"/>
      </w:pPr>
      <w:r>
        <w:rPr>
          <w:rStyle w:val="Znakapoznpodarou"/>
        </w:rPr>
        <w:footnoteRef/>
      </w:r>
      <w:r>
        <w:t xml:space="preserve"> </w:t>
      </w:r>
      <w:r w:rsidR="00740693" w:rsidRPr="00740693">
        <w:t xml:space="preserve">SCOTT, John. </w:t>
      </w:r>
      <w:r w:rsidR="00740693" w:rsidRPr="00740693">
        <w:rPr>
          <w:i/>
          <w:iCs/>
        </w:rPr>
        <w:t>Social Network Analysis</w:t>
      </w:r>
      <w:r w:rsidR="00740693" w:rsidRPr="00740693">
        <w:t>. 4th Edition. Los Angeles: SAGE Publications, 2017</w:t>
      </w:r>
      <w:r>
        <w:t>, s. 12.</w:t>
      </w:r>
    </w:p>
  </w:footnote>
  <w:footnote w:id="27">
    <w:p w14:paraId="1EFB93CD" w14:textId="423D6BCD" w:rsidR="007B7C2D" w:rsidRDefault="007B7C2D" w:rsidP="00133AA7">
      <w:pPr>
        <w:pStyle w:val="Textpoznpodarou"/>
      </w:pPr>
      <w:r>
        <w:rPr>
          <w:rStyle w:val="Znakapoznpodarou"/>
        </w:rPr>
        <w:footnoteRef/>
      </w:r>
      <w:r>
        <w:t xml:space="preserve"> Lze uvést např.: </w:t>
      </w:r>
      <w:r w:rsidR="00133AA7" w:rsidRPr="00133AA7">
        <w:t xml:space="preserve">Otte, E., Rousseau, R. Social network analysis: a powerful strategy, also for the information sciences. </w:t>
      </w:r>
      <w:r w:rsidR="00133AA7" w:rsidRPr="00133AA7">
        <w:rPr>
          <w:i/>
          <w:iCs/>
        </w:rPr>
        <w:t>Journal of Information Science</w:t>
      </w:r>
      <w:r w:rsidR="00133AA7" w:rsidRPr="00133AA7">
        <w:t>. 2002, č. 6, s. 441–453</w:t>
      </w:r>
      <w:r w:rsidR="00133AA7">
        <w:t>.</w:t>
      </w:r>
      <w:r>
        <w:t xml:space="preserve"> </w:t>
      </w:r>
      <w:r w:rsidR="00133AA7" w:rsidRPr="00133AA7">
        <w:t xml:space="preserve">Emirbayer, M., Goodwin, J. Network Analysis, Culture, and the Problem of Agency. </w:t>
      </w:r>
      <w:r w:rsidR="00133AA7" w:rsidRPr="00133AA7">
        <w:rPr>
          <w:i/>
          <w:iCs/>
        </w:rPr>
        <w:t>American Journal of Sociology</w:t>
      </w:r>
      <w:r w:rsidR="00133AA7" w:rsidRPr="00133AA7">
        <w:t>. 1994, č. 6, s. 1411–1454</w:t>
      </w:r>
      <w:r w:rsidR="00133AA7">
        <w:t>.</w:t>
      </w:r>
      <w:r>
        <w:t xml:space="preserve"> </w:t>
      </w:r>
      <w:r w:rsidR="00133AA7" w:rsidRPr="00133AA7">
        <w:t>Scott, J. T</w:t>
      </w:r>
      <w:r w:rsidR="00133AA7">
        <w:t>rend</w:t>
      </w:r>
      <w:r w:rsidR="00133AA7" w:rsidRPr="00133AA7">
        <w:t xml:space="preserve"> </w:t>
      </w:r>
      <w:r w:rsidR="00133AA7">
        <w:t>report</w:t>
      </w:r>
      <w:r w:rsidR="00133AA7" w:rsidRPr="00133AA7">
        <w:t xml:space="preserve"> </w:t>
      </w:r>
      <w:r w:rsidR="00133AA7">
        <w:t>social network analysis</w:t>
      </w:r>
      <w:r w:rsidR="00133AA7" w:rsidRPr="00133AA7">
        <w:t xml:space="preserve">. </w:t>
      </w:r>
      <w:r w:rsidR="00133AA7" w:rsidRPr="00133AA7">
        <w:rPr>
          <w:i/>
          <w:iCs/>
        </w:rPr>
        <w:t>Sociology</w:t>
      </w:r>
      <w:r w:rsidR="00133AA7" w:rsidRPr="00133AA7">
        <w:t>. 1988, č. 1, s. 109–127.</w:t>
      </w:r>
      <w:r w:rsidR="00133AA7" w:rsidRPr="00133AA7">
        <w:rPr>
          <w:rFonts w:ascii="Times New Roman" w:hAnsi="Times New Roman"/>
        </w:rPr>
        <w:t xml:space="preserve"> </w:t>
      </w:r>
      <w:r w:rsidR="00133AA7" w:rsidRPr="00133AA7">
        <w:t xml:space="preserve">Cook, K. S., Whitmeyer, J. M. Two Approaches to Social Structure: Exchange Theory and Network Analysis. </w:t>
      </w:r>
      <w:r w:rsidR="00133AA7" w:rsidRPr="00133AA7">
        <w:rPr>
          <w:i/>
          <w:iCs/>
        </w:rPr>
        <w:t>Annual Review of Sociology</w:t>
      </w:r>
      <w:r w:rsidR="00133AA7" w:rsidRPr="00133AA7">
        <w:t>. 1992, č. 1, s. 109–127.</w:t>
      </w:r>
    </w:p>
  </w:footnote>
  <w:footnote w:id="28">
    <w:p w14:paraId="0A5953B2" w14:textId="58F0CD5C" w:rsidR="007B7C2D" w:rsidRPr="0063456C" w:rsidRDefault="007B7C2D" w:rsidP="0063456C">
      <w:pPr>
        <w:pStyle w:val="Textpoznpodarou"/>
      </w:pPr>
      <w:r>
        <w:rPr>
          <w:rStyle w:val="Znakapoznpodarou"/>
        </w:rPr>
        <w:footnoteRef/>
      </w:r>
      <w:r>
        <w:t xml:space="preserve"> </w:t>
      </w:r>
      <w:r w:rsidRPr="007B7C2D">
        <w:rPr>
          <w:lang w:val="en"/>
        </w:rPr>
        <w:t xml:space="preserve">Lze uvést např.: </w:t>
      </w:r>
      <w:r w:rsidR="0063456C" w:rsidRPr="0063456C">
        <w:t xml:space="preserve">Smith, D. A., White, D. R. Structure and Dynamics of the Global Economy: Network Analysis of International Trade 1965–1980. </w:t>
      </w:r>
      <w:r w:rsidR="0063456C" w:rsidRPr="0063456C">
        <w:rPr>
          <w:i/>
          <w:iCs/>
        </w:rPr>
        <w:t>Social Forces</w:t>
      </w:r>
      <w:r w:rsidR="0063456C" w:rsidRPr="0063456C">
        <w:t>. 1992, č. 4, s. 857–893.</w:t>
      </w:r>
      <w:r w:rsidRPr="007B7C2D">
        <w:rPr>
          <w:lang w:val="en"/>
        </w:rPr>
        <w:t xml:space="preserve"> </w:t>
      </w:r>
      <w:r w:rsidR="0063456C" w:rsidRPr="0063456C">
        <w:t xml:space="preserve">Lincoln, J. R., Gerlach, M. L., Takahashi, P. Keiretsu Networks in the Japanese Economy: A Dyad Analysis of Intercorporate Ties. </w:t>
      </w:r>
      <w:r w:rsidR="0063456C" w:rsidRPr="0063456C">
        <w:rPr>
          <w:i/>
          <w:iCs/>
        </w:rPr>
        <w:t>American Sociological Review</w:t>
      </w:r>
      <w:r w:rsidR="0063456C" w:rsidRPr="0063456C">
        <w:t>. 1992, č. 5, s. 561–585.</w:t>
      </w:r>
      <w:r w:rsidRPr="007B7C2D">
        <w:rPr>
          <w:lang w:val="en"/>
        </w:rPr>
        <w:t xml:space="preserve"> </w:t>
      </w:r>
      <w:r w:rsidR="0063456C" w:rsidRPr="0063456C">
        <w:t xml:space="preserve">Dicken, P. et al. Chains and networks, territories and scales: towards a relational framework for analysing the global economy. </w:t>
      </w:r>
      <w:r w:rsidR="0063456C" w:rsidRPr="0063456C">
        <w:rPr>
          <w:i/>
          <w:iCs/>
        </w:rPr>
        <w:t>Global Networks</w:t>
      </w:r>
      <w:r w:rsidR="0063456C" w:rsidRPr="0063456C">
        <w:t>. 2001, č. 2, s. 89–112.</w:t>
      </w:r>
      <w:r w:rsidR="0063456C" w:rsidRPr="0063456C">
        <w:rPr>
          <w:rFonts w:ascii="Times New Roman" w:hAnsi="Times New Roman"/>
        </w:rPr>
        <w:t xml:space="preserve"> </w:t>
      </w:r>
      <w:r w:rsidR="0063456C" w:rsidRPr="0063456C">
        <w:t xml:space="preserve">Caldarelli, G. et al. A Network Analysis of Countries’ Export Flows: Firm Grounds for the Building Blocks of the Economy. </w:t>
      </w:r>
      <w:r w:rsidR="0063456C" w:rsidRPr="0063456C">
        <w:rPr>
          <w:i/>
          <w:iCs/>
        </w:rPr>
        <w:t>PLOS ONE</w:t>
      </w:r>
      <w:r w:rsidR="0063456C" w:rsidRPr="0063456C">
        <w:t>. 2012, č. 10</w:t>
      </w:r>
      <w:r w:rsidR="0063456C">
        <w:t>.</w:t>
      </w:r>
    </w:p>
  </w:footnote>
  <w:footnote w:id="29">
    <w:p w14:paraId="7E8CF6B6" w14:textId="2F023B08" w:rsidR="007B7C2D" w:rsidRPr="0063456C" w:rsidRDefault="007B7C2D" w:rsidP="0063456C">
      <w:pPr>
        <w:pStyle w:val="Textpoznpodarou"/>
      </w:pPr>
      <w:r>
        <w:rPr>
          <w:rStyle w:val="Znakapoznpodarou"/>
        </w:rPr>
        <w:footnoteRef/>
      </w:r>
      <w:r>
        <w:t xml:space="preserve"> </w:t>
      </w:r>
      <w:r w:rsidRPr="007B7C2D">
        <w:rPr>
          <w:lang w:val="en"/>
        </w:rPr>
        <w:t xml:space="preserve">Lze uvést např.: </w:t>
      </w:r>
      <w:r w:rsidR="0063456C" w:rsidRPr="0063456C">
        <w:t xml:space="preserve">Leifeld, P. Reconceptualizing Major Policy Change in the Advocacy Coalition Framework: A Discourse Network Analysis of German Pension Politics. </w:t>
      </w:r>
      <w:r w:rsidR="0063456C" w:rsidRPr="0063456C">
        <w:rPr>
          <w:i/>
          <w:iCs/>
        </w:rPr>
        <w:t>Policy Studies Journal</w:t>
      </w:r>
      <w:r w:rsidR="0063456C" w:rsidRPr="0063456C">
        <w:t>. 2013, č. 1, s. 169–198.</w:t>
      </w:r>
      <w:r w:rsidR="0063456C" w:rsidRPr="0063456C">
        <w:rPr>
          <w:rFonts w:ascii="Times New Roman" w:hAnsi="Times New Roman"/>
        </w:rPr>
        <w:t xml:space="preserve"> </w:t>
      </w:r>
      <w:r w:rsidR="0063456C" w:rsidRPr="0063456C">
        <w:t xml:space="preserve">Kahler, M. </w:t>
      </w:r>
      <w:r w:rsidR="0063456C" w:rsidRPr="0063456C">
        <w:rPr>
          <w:i/>
          <w:iCs/>
        </w:rPr>
        <w:t>Networked Politics: Agency, Power, and Governance</w:t>
      </w:r>
      <w:r w:rsidR="0063456C" w:rsidRPr="0063456C">
        <w:t>. Cornell University Press, 2011.</w:t>
      </w:r>
      <w:r w:rsidRPr="007B7C2D">
        <w:rPr>
          <w:lang w:val="en"/>
        </w:rPr>
        <w:t xml:space="preserve"> </w:t>
      </w:r>
      <w:r w:rsidR="0063456C" w:rsidRPr="0063456C">
        <w:t xml:space="preserve">Ocelík, P. et al. A contested transition toward a coal-free future: Advocacy coalitions and coal policy in the Czech Republic. </w:t>
      </w:r>
      <w:r w:rsidR="0063456C" w:rsidRPr="0063456C">
        <w:rPr>
          <w:i/>
          <w:iCs/>
        </w:rPr>
        <w:t>Energy Research &amp; Social Science</w:t>
      </w:r>
      <w:r w:rsidR="0063456C" w:rsidRPr="0063456C">
        <w:t>. 2019, s. 101283</w:t>
      </w:r>
      <w:r w:rsidRPr="007B7C2D">
        <w:rPr>
          <w:lang w:val="en"/>
        </w:rPr>
        <w:t>.</w:t>
      </w:r>
    </w:p>
  </w:footnote>
  <w:footnote w:id="30">
    <w:p w14:paraId="5F90E03B" w14:textId="1D2C256C" w:rsidR="007B7C2D" w:rsidRPr="0063456C" w:rsidRDefault="007B7C2D" w:rsidP="0063456C">
      <w:pPr>
        <w:pStyle w:val="Textpoznpodarou"/>
      </w:pPr>
      <w:r>
        <w:rPr>
          <w:rStyle w:val="Znakapoznpodarou"/>
        </w:rPr>
        <w:footnoteRef/>
      </w:r>
      <w:r>
        <w:t xml:space="preserve"> </w:t>
      </w:r>
      <w:r w:rsidRPr="007B7C2D">
        <w:rPr>
          <w:lang w:val="en"/>
        </w:rPr>
        <w:t xml:space="preserve">Lze uvést např.: </w:t>
      </w:r>
      <w:r w:rsidR="0063456C" w:rsidRPr="0063456C">
        <w:t xml:space="preserve">Wolfe, A. W. The rise of network thinking in anthropology. </w:t>
      </w:r>
      <w:r w:rsidR="0063456C" w:rsidRPr="0063456C">
        <w:rPr>
          <w:i/>
          <w:iCs/>
        </w:rPr>
        <w:t>Social Networks</w:t>
      </w:r>
      <w:r w:rsidR="0063456C" w:rsidRPr="0063456C">
        <w:t>. 1978, č. 1, s. 53–64.</w:t>
      </w:r>
      <w:r w:rsidRPr="007B7C2D">
        <w:rPr>
          <w:lang w:val="en"/>
        </w:rPr>
        <w:t xml:space="preserve"> </w:t>
      </w:r>
      <w:r w:rsidR="0063456C" w:rsidRPr="0063456C">
        <w:t xml:space="preserve">Wolfe, A. W. Anthropologist view of social network analysis and data mining. </w:t>
      </w:r>
      <w:r w:rsidR="0063456C" w:rsidRPr="0063456C">
        <w:rPr>
          <w:i/>
          <w:iCs/>
        </w:rPr>
        <w:t>Social Network Analysis and Mining</w:t>
      </w:r>
      <w:r w:rsidR="0063456C" w:rsidRPr="0063456C">
        <w:t>. 2011, č. 1, s. 3–19</w:t>
      </w:r>
      <w:r w:rsidRPr="007B7C2D">
        <w:rPr>
          <w:lang w:val="en"/>
        </w:rPr>
        <w:t>.</w:t>
      </w:r>
    </w:p>
  </w:footnote>
  <w:footnote w:id="31">
    <w:p w14:paraId="260F3362" w14:textId="6E3F27BF" w:rsidR="007B7C2D" w:rsidRDefault="007B7C2D">
      <w:pPr>
        <w:pStyle w:val="Textpoznpodarou"/>
      </w:pPr>
      <w:r>
        <w:rPr>
          <w:rStyle w:val="Znakapoznpodarou"/>
        </w:rPr>
        <w:footnoteRef/>
      </w:r>
      <w:r>
        <w:t xml:space="preserve"> Bude detailně rozebráno v následující </w:t>
      </w:r>
      <w:r w:rsidR="0063456C">
        <w:t>pod</w:t>
      </w:r>
      <w:r>
        <w:t>kapitole</w:t>
      </w:r>
      <w:r w:rsidR="0063456C">
        <w:t xml:space="preserve"> 3.4</w:t>
      </w:r>
      <w:r>
        <w:t>.</w:t>
      </w:r>
    </w:p>
  </w:footnote>
  <w:footnote w:id="32">
    <w:p w14:paraId="166DF70B" w14:textId="06BBD22A" w:rsidR="004D735F" w:rsidRDefault="004D735F">
      <w:pPr>
        <w:pStyle w:val="Textpoznpodarou"/>
      </w:pPr>
      <w:r>
        <w:rPr>
          <w:rStyle w:val="Znakapoznpodarou"/>
        </w:rPr>
        <w:footnoteRef/>
      </w:r>
      <w:r>
        <w:t xml:space="preserve"> Kapitola 6.</w:t>
      </w:r>
    </w:p>
  </w:footnote>
  <w:footnote w:id="33">
    <w:p w14:paraId="1055ABA9" w14:textId="57F7123C" w:rsidR="004D735F" w:rsidRDefault="004D735F">
      <w:pPr>
        <w:pStyle w:val="Textpoznpodarou"/>
      </w:pPr>
      <w:r>
        <w:rPr>
          <w:rStyle w:val="Znakapoznpodarou"/>
        </w:rPr>
        <w:footnoteRef/>
      </w:r>
      <w:r>
        <w:t xml:space="preserve"> Kapitola 7.</w:t>
      </w:r>
    </w:p>
  </w:footnote>
  <w:footnote w:id="34">
    <w:p w14:paraId="4035CE28" w14:textId="62DF0F7D" w:rsidR="004D735F" w:rsidRDefault="004D735F">
      <w:pPr>
        <w:pStyle w:val="Textpoznpodarou"/>
      </w:pPr>
      <w:r>
        <w:rPr>
          <w:rStyle w:val="Znakapoznpodarou"/>
        </w:rPr>
        <w:footnoteRef/>
      </w:r>
      <w:r>
        <w:t xml:space="preserve"> Kapitola 8.</w:t>
      </w:r>
    </w:p>
  </w:footnote>
  <w:footnote w:id="35">
    <w:p w14:paraId="7474720B" w14:textId="6DB2B63D" w:rsidR="004D735F" w:rsidRDefault="004D735F">
      <w:pPr>
        <w:pStyle w:val="Textpoznpodarou"/>
      </w:pPr>
      <w:r>
        <w:rPr>
          <w:rStyle w:val="Znakapoznpodarou"/>
        </w:rPr>
        <w:footnoteRef/>
      </w:r>
      <w:r>
        <w:t xml:space="preserve"> Kapitola 6.</w:t>
      </w:r>
    </w:p>
  </w:footnote>
  <w:footnote w:id="36">
    <w:p w14:paraId="300BF8DB" w14:textId="766DE0B5" w:rsidR="004D735F" w:rsidRDefault="004D735F">
      <w:pPr>
        <w:pStyle w:val="Textpoznpodarou"/>
      </w:pPr>
      <w:r>
        <w:rPr>
          <w:rStyle w:val="Znakapoznpodarou"/>
        </w:rPr>
        <w:footnoteRef/>
      </w:r>
      <w:r>
        <w:t xml:space="preserve"> Kapitola 7.</w:t>
      </w:r>
    </w:p>
  </w:footnote>
  <w:footnote w:id="37">
    <w:p w14:paraId="1B5B2528" w14:textId="2ECA095B" w:rsidR="00C71AC6" w:rsidRDefault="00C71AC6">
      <w:pPr>
        <w:pStyle w:val="Textpoznpodarou"/>
      </w:pPr>
      <w:r>
        <w:rPr>
          <w:rStyle w:val="Znakapoznpodarou"/>
        </w:rPr>
        <w:footnoteRef/>
      </w:r>
      <w:r>
        <w:t xml:space="preserve"> V angl. originále „</w:t>
      </w:r>
      <w:r w:rsidRPr="00C71AC6">
        <w:rPr>
          <w:i/>
          <w:iCs/>
        </w:rPr>
        <w:t>degree</w:t>
      </w:r>
      <w:r>
        <w:t>“.</w:t>
      </w:r>
    </w:p>
  </w:footnote>
  <w:footnote w:id="38">
    <w:p w14:paraId="66FDB6DE" w14:textId="25C4B0AC" w:rsidR="00C71AC6" w:rsidRDefault="00C71AC6">
      <w:pPr>
        <w:pStyle w:val="Textpoznpodarou"/>
      </w:pPr>
      <w:r>
        <w:rPr>
          <w:rStyle w:val="Znakapoznpodarou"/>
        </w:rPr>
        <w:footnoteRef/>
      </w:r>
      <w:r>
        <w:t xml:space="preserve"> V angl. originále „</w:t>
      </w:r>
      <w:r w:rsidRPr="00C71AC6">
        <w:rPr>
          <w:i/>
          <w:iCs/>
        </w:rPr>
        <w:t>indegre</w:t>
      </w:r>
      <w:r>
        <w:t>“.</w:t>
      </w:r>
    </w:p>
  </w:footnote>
  <w:footnote w:id="39">
    <w:p w14:paraId="33DF35CD" w14:textId="4B4FE29F" w:rsidR="00C71AC6" w:rsidRDefault="00C71AC6">
      <w:pPr>
        <w:pStyle w:val="Textpoznpodarou"/>
      </w:pPr>
      <w:r>
        <w:rPr>
          <w:rStyle w:val="Znakapoznpodarou"/>
        </w:rPr>
        <w:footnoteRef/>
      </w:r>
      <w:r>
        <w:t xml:space="preserve"> V angl. originále „</w:t>
      </w:r>
      <w:r w:rsidRPr="00C71AC6">
        <w:rPr>
          <w:i/>
          <w:iCs/>
        </w:rPr>
        <w:t>outdegree</w:t>
      </w:r>
      <w:r>
        <w:t>“.</w:t>
      </w:r>
    </w:p>
  </w:footnote>
  <w:footnote w:id="40">
    <w:p w14:paraId="66237944" w14:textId="6B0B0CB1" w:rsidR="006E46CB" w:rsidRPr="00B20176" w:rsidRDefault="006E46CB" w:rsidP="00B20176">
      <w:pPr>
        <w:pStyle w:val="Textpoznpodarou"/>
      </w:pPr>
      <w:r>
        <w:rPr>
          <w:rStyle w:val="Znakapoznpodarou"/>
        </w:rPr>
        <w:footnoteRef/>
      </w:r>
      <w:r>
        <w:t xml:space="preserve"> </w:t>
      </w:r>
      <w:r w:rsidRPr="006E46CB">
        <w:rPr>
          <w:lang w:val="en"/>
        </w:rPr>
        <w:t xml:space="preserve">Teoretický přehled v této </w:t>
      </w:r>
      <w:r w:rsidR="005A513F">
        <w:rPr>
          <w:lang w:val="en"/>
        </w:rPr>
        <w:t>pod</w:t>
      </w:r>
      <w:r w:rsidRPr="006E46CB">
        <w:rPr>
          <w:lang w:val="en"/>
        </w:rPr>
        <w:t xml:space="preserve">kapitole vychází zejména z publikace: </w:t>
      </w:r>
      <w:r w:rsidR="00B20176" w:rsidRPr="00B20176">
        <w:t xml:space="preserve">Brandes, U. </w:t>
      </w:r>
      <w:r w:rsidR="00B20176" w:rsidRPr="00B20176">
        <w:rPr>
          <w:i/>
          <w:iCs/>
        </w:rPr>
        <w:t>Network Analysis: Methodological Foundations</w:t>
      </w:r>
      <w:r w:rsidR="00B20176" w:rsidRPr="00B20176">
        <w:t>. Springer Science &amp; Business Media, 2005</w:t>
      </w:r>
      <w:r w:rsidRPr="006E46CB">
        <w:rPr>
          <w:lang w:val="en"/>
        </w:rPr>
        <w:t>, kterou současně doporučuji k nastudování v případě zájmu o hlubší vhled do tematiky.</w:t>
      </w:r>
    </w:p>
  </w:footnote>
  <w:footnote w:id="41">
    <w:p w14:paraId="6C23D2B6" w14:textId="2C024E95" w:rsidR="0009487E" w:rsidRDefault="0009487E">
      <w:pPr>
        <w:pStyle w:val="Textpoznpodarou"/>
      </w:pPr>
      <w:r>
        <w:rPr>
          <w:rStyle w:val="Znakapoznpodarou"/>
        </w:rPr>
        <w:footnoteRef/>
      </w:r>
      <w:r>
        <w:t xml:space="preserve"> Vztahy mezi právními prameny a jejich charakteristiky, které jsou síťovými metodami analyzovány, jsou detailněji rozebrány dále v textu. Nejjednodušším příkladem jsou určitě citace či reference mezi jednotlivými prameny, tato práce ale obsahuje i další možné vztahy vzniklé na základě sémantické podobnosti dokumentů, příslušnosti k podobnému tematickému shluku apod.</w:t>
      </w:r>
    </w:p>
  </w:footnote>
  <w:footnote w:id="42">
    <w:p w14:paraId="5E6F5C44" w14:textId="4A9BBAED" w:rsidR="006047EB" w:rsidRDefault="006047EB">
      <w:pPr>
        <w:pStyle w:val="Textpoznpodarou"/>
      </w:pPr>
      <w:r>
        <w:rPr>
          <w:rStyle w:val="Znakapoznpodarou"/>
        </w:rPr>
        <w:footnoteRef/>
      </w:r>
      <w:r>
        <w:t xml:space="preserve"> Podkapitoly 3.5 a 3.6.</w:t>
      </w:r>
    </w:p>
  </w:footnote>
  <w:footnote w:id="43">
    <w:p w14:paraId="479907AA" w14:textId="1983B5A3" w:rsidR="0009487E" w:rsidRPr="00840A84" w:rsidRDefault="0009487E" w:rsidP="00840A84">
      <w:pPr>
        <w:pStyle w:val="Textpoznpodarou"/>
      </w:pPr>
      <w:r>
        <w:rPr>
          <w:rStyle w:val="Znakapoznpodarou"/>
        </w:rPr>
        <w:footnoteRef/>
      </w:r>
      <w:r>
        <w:t xml:space="preserve"> </w:t>
      </w:r>
      <w:r w:rsidR="00840A84" w:rsidRPr="00840A84">
        <w:t xml:space="preserve">Whalen, R. Legal Networks: The Promises and Challenges of Legal Network Analysis. </w:t>
      </w:r>
      <w:r w:rsidR="00840A84" w:rsidRPr="00840A84">
        <w:rPr>
          <w:i/>
          <w:iCs/>
        </w:rPr>
        <w:t>Michigan State Law Review</w:t>
      </w:r>
      <w:r w:rsidR="00840A84" w:rsidRPr="00840A84">
        <w:t>. 2016, s. 5</w:t>
      </w:r>
      <w:r w:rsidR="00840A84">
        <w:t>43.</w:t>
      </w:r>
    </w:p>
  </w:footnote>
  <w:footnote w:id="44">
    <w:p w14:paraId="54874BDE" w14:textId="5A1EE230" w:rsidR="00383565" w:rsidRDefault="00383565">
      <w:pPr>
        <w:pStyle w:val="Textpoznpodarou"/>
      </w:pPr>
      <w:r>
        <w:rPr>
          <w:rStyle w:val="Znakapoznpodarou"/>
        </w:rPr>
        <w:footnoteRef/>
      </w:r>
      <w:r>
        <w:t xml:space="preserve"> Tamtéž.</w:t>
      </w:r>
    </w:p>
  </w:footnote>
  <w:footnote w:id="45">
    <w:p w14:paraId="2F68078F" w14:textId="11DEF9AD" w:rsidR="007E63DE" w:rsidRDefault="007E63DE" w:rsidP="007E63DE">
      <w:pPr>
        <w:pStyle w:val="Textpoznpodarou"/>
      </w:pPr>
      <w:r>
        <w:rPr>
          <w:rStyle w:val="Znakapoznpodarou"/>
        </w:rPr>
        <w:footnoteRef/>
      </w:r>
      <w:r>
        <w:t xml:space="preserve"> </w:t>
      </w:r>
      <w:r w:rsidRPr="007E63DE">
        <w:t xml:space="preserve">Novotná, T. Network Analysis in Law: A Literature Overview and Research Agenda. </w:t>
      </w:r>
      <w:r w:rsidRPr="007E63DE">
        <w:rPr>
          <w:i/>
          <w:iCs/>
        </w:rPr>
        <w:t>Jusletter IT</w:t>
      </w:r>
      <w:r w:rsidRPr="007E63DE">
        <w:t xml:space="preserve">. 2019, č. IRIS. </w:t>
      </w:r>
    </w:p>
  </w:footnote>
  <w:footnote w:id="46">
    <w:p w14:paraId="5D59AC85" w14:textId="64A785B4" w:rsidR="00E7584F" w:rsidRDefault="00E7584F" w:rsidP="00D842FB">
      <w:pPr>
        <w:pStyle w:val="Textpoznpodarou"/>
      </w:pPr>
      <w:r>
        <w:rPr>
          <w:rStyle w:val="Znakapoznpodarou"/>
        </w:rPr>
        <w:footnoteRef/>
      </w:r>
      <w:r>
        <w:t xml:space="preserve"> </w:t>
      </w:r>
      <w:r w:rsidR="00D842FB" w:rsidRPr="00D842FB">
        <w:t>H</w:t>
      </w:r>
      <w:r w:rsidR="00D842FB">
        <w:t>einz</w:t>
      </w:r>
      <w:r w:rsidR="00D842FB" w:rsidRPr="00D842FB">
        <w:t>, J. P., L</w:t>
      </w:r>
      <w:r w:rsidR="00D842FB">
        <w:t>aumann</w:t>
      </w:r>
      <w:r w:rsidR="00D842FB" w:rsidRPr="00D842FB">
        <w:t xml:space="preserve">, E. O. </w:t>
      </w:r>
      <w:r w:rsidR="00D842FB" w:rsidRPr="00D842FB">
        <w:rPr>
          <w:i/>
          <w:iCs/>
        </w:rPr>
        <w:t>Chicago Lawyers: The Social Structure of the Bar</w:t>
      </w:r>
      <w:r w:rsidR="00D842FB" w:rsidRPr="00D842FB">
        <w:t>. Russell Sage Foundation, 1982.</w:t>
      </w:r>
    </w:p>
  </w:footnote>
  <w:footnote w:id="47">
    <w:p w14:paraId="0129DF53" w14:textId="3D4FB2F1" w:rsidR="00E7584F" w:rsidRDefault="00E7584F" w:rsidP="00D842FB">
      <w:pPr>
        <w:pStyle w:val="Textpoznpodarou"/>
      </w:pPr>
      <w:r>
        <w:rPr>
          <w:rStyle w:val="Znakapoznpodarou"/>
        </w:rPr>
        <w:footnoteRef/>
      </w:r>
      <w:r>
        <w:t xml:space="preserve"> </w:t>
      </w:r>
      <w:r w:rsidR="00D842FB" w:rsidRPr="00D842FB">
        <w:t xml:space="preserve">Heinz, J. P., Laumann, E. O., Nelson, R. L. </w:t>
      </w:r>
      <w:r w:rsidR="00D842FB" w:rsidRPr="00D842FB">
        <w:rPr>
          <w:i/>
          <w:iCs/>
        </w:rPr>
        <w:t>The Hollow Core: Private Interests in National Policy Making</w:t>
      </w:r>
      <w:r w:rsidR="00D842FB" w:rsidRPr="00D842FB">
        <w:t>. Harvard University Press, 1993.</w:t>
      </w:r>
    </w:p>
  </w:footnote>
  <w:footnote w:id="48">
    <w:p w14:paraId="7AC40AAF" w14:textId="28599396" w:rsidR="00E7584F" w:rsidRDefault="00E7584F" w:rsidP="00D842FB">
      <w:pPr>
        <w:pStyle w:val="Textpoznpodarou"/>
      </w:pPr>
      <w:r>
        <w:rPr>
          <w:rStyle w:val="Znakapoznpodarou"/>
        </w:rPr>
        <w:footnoteRef/>
      </w:r>
      <w:r>
        <w:t xml:space="preserve"> </w:t>
      </w:r>
      <w:r w:rsidR="00D842FB" w:rsidRPr="00D842FB">
        <w:t xml:space="preserve">Lazega, E., Van Duijn, M. Position in formal structure, personal characteristics and choices of advisors in a law firm: A logistic regression model for dyadic network data. </w:t>
      </w:r>
      <w:r w:rsidR="00D842FB" w:rsidRPr="00D842FB">
        <w:rPr>
          <w:i/>
          <w:iCs/>
        </w:rPr>
        <w:t>Social Networks</w:t>
      </w:r>
      <w:r w:rsidR="00D842FB" w:rsidRPr="00D842FB">
        <w:t>. 1997, č. 4, s. 375–397</w:t>
      </w:r>
      <w:r>
        <w:t xml:space="preserve">. </w:t>
      </w:r>
      <w:r w:rsidR="00D842FB" w:rsidRPr="00D842FB">
        <w:t xml:space="preserve">Lazega, E. </w:t>
      </w:r>
      <w:r w:rsidR="00D842FB" w:rsidRPr="00D842FB">
        <w:rPr>
          <w:i/>
          <w:iCs/>
        </w:rPr>
        <w:t>The Collegial Phenomenon: The Social Mechanisms of Cooperation Among Peers in a Corporate Law Partnership</w:t>
      </w:r>
      <w:r w:rsidR="00D842FB" w:rsidRPr="00D842FB">
        <w:t>. Oxford: Oxford University Press, 2001.</w:t>
      </w:r>
    </w:p>
  </w:footnote>
  <w:footnote w:id="49">
    <w:p w14:paraId="6E4DD549" w14:textId="3C3D319E" w:rsidR="00E7584F" w:rsidRDefault="00E7584F" w:rsidP="00D842FB">
      <w:pPr>
        <w:pStyle w:val="Textpoznpodarou"/>
      </w:pPr>
      <w:r>
        <w:rPr>
          <w:rStyle w:val="Znakapoznpodarou"/>
        </w:rPr>
        <w:footnoteRef/>
      </w:r>
      <w:r>
        <w:t xml:space="preserve"> </w:t>
      </w:r>
      <w:r w:rsidR="00D842FB" w:rsidRPr="00D842FB">
        <w:t xml:space="preserve">Uzzi, B., Lancaster, R. Embeddedness and Price Formation in the Corporate Law Market. </w:t>
      </w:r>
      <w:r w:rsidR="00D842FB" w:rsidRPr="00D842FB">
        <w:rPr>
          <w:i/>
          <w:iCs/>
        </w:rPr>
        <w:t>American Sociological Review</w:t>
      </w:r>
      <w:r w:rsidR="00D842FB" w:rsidRPr="00D842FB">
        <w:t>. 2004, č. 3, s. 319–344.</w:t>
      </w:r>
    </w:p>
  </w:footnote>
  <w:footnote w:id="50">
    <w:p w14:paraId="704C0965" w14:textId="3A161D7E" w:rsidR="00E7584F" w:rsidRDefault="00E7584F" w:rsidP="00D842FB">
      <w:pPr>
        <w:pStyle w:val="Textpoznpodarou"/>
      </w:pPr>
      <w:r>
        <w:rPr>
          <w:rStyle w:val="Znakapoznpodarou"/>
        </w:rPr>
        <w:footnoteRef/>
      </w:r>
      <w:r w:rsidR="00D842FB">
        <w:t xml:space="preserve"> </w:t>
      </w:r>
      <w:r w:rsidR="00D842FB" w:rsidRPr="00D842FB">
        <w:t xml:space="preserve">Katz, D. M., Stafford, D. K. Hustle and Flow: A Social Network Analysis of the American Federal Judiciary. </w:t>
      </w:r>
      <w:r w:rsidR="00D842FB" w:rsidRPr="00D842FB">
        <w:rPr>
          <w:i/>
          <w:iCs/>
        </w:rPr>
        <w:t>Ohio State Law Journal</w:t>
      </w:r>
      <w:r w:rsidR="00D842FB" w:rsidRPr="00D842FB">
        <w:t>. 2010, č. 3, s. 457–510.</w:t>
      </w:r>
    </w:p>
  </w:footnote>
  <w:footnote w:id="51">
    <w:p w14:paraId="3EA18F66" w14:textId="308058DF" w:rsidR="00AF071E" w:rsidRDefault="00AF071E" w:rsidP="005F4661">
      <w:pPr>
        <w:pStyle w:val="Textpoznpodarou"/>
      </w:pPr>
      <w:r>
        <w:rPr>
          <w:rStyle w:val="Znakapoznpodarou"/>
        </w:rPr>
        <w:footnoteRef/>
      </w:r>
      <w:r w:rsidR="005F4661">
        <w:t xml:space="preserve"> </w:t>
      </w:r>
      <w:r w:rsidR="005F4661" w:rsidRPr="005F4661">
        <w:t xml:space="preserve">Vartazaryan, G. Síťová analýza disentujících ústavních soudců. </w:t>
      </w:r>
      <w:r w:rsidR="005F4661" w:rsidRPr="005F4661">
        <w:rPr>
          <w:i/>
          <w:iCs/>
        </w:rPr>
        <w:t>Právník. Teoretický časopis pro otázky státu a práva (The Lawyer - Scientific Review for Problems of State and Law)</w:t>
      </w:r>
      <w:r w:rsidR="005F4661" w:rsidRPr="005F4661">
        <w:t>. 2022, č. 12, s. 1196–1214.</w:t>
      </w:r>
    </w:p>
  </w:footnote>
  <w:footnote w:id="52">
    <w:p w14:paraId="523E12A1" w14:textId="560AD787" w:rsidR="00E7584F" w:rsidRDefault="00E7584F" w:rsidP="00EE6CD3">
      <w:pPr>
        <w:pStyle w:val="Textpoznpodarou"/>
      </w:pPr>
      <w:r>
        <w:rPr>
          <w:rStyle w:val="Znakapoznpodarou"/>
        </w:rPr>
        <w:footnoteRef/>
      </w:r>
      <w:r>
        <w:t xml:space="preserve"> Např.</w:t>
      </w:r>
      <w:r w:rsidR="0099129B">
        <w:t>:</w:t>
      </w:r>
      <w:r>
        <w:t xml:space="preserve"> </w:t>
      </w:r>
      <w:r w:rsidR="0099129B">
        <w:t>Leighton</w:t>
      </w:r>
      <w:r w:rsidR="0099129B" w:rsidRPr="0099129B">
        <w:t xml:space="preserve">, B. The Community Concept in Criminology: Toward a Social Network Approach. </w:t>
      </w:r>
      <w:r w:rsidR="0099129B" w:rsidRPr="0099129B">
        <w:rPr>
          <w:i/>
          <w:iCs/>
        </w:rPr>
        <w:t>Journal of Research in Crime and Delinquency</w:t>
      </w:r>
      <w:r w:rsidR="0099129B" w:rsidRPr="0099129B">
        <w:t>. 1988, č. 4, s. 351–374</w:t>
      </w:r>
      <w:r>
        <w:t xml:space="preserve">. </w:t>
      </w:r>
      <w:r w:rsidR="0099129B" w:rsidRPr="0099129B">
        <w:t xml:space="preserve">Athey, N. C., Bouchard, M. The BALCO scandal: the social structure of a steroid distribution network. </w:t>
      </w:r>
      <w:r w:rsidR="0099129B" w:rsidRPr="0099129B">
        <w:rPr>
          <w:i/>
          <w:iCs/>
        </w:rPr>
        <w:t>Global Crime</w:t>
      </w:r>
      <w:r w:rsidR="0099129B" w:rsidRPr="0099129B">
        <w:t>. 2013, č. 2–3, s. 216–237</w:t>
      </w:r>
      <w:r>
        <w:t xml:space="preserve">. </w:t>
      </w:r>
      <w:r w:rsidR="0099129B" w:rsidRPr="0099129B">
        <w:t xml:space="preserve">Nash, R., Bouchard, M., Malm, A. Investing in people: The role of social networks in the diffusion of a large-scale fraud. </w:t>
      </w:r>
      <w:r w:rsidR="0099129B" w:rsidRPr="0099129B">
        <w:rPr>
          <w:i/>
          <w:iCs/>
        </w:rPr>
        <w:t>Social Networks</w:t>
      </w:r>
      <w:r w:rsidR="0099129B" w:rsidRPr="0099129B">
        <w:t>. 2013, č. 4, s. 686–698</w:t>
      </w:r>
      <w:r>
        <w:t xml:space="preserve">. </w:t>
      </w:r>
      <w:r w:rsidR="0099129B" w:rsidRPr="0099129B">
        <w:t>Westlake, B.</w:t>
      </w:r>
      <w:r w:rsidR="0099129B">
        <w:t xml:space="preserve"> G.</w:t>
      </w:r>
      <w:r w:rsidR="0099129B" w:rsidRPr="0099129B">
        <w:t xml:space="preserve">, Bouchard, M. Criminal Careers in Cyberspace: Examining Website Failure within Child Exploitation Networks. </w:t>
      </w:r>
      <w:r w:rsidR="0099129B" w:rsidRPr="0099129B">
        <w:rPr>
          <w:i/>
          <w:iCs/>
        </w:rPr>
        <w:t>Justice Quarterly</w:t>
      </w:r>
      <w:r w:rsidR="0099129B" w:rsidRPr="0099129B">
        <w:t>. 2016, č. 7, s. 1154–1181</w:t>
      </w:r>
      <w:r>
        <w:t>.</w:t>
      </w:r>
      <w:r w:rsidR="00EE6CD3" w:rsidRPr="00EE6CD3">
        <w:rPr>
          <w:rFonts w:ascii="Times New Roman" w:hAnsi="Times New Roman"/>
        </w:rPr>
        <w:t xml:space="preserve"> </w:t>
      </w:r>
      <w:r w:rsidR="00EE6CD3" w:rsidRPr="00EE6CD3">
        <w:t xml:space="preserve">Farley, J. D. Breaking Al Qaeda Cells: A Mathematical Analysis of Counterterrorism Operations (A Guide for Risk Assessment and Decision Making). </w:t>
      </w:r>
      <w:r w:rsidR="00EE6CD3" w:rsidRPr="00EE6CD3">
        <w:rPr>
          <w:i/>
          <w:iCs/>
        </w:rPr>
        <w:t>Studies in Conflict &amp; Terrorism</w:t>
      </w:r>
      <w:r w:rsidR="00EE6CD3" w:rsidRPr="00EE6CD3">
        <w:t>. 2003, č. 6, s. 399–411</w:t>
      </w:r>
      <w:r>
        <w:t>.</w:t>
      </w:r>
      <w:r w:rsidR="00EE6CD3">
        <w:t xml:space="preserve"> </w:t>
      </w:r>
      <w:r w:rsidR="00EE6CD3" w:rsidRPr="00EE6CD3">
        <w:t xml:space="preserve">Morselli, C., Giguère, C., Petit, K. The efficiency/security trade-off in criminal networks. </w:t>
      </w:r>
      <w:r w:rsidR="00EE6CD3" w:rsidRPr="00EE6CD3">
        <w:rPr>
          <w:i/>
          <w:iCs/>
        </w:rPr>
        <w:t>Social Networks</w:t>
      </w:r>
      <w:r w:rsidR="00EE6CD3" w:rsidRPr="00EE6CD3">
        <w:t>. 2007, č. 1, s. 143–153.</w:t>
      </w:r>
    </w:p>
  </w:footnote>
  <w:footnote w:id="53">
    <w:p w14:paraId="767843B4" w14:textId="22CE3593" w:rsidR="00AD4532" w:rsidRPr="00AD4532" w:rsidRDefault="00AD4532" w:rsidP="00AD4532">
      <w:pPr>
        <w:pStyle w:val="Textpoznpodarou"/>
        <w:rPr>
          <w:lang w:val="en"/>
        </w:rPr>
      </w:pPr>
      <w:r>
        <w:rPr>
          <w:rStyle w:val="Znakapoznpodarou"/>
        </w:rPr>
        <w:footnoteRef/>
      </w:r>
      <w:r>
        <w:t xml:space="preserve"> </w:t>
      </w:r>
      <w:r w:rsidR="00E6198F">
        <w:rPr>
          <w:lang w:val="en"/>
        </w:rPr>
        <w:t>Relevanci vyhledaných informací v této práci hodnotím v evaluačních experimentech se skupinou doménových expertů. Metodologie takové evaluace je detailně popsána pro každý dílčí experiment v kapitolách 6, 7, 8 a 9.</w:t>
      </w:r>
    </w:p>
  </w:footnote>
  <w:footnote w:id="54">
    <w:p w14:paraId="1889174F" w14:textId="6183DCFF" w:rsidR="00CF7DBF" w:rsidRDefault="00CF7DBF" w:rsidP="00DB08E0">
      <w:pPr>
        <w:pStyle w:val="Textpoznpodarou"/>
      </w:pPr>
      <w:r>
        <w:rPr>
          <w:rStyle w:val="Znakapoznpodarou"/>
        </w:rPr>
        <w:footnoteRef/>
      </w:r>
      <w:r>
        <w:t xml:space="preserve"> </w:t>
      </w:r>
      <w:r w:rsidR="00DB08E0" w:rsidRPr="00DB08E0">
        <w:t xml:space="preserve">Fowler, J. H., Jeon, S. The authority of Supreme Court precedent. </w:t>
      </w:r>
      <w:r w:rsidR="00DB08E0" w:rsidRPr="00DB08E0">
        <w:rPr>
          <w:i/>
          <w:iCs/>
        </w:rPr>
        <w:t>Social Networks</w:t>
      </w:r>
      <w:r w:rsidR="00DB08E0" w:rsidRPr="00DB08E0">
        <w:t>. 2008, č. 1, s. 16–30.</w:t>
      </w:r>
    </w:p>
  </w:footnote>
  <w:footnote w:id="55">
    <w:p w14:paraId="7D285180" w14:textId="4FFA3ECC" w:rsidR="00CF7DBF" w:rsidRDefault="00CF7DBF" w:rsidP="00B158BA">
      <w:pPr>
        <w:pStyle w:val="Textpoznpodarou"/>
      </w:pPr>
      <w:r>
        <w:rPr>
          <w:rStyle w:val="Znakapoznpodarou"/>
        </w:rPr>
        <w:footnoteRef/>
      </w:r>
      <w:r>
        <w:t xml:space="preserve"> </w:t>
      </w:r>
      <w:bookmarkStart w:id="20" w:name="_Hlk126927868"/>
      <w:r w:rsidR="00B158BA" w:rsidRPr="00B158BA">
        <w:t xml:space="preserve">Neale, T. Citation Analysis of Canadian Case Law. </w:t>
      </w:r>
      <w:r w:rsidR="00B158BA" w:rsidRPr="00B158BA">
        <w:rPr>
          <w:i/>
          <w:iCs/>
        </w:rPr>
        <w:t>Journal of Open Access to Law</w:t>
      </w:r>
      <w:r w:rsidR="00B158BA" w:rsidRPr="00B158BA">
        <w:t>. 2013, s. 1–60</w:t>
      </w:r>
      <w:r w:rsidR="00B158BA">
        <w:t>.</w:t>
      </w:r>
      <w:bookmarkEnd w:id="20"/>
    </w:p>
  </w:footnote>
  <w:footnote w:id="56">
    <w:p w14:paraId="563922B3" w14:textId="72BE390A" w:rsidR="00CF7DBF" w:rsidRDefault="00CF7DBF" w:rsidP="00D05574">
      <w:pPr>
        <w:pStyle w:val="Textpoznpodarou"/>
      </w:pPr>
      <w:r>
        <w:rPr>
          <w:rStyle w:val="Znakapoznpodarou"/>
        </w:rPr>
        <w:footnoteRef/>
      </w:r>
      <w:r>
        <w:t xml:space="preserve"> </w:t>
      </w:r>
      <w:r w:rsidR="00B158BA" w:rsidRPr="00B158BA">
        <w:t xml:space="preserve">Geist, A. </w:t>
      </w:r>
      <w:r w:rsidR="00B158BA" w:rsidRPr="00B158BA">
        <w:rPr>
          <w:i/>
          <w:iCs/>
        </w:rPr>
        <w:t>Using Citation Analysis Techniques for Computer-assisted Legal Research in Continental Jurisdictions</w:t>
      </w:r>
      <w:r w:rsidR="00B158BA" w:rsidRPr="00B158BA">
        <w:t>. Norwegian Research Center for Computers and Law, 2010</w:t>
      </w:r>
      <w:r w:rsidR="00B158BA">
        <w:t>, s. 66.</w:t>
      </w:r>
    </w:p>
  </w:footnote>
  <w:footnote w:id="57">
    <w:p w14:paraId="43200758" w14:textId="614DE53C" w:rsidR="00CF7DBF" w:rsidRDefault="00CF7DBF" w:rsidP="00023322">
      <w:pPr>
        <w:pStyle w:val="Textpoznpodarou"/>
      </w:pPr>
      <w:r>
        <w:rPr>
          <w:rStyle w:val="Znakapoznpodarou"/>
        </w:rPr>
        <w:footnoteRef/>
      </w:r>
      <w:r w:rsidR="00023322">
        <w:t xml:space="preserve"> </w:t>
      </w:r>
      <w:r w:rsidR="00023322" w:rsidRPr="00023322">
        <w:t xml:space="preserve">Garfield, E. </w:t>
      </w:r>
      <w:r w:rsidR="00023322" w:rsidRPr="00023322">
        <w:rPr>
          <w:i/>
          <w:iCs/>
        </w:rPr>
        <w:t>Citation Indexing: Its Theory and Application in Science, Technology, and Humanities</w:t>
      </w:r>
      <w:r w:rsidR="00023322" w:rsidRPr="00023322">
        <w:t>. Isi Press, 1979.</w:t>
      </w:r>
    </w:p>
  </w:footnote>
  <w:footnote w:id="58">
    <w:p w14:paraId="0064B06E" w14:textId="18F56694" w:rsidR="00CF7DBF" w:rsidRDefault="00CF7DBF" w:rsidP="00023322">
      <w:pPr>
        <w:pStyle w:val="Textpoznpodarou"/>
      </w:pPr>
      <w:r>
        <w:rPr>
          <w:rStyle w:val="Znakapoznpodarou"/>
        </w:rPr>
        <w:footnoteRef/>
      </w:r>
      <w:r>
        <w:t xml:space="preserve"> </w:t>
      </w:r>
      <w:r w:rsidR="00023322" w:rsidRPr="00023322">
        <w:t xml:space="preserve">Dahlin, K., Taylor, M., Fichman, M. Today’s Edisons or weekend hobbyists: technical merit and success of inventions by independent inventors. </w:t>
      </w:r>
      <w:r w:rsidR="00023322" w:rsidRPr="00023322">
        <w:rPr>
          <w:i/>
          <w:iCs/>
        </w:rPr>
        <w:t>Research Policy</w:t>
      </w:r>
      <w:r w:rsidR="00023322" w:rsidRPr="00023322">
        <w:t>. 2004, č. 8, s. 1167–1183</w:t>
      </w:r>
      <w:r>
        <w:t xml:space="preserve">. </w:t>
      </w:r>
      <w:r w:rsidR="00023322" w:rsidRPr="00023322">
        <w:t xml:space="preserve">Fleming, L., Sorenson, O. Technology as a complex adaptive system: evidence from patent data. </w:t>
      </w:r>
      <w:r w:rsidR="00023322" w:rsidRPr="00023322">
        <w:rPr>
          <w:i/>
          <w:iCs/>
        </w:rPr>
        <w:t>Research Policy</w:t>
      </w:r>
      <w:r w:rsidR="00023322" w:rsidRPr="00023322">
        <w:t>. 2001, č. 7, s. 1019–1039.</w:t>
      </w:r>
      <w:r w:rsidR="00023322">
        <w:t xml:space="preserve"> </w:t>
      </w:r>
      <w:r w:rsidR="00023322" w:rsidRPr="00023322">
        <w:t xml:space="preserve">Albert, M. B. et al. Direct validation of citation counts as indicators of industrially important patents. </w:t>
      </w:r>
      <w:r w:rsidR="00023322" w:rsidRPr="00023322">
        <w:rPr>
          <w:i/>
          <w:iCs/>
        </w:rPr>
        <w:t>Research Policy</w:t>
      </w:r>
      <w:r w:rsidR="00023322" w:rsidRPr="00023322">
        <w:t>. 1991, č. 3, s. 251–259</w:t>
      </w:r>
      <w:r>
        <w:t>.</w:t>
      </w:r>
    </w:p>
  </w:footnote>
  <w:footnote w:id="59">
    <w:p w14:paraId="2244579C" w14:textId="694CA138" w:rsidR="00CF7DBF" w:rsidRDefault="00CF7DBF" w:rsidP="00CE6C84">
      <w:pPr>
        <w:pStyle w:val="Textpoznpodarou"/>
      </w:pPr>
      <w:r>
        <w:rPr>
          <w:rStyle w:val="Znakapoznpodarou"/>
        </w:rPr>
        <w:footnoteRef/>
      </w:r>
      <w:r>
        <w:t xml:space="preserve"> </w:t>
      </w:r>
      <w:r w:rsidR="00CE6C84" w:rsidRPr="00CE6C84">
        <w:t xml:space="preserve">Geist, A. </w:t>
      </w:r>
      <w:r w:rsidR="00CE6C84" w:rsidRPr="00CE6C84">
        <w:rPr>
          <w:i/>
          <w:iCs/>
        </w:rPr>
        <w:t>Using Citation Analysis Techniques for Computer-assisted Legal Research in Continental Jurisdictions</w:t>
      </w:r>
      <w:r w:rsidR="00CE6C84" w:rsidRPr="00CE6C84">
        <w:t>. Norwegian Research Center for Computers and Law, 2010</w:t>
      </w:r>
      <w:r w:rsidR="00CE6C84">
        <w:t>, s. 66.</w:t>
      </w:r>
    </w:p>
  </w:footnote>
  <w:footnote w:id="60">
    <w:p w14:paraId="70C0392D" w14:textId="764B7DF8" w:rsidR="00CF7DBF" w:rsidRDefault="00CF7DBF" w:rsidP="00CE6C84">
      <w:pPr>
        <w:pStyle w:val="Textpoznpodarou"/>
      </w:pPr>
      <w:r>
        <w:rPr>
          <w:rStyle w:val="Znakapoznpodarou"/>
        </w:rPr>
        <w:footnoteRef/>
      </w:r>
      <w:r>
        <w:t xml:space="preserve"> </w:t>
      </w:r>
      <w:r w:rsidR="00CE6C84" w:rsidRPr="00CE6C84">
        <w:t xml:space="preserve">Marx, S. M. Citation Networks in the Law. </w:t>
      </w:r>
      <w:r w:rsidR="00CE6C84" w:rsidRPr="00CE6C84">
        <w:rPr>
          <w:i/>
          <w:iCs/>
        </w:rPr>
        <w:t>Jurimetrics Journal</w:t>
      </w:r>
      <w:r w:rsidR="00CE6C84" w:rsidRPr="00CE6C84">
        <w:t>. 1970, č. 4, s. 121–137.</w:t>
      </w:r>
    </w:p>
  </w:footnote>
  <w:footnote w:id="61">
    <w:p w14:paraId="2828E80B" w14:textId="582706D4" w:rsidR="00CF7DBF" w:rsidRDefault="00CF7DBF" w:rsidP="00CE6C84">
      <w:pPr>
        <w:pStyle w:val="Textpoznpodarou"/>
      </w:pPr>
      <w:r>
        <w:rPr>
          <w:rStyle w:val="Znakapoznpodarou"/>
        </w:rPr>
        <w:footnoteRef/>
      </w:r>
      <w:r>
        <w:t xml:space="preserve"> </w:t>
      </w:r>
      <w:r w:rsidR="00CE6C84" w:rsidRPr="00CE6C84">
        <w:t xml:space="preserve">Tapper, C. The Use of Citation Vectors for Legal Information Retrieval. </w:t>
      </w:r>
      <w:r w:rsidR="00CE6C84" w:rsidRPr="00CE6C84">
        <w:rPr>
          <w:i/>
          <w:iCs/>
        </w:rPr>
        <w:t>Journal of Law and Information Science</w:t>
      </w:r>
      <w:r w:rsidR="00CE6C84" w:rsidRPr="00CE6C84">
        <w:t>. 1981, s. 131</w:t>
      </w:r>
      <w:r w:rsidR="00CE6C84">
        <w:t xml:space="preserve"> a násl</w:t>
      </w:r>
      <w:r w:rsidR="00CE6C84" w:rsidRPr="00CE6C84">
        <w:t>.</w:t>
      </w:r>
    </w:p>
  </w:footnote>
  <w:footnote w:id="62">
    <w:p w14:paraId="526D4101" w14:textId="02662FA0" w:rsidR="00CF7DBF" w:rsidRDefault="00CF7DBF">
      <w:pPr>
        <w:pStyle w:val="Textpoznpodarou"/>
      </w:pPr>
      <w:r>
        <w:rPr>
          <w:rStyle w:val="Znakapoznpodarou"/>
        </w:rPr>
        <w:footnoteRef/>
      </w:r>
      <w:r>
        <w:t xml:space="preserve"> </w:t>
      </w:r>
      <w:r w:rsidR="009A7798">
        <w:t>G</w:t>
      </w:r>
      <w:r w:rsidR="009A7798" w:rsidRPr="009A7798">
        <w:t xml:space="preserve">eist, A. </w:t>
      </w:r>
      <w:r w:rsidR="009A7798" w:rsidRPr="009A7798">
        <w:rPr>
          <w:i/>
          <w:iCs/>
        </w:rPr>
        <w:t>Using Citation Analysis Techniques for Computer-assisted Legal Research in Continental Jurisdictions</w:t>
      </w:r>
      <w:r w:rsidR="009A7798" w:rsidRPr="009A7798">
        <w:t>. Norwegian Research Center for Computers and Law, 2010</w:t>
      </w:r>
      <w:r>
        <w:t>, s. 58.</w:t>
      </w:r>
    </w:p>
  </w:footnote>
  <w:footnote w:id="63">
    <w:p w14:paraId="0CB4F30C" w14:textId="6159611B" w:rsidR="00CF7DBF" w:rsidRDefault="00CF7DBF" w:rsidP="00126261">
      <w:pPr>
        <w:pStyle w:val="Textpoznpodarou"/>
      </w:pPr>
      <w:r>
        <w:rPr>
          <w:rStyle w:val="Znakapoznpodarou"/>
        </w:rPr>
        <w:footnoteRef/>
      </w:r>
      <w:r>
        <w:t xml:space="preserve"> </w:t>
      </w:r>
      <w:r w:rsidR="00126261" w:rsidRPr="00126261">
        <w:t xml:space="preserve">Smith, T. A. The Web of Law. </w:t>
      </w:r>
      <w:r w:rsidR="00126261" w:rsidRPr="00126261">
        <w:rPr>
          <w:i/>
          <w:iCs/>
        </w:rPr>
        <w:t>San Diego Law Review</w:t>
      </w:r>
      <w:r w:rsidR="00126261" w:rsidRPr="00126261">
        <w:t>. 2007, s. 309.</w:t>
      </w:r>
    </w:p>
  </w:footnote>
  <w:footnote w:id="64">
    <w:p w14:paraId="557E996E" w14:textId="483F91F7" w:rsidR="00CF7DBF" w:rsidRDefault="00CF7DBF" w:rsidP="00126261">
      <w:pPr>
        <w:pStyle w:val="Textpoznpodarou"/>
      </w:pPr>
      <w:r>
        <w:rPr>
          <w:rStyle w:val="Znakapoznpodarou"/>
        </w:rPr>
        <w:footnoteRef/>
      </w:r>
      <w:r>
        <w:t xml:space="preserve"> </w:t>
      </w:r>
      <w:r w:rsidR="00126261" w:rsidRPr="00126261">
        <w:t xml:space="preserve">Fowler, J. H. et al. Network Analysis and the Law: Measuring the Legal Importance of Precedents at the U.S. Supreme Court. </w:t>
      </w:r>
      <w:r w:rsidR="00126261" w:rsidRPr="00126261">
        <w:rPr>
          <w:i/>
          <w:iCs/>
        </w:rPr>
        <w:t>Political Analysis</w:t>
      </w:r>
      <w:r w:rsidR="00126261" w:rsidRPr="00126261">
        <w:t>. 2007, č. 3, s. 324–346.</w:t>
      </w:r>
    </w:p>
  </w:footnote>
  <w:footnote w:id="65">
    <w:p w14:paraId="4532689F" w14:textId="3EF180CF" w:rsidR="00CF7DBF" w:rsidRDefault="00CF7DBF" w:rsidP="00126261">
      <w:pPr>
        <w:pStyle w:val="Textpoznpodarou"/>
      </w:pPr>
      <w:r>
        <w:rPr>
          <w:rStyle w:val="Znakapoznpodarou"/>
        </w:rPr>
        <w:footnoteRef/>
      </w:r>
      <w:r>
        <w:t xml:space="preserve"> </w:t>
      </w:r>
      <w:r w:rsidR="00126261" w:rsidRPr="00126261">
        <w:t xml:space="preserve">Fowler, J. H., Jeon, S. The authority of Supreme Court precedent. </w:t>
      </w:r>
      <w:r w:rsidR="00126261" w:rsidRPr="00126261">
        <w:rPr>
          <w:i/>
          <w:iCs/>
        </w:rPr>
        <w:t>Social Networks</w:t>
      </w:r>
      <w:r w:rsidR="00126261" w:rsidRPr="00126261">
        <w:t>. 2008, č. 1, s. 16–30.</w:t>
      </w:r>
    </w:p>
  </w:footnote>
  <w:footnote w:id="66">
    <w:p w14:paraId="05713351" w14:textId="5F824A2B" w:rsidR="00CF7DBF" w:rsidRDefault="00CF7DBF">
      <w:pPr>
        <w:pStyle w:val="Textpoznpodarou"/>
      </w:pPr>
      <w:r>
        <w:rPr>
          <w:rStyle w:val="Znakapoznpodarou"/>
        </w:rPr>
        <w:footnoteRef/>
      </w:r>
      <w:r>
        <w:t xml:space="preserve"> </w:t>
      </w:r>
      <w:r w:rsidR="009D2A72" w:rsidRPr="009D2A72">
        <w:t xml:space="preserve">Fowler, J. H., Jeon, S. The authority of Supreme Court precedent. </w:t>
      </w:r>
      <w:r w:rsidR="009D2A72" w:rsidRPr="009D2A72">
        <w:rPr>
          <w:i/>
          <w:iCs/>
        </w:rPr>
        <w:t>Social Networks</w:t>
      </w:r>
      <w:r w:rsidR="009D2A72" w:rsidRPr="009D2A72">
        <w:t xml:space="preserve">. 2008, č. 1, s. </w:t>
      </w:r>
      <w:r w:rsidR="009D2A72">
        <w:t>29.</w:t>
      </w:r>
    </w:p>
  </w:footnote>
  <w:footnote w:id="67">
    <w:p w14:paraId="404A9A67" w14:textId="6C327C8D" w:rsidR="00CF7DBF" w:rsidRDefault="00CF7DBF" w:rsidP="009D2A72">
      <w:pPr>
        <w:pStyle w:val="Textpoznpodarou"/>
      </w:pPr>
      <w:r>
        <w:rPr>
          <w:rStyle w:val="Znakapoznpodarou"/>
        </w:rPr>
        <w:footnoteRef/>
      </w:r>
      <w:r>
        <w:t xml:space="preserve"> </w:t>
      </w:r>
      <w:bookmarkStart w:id="21" w:name="_Hlk126927893"/>
      <w:r w:rsidR="009D2A72" w:rsidRPr="009D2A72">
        <w:t xml:space="preserve">Cross, F. B. et al. Citations in the U.S. Supreme Court: An Empirical Study of Their Use and Significance. </w:t>
      </w:r>
      <w:r w:rsidR="009D2A72" w:rsidRPr="009D2A72">
        <w:rPr>
          <w:i/>
          <w:iCs/>
        </w:rPr>
        <w:t>University of Illinois Law Review</w:t>
      </w:r>
      <w:r w:rsidR="009D2A72" w:rsidRPr="009D2A72">
        <w:t>. 2010, s. 4</w:t>
      </w:r>
      <w:r w:rsidR="009D2A72">
        <w:t>91</w:t>
      </w:r>
      <w:r>
        <w:t>.</w:t>
      </w:r>
      <w:bookmarkEnd w:id="21"/>
    </w:p>
  </w:footnote>
  <w:footnote w:id="68">
    <w:p w14:paraId="054FBFEC" w14:textId="52CC8C8C" w:rsidR="00CF7DBF" w:rsidRDefault="00CF7DBF" w:rsidP="009D2A72">
      <w:pPr>
        <w:pStyle w:val="Textpoznpodarou"/>
      </w:pPr>
      <w:r>
        <w:rPr>
          <w:rStyle w:val="Znakapoznpodarou"/>
        </w:rPr>
        <w:footnoteRef/>
      </w:r>
      <w:r>
        <w:t xml:space="preserve"> </w:t>
      </w:r>
      <w:r w:rsidR="009D2A72" w:rsidRPr="009D2A72">
        <w:t xml:space="preserve">Whalen, R. Modeling Annual Supreme Court Influence: The Role of Citation Practices and Judicial Tenure in Determining Precedent Network Growth. In: Menezes, R., Evsukoff, A., González, M. C. (eds). </w:t>
      </w:r>
      <w:r w:rsidR="009D2A72" w:rsidRPr="009D2A72">
        <w:rPr>
          <w:i/>
          <w:iCs/>
        </w:rPr>
        <w:t>Complex Networks</w:t>
      </w:r>
      <w:r w:rsidR="009D2A72" w:rsidRPr="009D2A72">
        <w:t xml:space="preserve">. Berlin, Heidelberg: Springer Berlin Heidelberg, 2013, s. 169–176. Studies in Computational Intelligence. </w:t>
      </w:r>
    </w:p>
  </w:footnote>
  <w:footnote w:id="69">
    <w:p w14:paraId="475C354A" w14:textId="5BEDC486" w:rsidR="00CF7DBF" w:rsidRDefault="00CF7DBF" w:rsidP="009D2A72">
      <w:pPr>
        <w:pStyle w:val="Textpoznpodarou"/>
      </w:pPr>
      <w:r>
        <w:rPr>
          <w:rStyle w:val="Znakapoznpodarou"/>
        </w:rPr>
        <w:footnoteRef/>
      </w:r>
      <w:r>
        <w:t xml:space="preserve"> </w:t>
      </w:r>
      <w:r w:rsidR="009D2A72" w:rsidRPr="009D2A72">
        <w:t xml:space="preserve">Winkels, R., Ruyter, J., Kroese, H. </w:t>
      </w:r>
      <w:r w:rsidR="009D2A72" w:rsidRPr="009D2A72">
        <w:rPr>
          <w:i/>
          <w:iCs/>
        </w:rPr>
        <w:t>Determining Authority of Dutch Case Law</w:t>
      </w:r>
      <w:r w:rsidR="009D2A72" w:rsidRPr="009D2A72">
        <w:t>. Rochester, NY: Social Science Research Network, 2011.</w:t>
      </w:r>
    </w:p>
  </w:footnote>
  <w:footnote w:id="70">
    <w:p w14:paraId="4FF4C1F9" w14:textId="120B2E90" w:rsidR="00CF7DBF" w:rsidRDefault="00CF7DBF">
      <w:pPr>
        <w:pStyle w:val="Textpoznpodarou"/>
      </w:pPr>
      <w:r>
        <w:rPr>
          <w:rStyle w:val="Znakapoznpodarou"/>
        </w:rPr>
        <w:footnoteRef/>
      </w:r>
      <w:r>
        <w:t xml:space="preserve"> Tamtéž.</w:t>
      </w:r>
    </w:p>
  </w:footnote>
  <w:footnote w:id="71">
    <w:p w14:paraId="0CC2B984" w14:textId="307CE3D8" w:rsidR="00CF7DBF" w:rsidRDefault="00CF7DBF" w:rsidP="007D22BD">
      <w:pPr>
        <w:pStyle w:val="Textpoznpodarou"/>
      </w:pPr>
      <w:r>
        <w:rPr>
          <w:rStyle w:val="Znakapoznpodarou"/>
        </w:rPr>
        <w:footnoteRef/>
      </w:r>
      <w:r>
        <w:t xml:space="preserve"> </w:t>
      </w:r>
      <w:r w:rsidR="007D22BD" w:rsidRPr="007D22BD">
        <w:t xml:space="preserve">Malmgren, S. </w:t>
      </w:r>
      <w:r w:rsidR="007D22BD" w:rsidRPr="007D22BD">
        <w:rPr>
          <w:i/>
          <w:iCs/>
        </w:rPr>
        <w:t>Towards a theory of jurisprudential relevance ranking – Using link analysis on EU Case Law</w:t>
      </w:r>
      <w:r w:rsidR="007D22BD" w:rsidRPr="007D22BD">
        <w:t>. graduate thesis, Faculty of Law, Stockholm University, 2011.</w:t>
      </w:r>
    </w:p>
  </w:footnote>
  <w:footnote w:id="72">
    <w:p w14:paraId="61469E35" w14:textId="7992133A" w:rsidR="00CF7DBF" w:rsidRDefault="00CF7DBF" w:rsidP="00922AB8">
      <w:pPr>
        <w:pStyle w:val="Textpoznpodarou"/>
      </w:pPr>
      <w:r>
        <w:rPr>
          <w:rStyle w:val="Znakapoznpodarou"/>
        </w:rPr>
        <w:footnoteRef/>
      </w:r>
      <w:r>
        <w:t xml:space="preserve"> </w:t>
      </w:r>
      <w:r w:rsidR="00922AB8" w:rsidRPr="00922AB8">
        <w:t xml:space="preserve">Clark, T. S., Lauderdale, B. E. The Genealogy of Law. </w:t>
      </w:r>
      <w:r w:rsidR="00922AB8" w:rsidRPr="00922AB8">
        <w:rPr>
          <w:i/>
          <w:iCs/>
        </w:rPr>
        <w:t>Political Analysis</w:t>
      </w:r>
      <w:r w:rsidR="00922AB8" w:rsidRPr="00922AB8">
        <w:t>. 2012, č. 3, s. 3</w:t>
      </w:r>
      <w:r w:rsidR="00922AB8">
        <w:t>30-331</w:t>
      </w:r>
      <w:r>
        <w:t>.</w:t>
      </w:r>
    </w:p>
  </w:footnote>
  <w:footnote w:id="73">
    <w:p w14:paraId="05DAD878" w14:textId="38F2CF78" w:rsidR="00CF7DBF" w:rsidRDefault="00CF7DBF" w:rsidP="00895808">
      <w:pPr>
        <w:pStyle w:val="Textpoznpodarou"/>
      </w:pPr>
      <w:r>
        <w:rPr>
          <w:rStyle w:val="Znakapoznpodarou"/>
        </w:rPr>
        <w:footnoteRef/>
      </w:r>
      <w:r>
        <w:t xml:space="preserve"> </w:t>
      </w:r>
      <w:r w:rsidR="00895808" w:rsidRPr="00895808">
        <w:t xml:space="preserve">Neale, T. Citation Analysis of Canadian Case Law. </w:t>
      </w:r>
      <w:r w:rsidR="00895808" w:rsidRPr="00895808">
        <w:rPr>
          <w:i/>
          <w:iCs/>
        </w:rPr>
        <w:t>Journal of Open Access to Law</w:t>
      </w:r>
      <w:r w:rsidR="00895808" w:rsidRPr="00895808">
        <w:t>. 2013, s. 1–60.</w:t>
      </w:r>
    </w:p>
  </w:footnote>
  <w:footnote w:id="74">
    <w:p w14:paraId="0704B80C" w14:textId="4C264CCA" w:rsidR="00CF7DBF" w:rsidRDefault="00CF7DBF" w:rsidP="00895808">
      <w:pPr>
        <w:pStyle w:val="Textpoznpodarou"/>
      </w:pPr>
      <w:r>
        <w:rPr>
          <w:rStyle w:val="Znakapoznpodarou"/>
        </w:rPr>
        <w:footnoteRef/>
      </w:r>
      <w:r w:rsidR="00895808">
        <w:t xml:space="preserve"> </w:t>
      </w:r>
      <w:r w:rsidR="00895808" w:rsidRPr="00895808">
        <w:t xml:space="preserve">Kuppevelt, D. van, Dijck, G. van. Answering Legal Research Questions About Dutch Case Law with Network Analysis and Visualization. In: </w:t>
      </w:r>
      <w:r w:rsidR="00895808" w:rsidRPr="00895808">
        <w:rPr>
          <w:i/>
          <w:iCs/>
        </w:rPr>
        <w:t>Legal Knowledge and Information Systems: JURIX 2017: The Thirtieth Annual Conference</w:t>
      </w:r>
      <w:r w:rsidR="00895808" w:rsidRPr="00895808">
        <w:t>. 302. IOS Press, 2017, s. 95.</w:t>
      </w:r>
    </w:p>
  </w:footnote>
  <w:footnote w:id="75">
    <w:p w14:paraId="2BC4126E" w14:textId="75F6AD2A" w:rsidR="00CF7DBF" w:rsidRDefault="00CF7DBF" w:rsidP="00895808">
      <w:pPr>
        <w:pStyle w:val="Textpoznpodarou"/>
      </w:pPr>
      <w:r>
        <w:rPr>
          <w:rStyle w:val="Znakapoznpodarou"/>
        </w:rPr>
        <w:footnoteRef/>
      </w:r>
      <w:r>
        <w:t xml:space="preserve"> </w:t>
      </w:r>
      <w:r w:rsidR="00895808">
        <w:t>Tamtéž.</w:t>
      </w:r>
    </w:p>
  </w:footnote>
  <w:footnote w:id="76">
    <w:p w14:paraId="3BCDC3B8" w14:textId="4A284FA2" w:rsidR="00CF7DBF" w:rsidRDefault="00CF7DBF">
      <w:pPr>
        <w:pStyle w:val="Textpoznpodarou"/>
      </w:pPr>
      <w:r>
        <w:rPr>
          <w:rStyle w:val="Znakapoznpodarou"/>
        </w:rPr>
        <w:footnoteRef/>
      </w:r>
      <w:r>
        <w:t xml:space="preserve"> Case Law App. Dostupné z: https://www.research-software.nl/software/case-law-app.</w:t>
      </w:r>
    </w:p>
  </w:footnote>
  <w:footnote w:id="77">
    <w:p w14:paraId="0B4E1CF5" w14:textId="135C49ED" w:rsidR="00CF7DBF" w:rsidRDefault="00CF7DBF" w:rsidP="00895808">
      <w:pPr>
        <w:pStyle w:val="Textpoznpodarou"/>
      </w:pPr>
      <w:r>
        <w:rPr>
          <w:rStyle w:val="Znakapoznpodarou"/>
        </w:rPr>
        <w:footnoteRef/>
      </w:r>
      <w:r>
        <w:t xml:space="preserve"> </w:t>
      </w:r>
      <w:r w:rsidR="00895808" w:rsidRPr="00895808">
        <w:t xml:space="preserve">Panagis, Y., Sadl, U., Tarissan, F. Giving every case its (legal) due The contribution of citation networks and text similarity techniques to legal studies of European Union law. In: </w:t>
      </w:r>
      <w:r w:rsidR="00895808" w:rsidRPr="00895808">
        <w:rPr>
          <w:i/>
          <w:iCs/>
        </w:rPr>
        <w:t>30th International Conference on Legal Knowledge and Information Systems (JURIX’17)</w:t>
      </w:r>
      <w:r w:rsidR="00895808" w:rsidRPr="00895808">
        <w:t>. 302. IOS Press, 2017, s. 59–68.</w:t>
      </w:r>
    </w:p>
  </w:footnote>
  <w:footnote w:id="78">
    <w:p w14:paraId="2BA9B606" w14:textId="0A41D28F" w:rsidR="00CF7DBF" w:rsidRDefault="00CF7DBF" w:rsidP="00D1465B">
      <w:pPr>
        <w:pStyle w:val="Textpoznpodarou"/>
      </w:pPr>
      <w:r>
        <w:rPr>
          <w:rStyle w:val="Znakapoznpodarou"/>
        </w:rPr>
        <w:footnoteRef/>
      </w:r>
      <w:r>
        <w:t xml:space="preserve"> </w:t>
      </w:r>
      <w:bookmarkStart w:id="22" w:name="_Hlk126927922"/>
      <w:r w:rsidR="00D1465B" w:rsidRPr="00D1465B">
        <w:t xml:space="preserve">Derlén, M., Lindholm, J. </w:t>
      </w:r>
      <w:r w:rsidR="00D1465B" w:rsidRPr="00D1465B">
        <w:rPr>
          <w:i/>
          <w:iCs/>
        </w:rPr>
        <w:t>Characteristics of Precedent: The Case Law of the European Court of Justice in Three Dimensions</w:t>
      </w:r>
      <w:r w:rsidR="00D1465B" w:rsidRPr="00D1465B">
        <w:t>. Rochester, NY: Social Science Research Network, 2015</w:t>
      </w:r>
      <w:r>
        <w:t xml:space="preserve">. </w:t>
      </w:r>
      <w:r w:rsidR="00D1465B" w:rsidRPr="00D1465B">
        <w:t xml:space="preserve">Derlén, M., Lindholm, J. Is it Good Law? Network Analysis and the CJEU’s Internal Market Jurisprudence. </w:t>
      </w:r>
      <w:r w:rsidR="00D1465B" w:rsidRPr="00D1465B">
        <w:rPr>
          <w:i/>
          <w:iCs/>
        </w:rPr>
        <w:t>Journal of International Economic Law</w:t>
      </w:r>
      <w:r w:rsidR="00D1465B" w:rsidRPr="00D1465B">
        <w:t>. 2017, č. 2, s. 257–277.</w:t>
      </w:r>
    </w:p>
    <w:bookmarkEnd w:id="22"/>
  </w:footnote>
  <w:footnote w:id="79">
    <w:p w14:paraId="3F96C87B" w14:textId="11C73B44" w:rsidR="00CF7DBF" w:rsidRDefault="00CF7DBF" w:rsidP="00D1465B">
      <w:pPr>
        <w:pStyle w:val="Textpoznpodarou"/>
      </w:pPr>
      <w:r>
        <w:rPr>
          <w:rStyle w:val="Znakapoznpodarou"/>
        </w:rPr>
        <w:footnoteRef/>
      </w:r>
      <w:r>
        <w:t xml:space="preserve"> </w:t>
      </w:r>
      <w:r w:rsidR="00D1465B" w:rsidRPr="00D1465B">
        <w:t xml:space="preserve">Fowler, J. H., Jeon, S. The authority of Supreme Court precedent. </w:t>
      </w:r>
      <w:r w:rsidR="00D1465B" w:rsidRPr="00D1465B">
        <w:rPr>
          <w:i/>
          <w:iCs/>
        </w:rPr>
        <w:t>Social Networks</w:t>
      </w:r>
      <w:r w:rsidR="00D1465B" w:rsidRPr="00D1465B">
        <w:t>. 2008, č. 1, s. 16–30.</w:t>
      </w:r>
    </w:p>
  </w:footnote>
  <w:footnote w:id="80">
    <w:p w14:paraId="198D8E59" w14:textId="41B4939D" w:rsidR="00CF7DBF" w:rsidRDefault="00CF7DBF" w:rsidP="00D1465B">
      <w:pPr>
        <w:pStyle w:val="Textpoznpodarou"/>
      </w:pPr>
      <w:r>
        <w:rPr>
          <w:rStyle w:val="Znakapoznpodarou"/>
        </w:rPr>
        <w:footnoteRef/>
      </w:r>
      <w:r>
        <w:t xml:space="preserve"> </w:t>
      </w:r>
      <w:r w:rsidR="00D1465B" w:rsidRPr="00D1465B">
        <w:t xml:space="preserve">Bommarito, M. J., Katz, D. M. A mathematical approach to the study of the United States Code. </w:t>
      </w:r>
      <w:r w:rsidR="00D1465B" w:rsidRPr="00D1465B">
        <w:rPr>
          <w:i/>
          <w:iCs/>
        </w:rPr>
        <w:t>Physica A: Statistical Mechanics and its Applications</w:t>
      </w:r>
      <w:r w:rsidR="00D1465B" w:rsidRPr="00D1465B">
        <w:t>. 2010, č. 19, s. 4195–4200.</w:t>
      </w:r>
    </w:p>
  </w:footnote>
  <w:footnote w:id="81">
    <w:p w14:paraId="451FB75D" w14:textId="6E0C279A" w:rsidR="007E4264" w:rsidRDefault="007E4264" w:rsidP="00D1465B">
      <w:pPr>
        <w:pStyle w:val="Textpoznpodarou"/>
      </w:pPr>
      <w:r>
        <w:rPr>
          <w:rStyle w:val="Znakapoznpodarou"/>
        </w:rPr>
        <w:footnoteRef/>
      </w:r>
      <w:r>
        <w:t xml:space="preserve"> </w:t>
      </w:r>
      <w:r w:rsidR="00D1465B" w:rsidRPr="00D1465B">
        <w:t xml:space="preserve">Boulet, R., Mazzega, P., Bourcier, D. A network approach to the French system of legal codes—part I: analysis of a dense network. </w:t>
      </w:r>
      <w:r w:rsidR="00D1465B" w:rsidRPr="00D1465B">
        <w:rPr>
          <w:i/>
          <w:iCs/>
        </w:rPr>
        <w:t>Artificial Intelligence and Law</w:t>
      </w:r>
      <w:r w:rsidR="00D1465B" w:rsidRPr="00D1465B">
        <w:t>. 2011, č. 4, s. 333–355.</w:t>
      </w:r>
    </w:p>
  </w:footnote>
  <w:footnote w:id="82">
    <w:p w14:paraId="38852BDF" w14:textId="5CD3F339" w:rsidR="007E4264" w:rsidRDefault="007E4264" w:rsidP="00D1465B">
      <w:pPr>
        <w:pStyle w:val="Textpoznpodarou"/>
      </w:pPr>
      <w:r>
        <w:rPr>
          <w:rStyle w:val="Znakapoznpodarou"/>
        </w:rPr>
        <w:footnoteRef/>
      </w:r>
      <w:r>
        <w:t xml:space="preserve"> </w:t>
      </w:r>
      <w:r w:rsidR="00D1465B" w:rsidRPr="00D1465B">
        <w:t xml:space="preserve">Boulet, R., Mazzega, P., Bourcier, D. Network approach to the French system of legal codes part II: the role of the weights in a network. </w:t>
      </w:r>
      <w:r w:rsidR="00D1465B" w:rsidRPr="00D1465B">
        <w:rPr>
          <w:i/>
          <w:iCs/>
        </w:rPr>
        <w:t>Artificial Intelligence and Law</w:t>
      </w:r>
      <w:r w:rsidR="00D1465B" w:rsidRPr="00D1465B">
        <w:t>. 2018, č. 1, s. 23–47.</w:t>
      </w:r>
    </w:p>
  </w:footnote>
  <w:footnote w:id="83">
    <w:p w14:paraId="47A7CA5A" w14:textId="58F7ACA7" w:rsidR="00B91D88" w:rsidRDefault="00B91D88" w:rsidP="00524363">
      <w:pPr>
        <w:pStyle w:val="Textpoznpodarou"/>
      </w:pPr>
      <w:r>
        <w:rPr>
          <w:rStyle w:val="Znakapoznpodarou"/>
        </w:rPr>
        <w:footnoteRef/>
      </w:r>
      <w:r>
        <w:t xml:space="preserve"> </w:t>
      </w:r>
      <w:r w:rsidR="00524363" w:rsidRPr="00524363">
        <w:t xml:space="preserve">Koniaris, M., Anagnostopoulos, I., Vassiliou, Y. Network Analysis in the Legal Domain: A complex model for European Union legal sources. </w:t>
      </w:r>
      <w:r w:rsidR="00524363" w:rsidRPr="00524363">
        <w:rPr>
          <w:i/>
          <w:iCs/>
        </w:rPr>
        <w:t>Journal of Complex Networks</w:t>
      </w:r>
      <w:r w:rsidR="00524363" w:rsidRPr="00524363">
        <w:t>. 2017, č. 2, s. 243–268</w:t>
      </w:r>
      <w:r>
        <w:t>.</w:t>
      </w:r>
    </w:p>
  </w:footnote>
  <w:footnote w:id="84">
    <w:p w14:paraId="6FD633DC" w14:textId="55DA6EBF" w:rsidR="00B91D88" w:rsidRDefault="00B91D88">
      <w:pPr>
        <w:pStyle w:val="Textpoznpodarou"/>
      </w:pPr>
      <w:r>
        <w:rPr>
          <w:rStyle w:val="Znakapoznpodarou"/>
        </w:rPr>
        <w:footnoteRef/>
      </w:r>
      <w:r>
        <w:t xml:space="preserve"> Tamtéž.</w:t>
      </w:r>
    </w:p>
  </w:footnote>
  <w:footnote w:id="85">
    <w:p w14:paraId="1827BD10" w14:textId="20E3752E" w:rsidR="00AE5A58" w:rsidRDefault="00AE5A58" w:rsidP="00AE5A58">
      <w:pPr>
        <w:pStyle w:val="Textpoznpodarou"/>
      </w:pPr>
      <w:r>
        <w:rPr>
          <w:rStyle w:val="Znakapoznpodarou"/>
        </w:rPr>
        <w:footnoteRef/>
      </w:r>
      <w:r>
        <w:t xml:space="preserve"> </w:t>
      </w:r>
      <w:r w:rsidRPr="00AE5A58">
        <w:t xml:space="preserve">Gammeltoft Hansen, T., Olsen, H. P., Byrne, W. H. Network analysis and comparative migration law: examples from the European Court of Human Rights. </w:t>
      </w:r>
      <w:r w:rsidRPr="00AE5A58">
        <w:rPr>
          <w:i/>
          <w:iCs/>
        </w:rPr>
        <w:t>International Journal of Migration and Border Studies</w:t>
      </w:r>
      <w:r w:rsidRPr="00AE5A58">
        <w:t>. 2022, č. 1, s. 1.</w:t>
      </w:r>
    </w:p>
  </w:footnote>
  <w:footnote w:id="86">
    <w:p w14:paraId="662BF559" w14:textId="6854B977" w:rsidR="00B91D88" w:rsidRDefault="00B91D88" w:rsidP="00524363">
      <w:pPr>
        <w:pStyle w:val="Textpoznpodarou"/>
      </w:pPr>
      <w:r>
        <w:rPr>
          <w:rStyle w:val="Znakapoznpodarou"/>
        </w:rPr>
        <w:footnoteRef/>
      </w:r>
      <w:r>
        <w:t xml:space="preserve"> </w:t>
      </w:r>
      <w:r w:rsidR="00524363" w:rsidRPr="00524363">
        <w:t xml:space="preserve">Geist, A. The Open Revolution: Using Citation Analysis to Improve Legal Text Retrieval. </w:t>
      </w:r>
      <w:r w:rsidR="00524363" w:rsidRPr="00524363">
        <w:rPr>
          <w:i/>
          <w:iCs/>
        </w:rPr>
        <w:t>European Journal of Legal Studies</w:t>
      </w:r>
      <w:r w:rsidR="00524363" w:rsidRPr="00524363">
        <w:t>. 2008, č. 3, s. 137–145.</w:t>
      </w:r>
    </w:p>
  </w:footnote>
  <w:footnote w:id="87">
    <w:p w14:paraId="31666B88" w14:textId="3855954D" w:rsidR="00B91D88" w:rsidRDefault="00B91D88" w:rsidP="00524363">
      <w:pPr>
        <w:pStyle w:val="Textpoznpodarou"/>
      </w:pPr>
      <w:r>
        <w:rPr>
          <w:rStyle w:val="Znakapoznpodarou"/>
        </w:rPr>
        <w:footnoteRef/>
      </w:r>
      <w:r>
        <w:t xml:space="preserve"> </w:t>
      </w:r>
      <w:r w:rsidR="00524363" w:rsidRPr="00524363">
        <w:t xml:space="preserve">Van Opijnen, M. A model for automated rating of case law. In: </w:t>
      </w:r>
      <w:r w:rsidR="00524363" w:rsidRPr="00524363">
        <w:rPr>
          <w:i/>
          <w:iCs/>
        </w:rPr>
        <w:t>Proceedings of the Fourteenth International Conference on Artificial Intelligence and Law - ICAIL ’13</w:t>
      </w:r>
      <w:r w:rsidR="00524363" w:rsidRPr="00524363">
        <w:t>. Rome, Italy: ACM Press, 2013, s. 140.</w:t>
      </w:r>
    </w:p>
  </w:footnote>
  <w:footnote w:id="88">
    <w:p w14:paraId="0CAD3C99" w14:textId="1486FB84" w:rsidR="00F21C2F" w:rsidRDefault="00F21C2F" w:rsidP="00F21C2F">
      <w:pPr>
        <w:pStyle w:val="Textpoznpodarou"/>
      </w:pPr>
      <w:r>
        <w:rPr>
          <w:rStyle w:val="Znakapoznpodarou"/>
        </w:rPr>
        <w:footnoteRef/>
      </w:r>
      <w:r>
        <w:t xml:space="preserve"> </w:t>
      </w:r>
      <w:r w:rsidRPr="00F21C2F">
        <w:t xml:space="preserve">Sartor, G. et al. Automated Extraction and Representation of Citation Network: A CJEU Case-Study. In: Guizzardi, R., Neumayr, B. (eds). </w:t>
      </w:r>
      <w:r w:rsidRPr="00F21C2F">
        <w:rPr>
          <w:i/>
          <w:iCs/>
        </w:rPr>
        <w:t>Advances in Conceptual Modeling</w:t>
      </w:r>
      <w:r w:rsidRPr="00F21C2F">
        <w:t>. Cham: Springer International Publishing, 2022, s. 102–111. Lecture Notes in Computer Science.</w:t>
      </w:r>
    </w:p>
  </w:footnote>
  <w:footnote w:id="89">
    <w:p w14:paraId="153B6ECC" w14:textId="066780A0" w:rsidR="00B91D88" w:rsidRDefault="00B91D88" w:rsidP="0018084B">
      <w:pPr>
        <w:pStyle w:val="Textpoznpodarou"/>
      </w:pPr>
      <w:r>
        <w:rPr>
          <w:rStyle w:val="Znakapoznpodarou"/>
        </w:rPr>
        <w:footnoteRef/>
      </w:r>
      <w:r>
        <w:t xml:space="preserve"> </w:t>
      </w:r>
      <w:r w:rsidR="0018084B" w:rsidRPr="0018084B">
        <w:t xml:space="preserve">Whalen, R. Legal Networks: The Promises and Challenges of Legal Network Analysis. </w:t>
      </w:r>
      <w:r w:rsidR="0018084B" w:rsidRPr="0018084B">
        <w:rPr>
          <w:i/>
          <w:iCs/>
        </w:rPr>
        <w:t>Michigan State Law Review</w:t>
      </w:r>
      <w:r w:rsidR="0018084B" w:rsidRPr="0018084B">
        <w:t>. 2016, s. 539.</w:t>
      </w:r>
    </w:p>
  </w:footnote>
  <w:footnote w:id="90">
    <w:p w14:paraId="70BADC4E" w14:textId="6FF46A95" w:rsidR="00B91D88" w:rsidRDefault="00B91D88">
      <w:pPr>
        <w:pStyle w:val="Textpoznpodarou"/>
      </w:pPr>
      <w:r>
        <w:rPr>
          <w:rStyle w:val="Znakapoznpodarou"/>
        </w:rPr>
        <w:footnoteRef/>
      </w:r>
      <w:r>
        <w:t xml:space="preserve"> Tamtéž, s. 554 a násl.</w:t>
      </w:r>
    </w:p>
  </w:footnote>
  <w:footnote w:id="91">
    <w:p w14:paraId="374AA974" w14:textId="057622CF" w:rsidR="00B91D88" w:rsidRDefault="00B91D88" w:rsidP="0018084B">
      <w:pPr>
        <w:pStyle w:val="Textpoznpodarou"/>
      </w:pPr>
      <w:r>
        <w:rPr>
          <w:rStyle w:val="Znakapoznpodarou"/>
        </w:rPr>
        <w:footnoteRef/>
      </w:r>
      <w:r>
        <w:t xml:space="preserve"> </w:t>
      </w:r>
      <w:r w:rsidR="0018084B" w:rsidRPr="0018084B">
        <w:t xml:space="preserve">Whalen, R. Legal Networks: The Promises and Challenges of Legal Network Analysis. </w:t>
      </w:r>
      <w:r w:rsidR="0018084B" w:rsidRPr="0018084B">
        <w:rPr>
          <w:i/>
          <w:iCs/>
        </w:rPr>
        <w:t>Michigan State Law Review</w:t>
      </w:r>
      <w:r w:rsidR="0018084B" w:rsidRPr="0018084B">
        <w:t>. 2016, s. 5</w:t>
      </w:r>
      <w:r w:rsidR="0018084B">
        <w:t>54 a násl.</w:t>
      </w:r>
    </w:p>
  </w:footnote>
  <w:footnote w:id="92">
    <w:p w14:paraId="13C0DA8D" w14:textId="33881BD2" w:rsidR="00F7326B" w:rsidRDefault="00F7326B" w:rsidP="00E81D45">
      <w:pPr>
        <w:pStyle w:val="Textpoznpodarou"/>
      </w:pPr>
      <w:r>
        <w:rPr>
          <w:rStyle w:val="Znakapoznpodarou"/>
        </w:rPr>
        <w:footnoteRef/>
      </w:r>
      <w:r>
        <w:t xml:space="preserve"> </w:t>
      </w:r>
      <w:bookmarkStart w:id="23" w:name="_Hlk126927987"/>
      <w:r w:rsidR="00E81D45" w:rsidRPr="00E81D45">
        <w:t xml:space="preserve">Wagh, R., Anand, D. Application of citation network analysis for improved similarity index estimation of legal case documents : A study. In: </w:t>
      </w:r>
      <w:r w:rsidR="00E81D45" w:rsidRPr="00E81D45">
        <w:rPr>
          <w:i/>
          <w:iCs/>
        </w:rPr>
        <w:t>2017 IEEE International Conference on Current Trends in Advanced Computing (ICCTAC)</w:t>
      </w:r>
      <w:r w:rsidR="00E81D45" w:rsidRPr="00E81D45">
        <w:t>. 2017, s. 1–5.</w:t>
      </w:r>
      <w:bookmarkEnd w:id="23"/>
    </w:p>
  </w:footnote>
  <w:footnote w:id="93">
    <w:p w14:paraId="75936F34" w14:textId="4C8FFFCA" w:rsidR="00F7326B" w:rsidRDefault="00F7326B" w:rsidP="00E81D45">
      <w:pPr>
        <w:pStyle w:val="Textpoznpodarou"/>
      </w:pPr>
      <w:r>
        <w:rPr>
          <w:rStyle w:val="Znakapoznpodarou"/>
        </w:rPr>
        <w:footnoteRef/>
      </w:r>
      <w:r>
        <w:t xml:space="preserve"> </w:t>
      </w:r>
      <w:r w:rsidR="00E81D45" w:rsidRPr="00E81D45">
        <w:t xml:space="preserve">Schweighofer, E., Winiwarter, W., Merkl, D. Information filtering: the computation of similarities in large corpora of legal texts. In: </w:t>
      </w:r>
      <w:r w:rsidR="00E81D45" w:rsidRPr="00E81D45">
        <w:rPr>
          <w:i/>
          <w:iCs/>
        </w:rPr>
        <w:t>Proceedings of the fifth international conference on Artificial intelligence and law  - ICAIL ’95</w:t>
      </w:r>
      <w:r w:rsidR="00E81D45" w:rsidRPr="00E81D45">
        <w:t xml:space="preserve">. College Park, Maryland, United States: ACM Press, 1995, s. 119–126. </w:t>
      </w:r>
    </w:p>
  </w:footnote>
  <w:footnote w:id="94">
    <w:p w14:paraId="5F445512" w14:textId="47385261" w:rsidR="00F7326B" w:rsidRDefault="00F7326B" w:rsidP="00752DF5">
      <w:pPr>
        <w:pStyle w:val="Textpoznpodarou"/>
      </w:pPr>
      <w:r>
        <w:rPr>
          <w:rStyle w:val="Znakapoznpodarou"/>
        </w:rPr>
        <w:footnoteRef/>
      </w:r>
      <w:r>
        <w:t xml:space="preserve"> </w:t>
      </w:r>
      <w:bookmarkStart w:id="24" w:name="_Hlk126928021"/>
      <w:r w:rsidR="00752DF5" w:rsidRPr="00752DF5">
        <w:t xml:space="preserve">Lu, Q. et al. Legal document clustering with built-in topic segmentation. In: </w:t>
      </w:r>
      <w:r w:rsidR="00752DF5" w:rsidRPr="00752DF5">
        <w:rPr>
          <w:i/>
          <w:iCs/>
        </w:rPr>
        <w:t>Proceedings of the 20th ACM international conference on Information and knowledge management - CIKM ’11</w:t>
      </w:r>
      <w:r w:rsidR="00752DF5" w:rsidRPr="00752DF5">
        <w:t>. Glasgow, Scotland, UK: ACM Press, 2011, s. 383.</w:t>
      </w:r>
    </w:p>
    <w:bookmarkEnd w:id="24"/>
  </w:footnote>
  <w:footnote w:id="95">
    <w:p w14:paraId="68DB0D44" w14:textId="3C13DD7D" w:rsidR="00F7326B" w:rsidRDefault="00F7326B" w:rsidP="00752DF5">
      <w:pPr>
        <w:pStyle w:val="Textpoznpodarou"/>
      </w:pPr>
      <w:r>
        <w:rPr>
          <w:rStyle w:val="Znakapoznpodarou"/>
        </w:rPr>
        <w:footnoteRef/>
      </w:r>
      <w:bookmarkStart w:id="25" w:name="_Hlk126928007"/>
      <w:r w:rsidR="00752DF5" w:rsidRPr="00752DF5">
        <w:t xml:space="preserve">Górski, L. Towards Legal Change Analysis: Clustering of Polish Civil Code Amendments. In: Ashley, K. D. et al. (eds). </w:t>
      </w:r>
      <w:r w:rsidR="00752DF5" w:rsidRPr="00752DF5">
        <w:rPr>
          <w:i/>
          <w:iCs/>
        </w:rPr>
        <w:t>Proceedings of the Third Workshop on Automated Semantic Analysis of Information in Legal Texts co-located with the 17th International Conference on Artificial Intelligence and Law (ICAIL 2019), Montreal, QC, Canada, June 21, 2019</w:t>
      </w:r>
      <w:r w:rsidR="00752DF5" w:rsidRPr="00752DF5">
        <w:t xml:space="preserve">. 2385. CEUR-WS.org, 2019. CEUR Workshop Proceedings. </w:t>
      </w:r>
      <w:r w:rsidR="00752DF5">
        <w:t>s. 5.</w:t>
      </w:r>
    </w:p>
    <w:bookmarkEnd w:id="25"/>
  </w:footnote>
  <w:footnote w:id="96">
    <w:p w14:paraId="26F08BD6" w14:textId="500CE46B" w:rsidR="00344837" w:rsidRDefault="00344837" w:rsidP="00344837">
      <w:pPr>
        <w:pStyle w:val="Textpoznpodarou"/>
      </w:pPr>
      <w:r>
        <w:rPr>
          <w:rStyle w:val="Znakapoznpodarou"/>
        </w:rPr>
        <w:footnoteRef/>
      </w:r>
      <w:r>
        <w:t xml:space="preserve"> </w:t>
      </w:r>
      <w:r w:rsidRPr="00344837">
        <w:t xml:space="preserve">Jungiewicz, M., Łopuszyński, M. Towards Meaningful Maps of Polish Case Law. </w:t>
      </w:r>
      <w:r w:rsidRPr="00344837">
        <w:rPr>
          <w:i/>
          <w:iCs/>
        </w:rPr>
        <w:t>Legal Knowledge and Information Systems</w:t>
      </w:r>
      <w:r w:rsidRPr="00344837">
        <w:t>. 2015, s. 185–186.</w:t>
      </w:r>
    </w:p>
  </w:footnote>
  <w:footnote w:id="97">
    <w:p w14:paraId="01B65D48" w14:textId="56421CDF" w:rsidR="00F7326B" w:rsidRDefault="00F7326B" w:rsidP="00344837">
      <w:pPr>
        <w:pStyle w:val="Textpoznpodarou"/>
      </w:pPr>
      <w:r>
        <w:rPr>
          <w:rStyle w:val="Znakapoznpodarou"/>
        </w:rPr>
        <w:footnoteRef/>
      </w:r>
      <w:r>
        <w:t xml:space="preserve"> </w:t>
      </w:r>
      <w:r w:rsidR="00344837" w:rsidRPr="00344837">
        <w:t xml:space="preserve">Venkatesh, R. K., Raghuveer, K. Legal Document Summarization using Latent Dirichlet Allocation. </w:t>
      </w:r>
      <w:r w:rsidR="00344837" w:rsidRPr="00344837">
        <w:rPr>
          <w:i/>
          <w:iCs/>
        </w:rPr>
        <w:t>International Journal of Applied Information Systems</w:t>
      </w:r>
      <w:r w:rsidR="00344837" w:rsidRPr="00344837">
        <w:t>. 2012, č. 2, s. 27–33.</w:t>
      </w:r>
    </w:p>
  </w:footnote>
  <w:footnote w:id="98">
    <w:p w14:paraId="06F356FE" w14:textId="20A46913" w:rsidR="00F7326B" w:rsidRDefault="00F7326B" w:rsidP="00344837">
      <w:pPr>
        <w:pStyle w:val="Textpoznpodarou"/>
      </w:pPr>
      <w:r>
        <w:rPr>
          <w:rStyle w:val="Znakapoznpodarou"/>
        </w:rPr>
        <w:footnoteRef/>
      </w:r>
      <w:r>
        <w:t xml:space="preserve"> </w:t>
      </w:r>
      <w:r w:rsidR="00344837" w:rsidRPr="00344837">
        <w:t xml:space="preserve">Venkatesh, R. </w:t>
      </w:r>
      <w:r w:rsidR="00344837">
        <w:t>K</w:t>
      </w:r>
      <w:r w:rsidR="00344837" w:rsidRPr="00344837">
        <w:t xml:space="preserve">umar. Legal Documents Clustering and Summarization using Hierarchical Latent Dirichlet Allocation. </w:t>
      </w:r>
      <w:r w:rsidR="00344837" w:rsidRPr="00344837">
        <w:rPr>
          <w:i/>
          <w:iCs/>
        </w:rPr>
        <w:t>IAES International Journal of Artificial Intelligence (IJ-AI)</w:t>
      </w:r>
      <w:r w:rsidR="00344837" w:rsidRPr="00344837">
        <w:t>. 2013, č. 1, s. 27–35.</w:t>
      </w:r>
    </w:p>
  </w:footnote>
  <w:footnote w:id="99">
    <w:p w14:paraId="5AF51DAB" w14:textId="77089118" w:rsidR="00F7326B" w:rsidRDefault="00F7326B" w:rsidP="00B25F18">
      <w:pPr>
        <w:pStyle w:val="Textpoznpodarou"/>
      </w:pPr>
      <w:r>
        <w:rPr>
          <w:rStyle w:val="Znakapoznpodarou"/>
        </w:rPr>
        <w:footnoteRef/>
      </w:r>
      <w:r>
        <w:t xml:space="preserve"> </w:t>
      </w:r>
      <w:r w:rsidR="00B25F18" w:rsidRPr="00B25F18">
        <w:t xml:space="preserve">Tian, X. et al. K-Means Clustering for Controversial Issues Merging in Chinese Legal Texts. </w:t>
      </w:r>
      <w:r w:rsidR="00B25F18" w:rsidRPr="00B25F18">
        <w:rPr>
          <w:i/>
          <w:iCs/>
        </w:rPr>
        <w:t>Legal Knowledge and Information Systems</w:t>
      </w:r>
      <w:r w:rsidR="00B25F18" w:rsidRPr="00B25F18">
        <w:t>. 2018, s. 215–219</w:t>
      </w:r>
      <w:r>
        <w:t>.</w:t>
      </w:r>
    </w:p>
  </w:footnote>
  <w:footnote w:id="100">
    <w:p w14:paraId="3A4D946A" w14:textId="6256E939" w:rsidR="00F7326B" w:rsidRDefault="00F7326B" w:rsidP="00B25F18">
      <w:pPr>
        <w:pStyle w:val="Textpoznpodarou"/>
      </w:pPr>
      <w:r>
        <w:rPr>
          <w:rStyle w:val="Znakapoznpodarou"/>
        </w:rPr>
        <w:footnoteRef/>
      </w:r>
      <w:r>
        <w:t xml:space="preserve"> </w:t>
      </w:r>
      <w:r w:rsidR="00B25F18" w:rsidRPr="00B25F18">
        <w:t xml:space="preserve">Nanda, R. et al. Legal Information Retrieval Using Topic Clustering and Neural Networks. In: Satoh, K. et al. (eds). </w:t>
      </w:r>
      <w:r w:rsidR="00B25F18" w:rsidRPr="00B25F18">
        <w:rPr>
          <w:i/>
          <w:iCs/>
        </w:rPr>
        <w:t>COLIEE 2017. 4th Competition on Legal Information Extraction and Entailment, held in conjunction with the 16th International Conference on Artificial Intelligence and Law (ICAIL 2017) in King’s College London, UK</w:t>
      </w:r>
      <w:r w:rsidR="00B25F18" w:rsidRPr="00B25F18">
        <w:t xml:space="preserve">. 47. EasyChair, 2017, s. 68–78. EPiC Series in Computing. </w:t>
      </w:r>
    </w:p>
  </w:footnote>
  <w:footnote w:id="101">
    <w:p w14:paraId="529861D3" w14:textId="0FBC05CD" w:rsidR="00F7326B" w:rsidRDefault="00F7326B" w:rsidP="00B25F18">
      <w:pPr>
        <w:pStyle w:val="Textpoznpodarou"/>
      </w:pPr>
      <w:r>
        <w:rPr>
          <w:rStyle w:val="Znakapoznpodarou"/>
        </w:rPr>
        <w:footnoteRef/>
      </w:r>
      <w:r w:rsidR="00B25F18" w:rsidRPr="00B25F18">
        <w:t xml:space="preserve">Conrad, J. G. et al. Effective document clustering for large heterogeneous law firm collections. In: </w:t>
      </w:r>
      <w:r w:rsidR="00B25F18" w:rsidRPr="00B25F18">
        <w:rPr>
          <w:i/>
          <w:iCs/>
        </w:rPr>
        <w:t>Proceedings of the 10th international conference on Artificial intelligence and law</w:t>
      </w:r>
      <w:r w:rsidR="00B25F18" w:rsidRPr="00B25F18">
        <w:t>. New York, NY, USA: Association for Computing Machinery, 2005, s. 177–187. ICAIL ’05.</w:t>
      </w:r>
    </w:p>
  </w:footnote>
  <w:footnote w:id="102">
    <w:p w14:paraId="0D3491FF" w14:textId="7CBF999B" w:rsidR="00F7326B" w:rsidRDefault="00F7326B" w:rsidP="00B25F18">
      <w:pPr>
        <w:pStyle w:val="Textpoznpodarou"/>
      </w:pPr>
      <w:r>
        <w:rPr>
          <w:rStyle w:val="Znakapoznpodarou"/>
        </w:rPr>
        <w:footnoteRef/>
      </w:r>
      <w:r>
        <w:t xml:space="preserve"> </w:t>
      </w:r>
      <w:r w:rsidR="00B25F18" w:rsidRPr="00B25F18">
        <w:t xml:space="preserve">Poudyal, P., Gonçalves, T., Quaresma, P. Using Clustering Techniques to Identify Arguments in Legal Documents. In: Ashley, K. D. et al. (eds). </w:t>
      </w:r>
      <w:r w:rsidR="00B25F18" w:rsidRPr="00B25F18">
        <w:rPr>
          <w:i/>
          <w:iCs/>
        </w:rPr>
        <w:t>Proceedings of the Third Workshop on Automated Semantic Analysis of Information in Legal Texts co-located with the 17th International Conference on Artificial Intelligence and Law (ICAIL 2019), Montreal, QC, Canada, June 21, 2019</w:t>
      </w:r>
      <w:r w:rsidR="00B25F18" w:rsidRPr="00B25F18">
        <w:t>. 2385. CEUR-WS.org, 2019. CEUR Workshop Proceedings.</w:t>
      </w:r>
    </w:p>
  </w:footnote>
  <w:footnote w:id="103">
    <w:p w14:paraId="3EF31C2F" w14:textId="0389252B" w:rsidR="0041158B" w:rsidRDefault="0041158B">
      <w:pPr>
        <w:pStyle w:val="Textpoznpodarou"/>
      </w:pPr>
      <w:r>
        <w:rPr>
          <w:rStyle w:val="Znakapoznpodarou"/>
        </w:rPr>
        <w:footnoteRef/>
      </w:r>
      <w:r>
        <w:t xml:space="preserve"> Nejedná se o novou myšlenku, citace samozřejmě k návrhům souvisejících rozhodnutí bývají často v praxi využívány, byť v dále nezpracované podobě.</w:t>
      </w:r>
    </w:p>
  </w:footnote>
  <w:footnote w:id="104">
    <w:p w14:paraId="5933A831" w14:textId="13C73A96" w:rsidR="0041158B" w:rsidRDefault="0041158B">
      <w:pPr>
        <w:pStyle w:val="Textpoznpodarou"/>
      </w:pPr>
      <w:r>
        <w:rPr>
          <w:rStyle w:val="Znakapoznpodarou"/>
        </w:rPr>
        <w:footnoteRef/>
      </w:r>
      <w:r>
        <w:t xml:space="preserve"> Case Law App. Dostupné z: https://www.research-software.nl/software/case-law-app.</w:t>
      </w:r>
    </w:p>
  </w:footnote>
  <w:footnote w:id="105">
    <w:p w14:paraId="75D2ADA6" w14:textId="77777777" w:rsidR="00CF77D9" w:rsidRDefault="00CF77D9" w:rsidP="00CF77D9">
      <w:pPr>
        <w:pStyle w:val="Textpoznpodarou"/>
      </w:pPr>
      <w:r>
        <w:rPr>
          <w:rStyle w:val="Znakapoznpodarou"/>
        </w:rPr>
        <w:footnoteRef/>
      </w:r>
      <w:r>
        <w:t xml:space="preserve"> Jak je patrné z přehledu užití metod v kapitole 3.</w:t>
      </w:r>
    </w:p>
  </w:footnote>
  <w:footnote w:id="106">
    <w:p w14:paraId="2E5CB803" w14:textId="341EA75E" w:rsidR="00CF77D9" w:rsidRDefault="00CF77D9" w:rsidP="00CF77D9">
      <w:pPr>
        <w:pStyle w:val="Textpoznpodarou"/>
      </w:pPr>
      <w:r>
        <w:rPr>
          <w:rStyle w:val="Znakapoznpodarou"/>
        </w:rPr>
        <w:footnoteRef/>
      </w:r>
      <w:r>
        <w:t xml:space="preserve"> </w:t>
      </w:r>
      <w:r w:rsidR="003B242C" w:rsidRPr="00DA3691">
        <w:rPr>
          <w:i/>
          <w:iCs/>
        </w:rPr>
        <w:t>Nejvyšší soud</w:t>
      </w:r>
      <w:r w:rsidR="003B242C">
        <w:t xml:space="preserve">. </w:t>
      </w:r>
      <w:r w:rsidR="003B242C" w:rsidRPr="003B242C">
        <w:t>https://nsoud.cz/</w:t>
      </w:r>
      <w:r w:rsidR="003B242C">
        <w:t xml:space="preserve">, </w:t>
      </w:r>
      <w:r w:rsidR="003B242C" w:rsidRPr="00DA3691">
        <w:rPr>
          <w:i/>
          <w:iCs/>
        </w:rPr>
        <w:t>Nejvyšší správní soud</w:t>
      </w:r>
      <w:r w:rsidR="003B242C">
        <w:t xml:space="preserve">. </w:t>
      </w:r>
      <w:r w:rsidR="003B242C" w:rsidRPr="003B242C">
        <w:t>https://www.nssoud.cz/</w:t>
      </w:r>
      <w:r w:rsidR="003B242C">
        <w:t>,</w:t>
      </w:r>
      <w:r>
        <w:t xml:space="preserve"> </w:t>
      </w:r>
      <w:r w:rsidR="003B242C" w:rsidRPr="00DA3691">
        <w:rPr>
          <w:i/>
          <w:iCs/>
        </w:rPr>
        <w:t>NALUS: Vyhledávání rozhodnutí Ústavního soudu České republiky</w:t>
      </w:r>
      <w:r w:rsidR="003B242C">
        <w:t xml:space="preserve">. </w:t>
      </w:r>
      <w:r w:rsidR="003B242C" w:rsidRPr="003B242C">
        <w:t>https://nalus.usoud.cz/Search/Search.aspx</w:t>
      </w:r>
    </w:p>
  </w:footnote>
  <w:footnote w:id="107">
    <w:p w14:paraId="360C0490" w14:textId="228B683E" w:rsidR="00CF77D9" w:rsidRDefault="00CF77D9" w:rsidP="00CF77D9">
      <w:pPr>
        <w:pStyle w:val="Textpoznpodarou"/>
      </w:pPr>
      <w:r>
        <w:rPr>
          <w:rStyle w:val="Znakapoznpodarou"/>
        </w:rPr>
        <w:footnoteRef/>
      </w:r>
      <w:r w:rsidR="000966A1">
        <w:t xml:space="preserve"> </w:t>
      </w:r>
      <w:r w:rsidR="00723E73">
        <w:t xml:space="preserve">Sbírka soudních rozhodnutí a stanovisek Nejvyššího soudu: </w:t>
      </w:r>
      <w:r w:rsidR="00723E73" w:rsidRPr="00723E73">
        <w:t>https://sbirka.nsoud.cz/</w:t>
      </w:r>
      <w:r w:rsidR="000966A1">
        <w:t xml:space="preserve">, </w:t>
      </w:r>
      <w:r w:rsidR="00723E73">
        <w:t xml:space="preserve">Sbírka rozhodnutí Nejvyššího správního soudu: </w:t>
      </w:r>
      <w:r w:rsidR="00723E73" w:rsidRPr="00723E73">
        <w:t>https://sbirka.nssoud.cz/</w:t>
      </w:r>
      <w:r w:rsidR="000966A1">
        <w:t>,</w:t>
      </w:r>
      <w:r w:rsidR="00723E73">
        <w:t xml:space="preserve"> Sbírka nálezů s usnesení Ústavního soudu: </w:t>
      </w:r>
      <w:r w:rsidR="00723E73" w:rsidRPr="00723E73">
        <w:t>https://www.usoud.cz/sbirka-nalezu-a-usneseni-us</w:t>
      </w:r>
    </w:p>
  </w:footnote>
  <w:footnote w:id="108">
    <w:p w14:paraId="0617C801" w14:textId="77777777" w:rsidR="00CF77D9" w:rsidRDefault="00CF77D9" w:rsidP="00CF77D9">
      <w:pPr>
        <w:pStyle w:val="Textpoznpodarou"/>
      </w:pPr>
      <w:r>
        <w:rPr>
          <w:rStyle w:val="Znakapoznpodarou"/>
        </w:rPr>
        <w:footnoteRef/>
      </w:r>
      <w:r>
        <w:t xml:space="preserve"> ASPI, beck-online, Codexis, Zákony pro lidi.</w:t>
      </w:r>
    </w:p>
  </w:footnote>
  <w:footnote w:id="109">
    <w:p w14:paraId="68A68CA7" w14:textId="007F116C" w:rsidR="00CF77D9" w:rsidRDefault="00CF77D9" w:rsidP="00CF77D9">
      <w:pPr>
        <w:pStyle w:val="Textpoznpodarou"/>
      </w:pPr>
      <w:r>
        <w:rPr>
          <w:rStyle w:val="Znakapoznpodarou"/>
        </w:rPr>
        <w:footnoteRef/>
      </w:r>
      <w:r>
        <w:t xml:space="preserve"> </w:t>
      </w:r>
      <w:r w:rsidR="00540215" w:rsidRPr="00540215">
        <w:t>Zpráv</w:t>
      </w:r>
      <w:r w:rsidR="00540215">
        <w:t>a</w:t>
      </w:r>
      <w:r w:rsidR="00540215" w:rsidRPr="00540215">
        <w:t xml:space="preserve"> o šetření z vlastní iniciativy ve věci naplňování evidence soudních rozhodnutí z roku 2018</w:t>
      </w:r>
      <w:r w:rsidR="00540215">
        <w:t xml:space="preserve">. </w:t>
      </w:r>
      <w:r w:rsidR="00540215" w:rsidRPr="00540215">
        <w:rPr>
          <w:i/>
          <w:iCs/>
        </w:rPr>
        <w:t>Veřejný ochránce práv</w:t>
      </w:r>
      <w:r w:rsidR="00540215">
        <w:t xml:space="preserve">. </w:t>
      </w:r>
      <w:r w:rsidR="00540215" w:rsidRPr="00540215">
        <w:t>https://www.ochrance.cz/uploads-import/ESO/Vyzkumna_zprava.pdf</w:t>
      </w:r>
    </w:p>
  </w:footnote>
  <w:footnote w:id="110">
    <w:p w14:paraId="6FA15FFC" w14:textId="7875A55C" w:rsidR="00E703C8" w:rsidRDefault="00E703C8">
      <w:pPr>
        <w:pStyle w:val="Textpoznpodarou"/>
      </w:pPr>
      <w:r>
        <w:rPr>
          <w:rStyle w:val="Znakapoznpodarou"/>
        </w:rPr>
        <w:footnoteRef/>
      </w:r>
      <w:r>
        <w:t xml:space="preserve"> </w:t>
      </w:r>
      <w:r w:rsidRPr="001757CF">
        <w:rPr>
          <w:i/>
          <w:iCs/>
        </w:rPr>
        <w:t>Czech Court Decisions Corpus</w:t>
      </w:r>
      <w:r>
        <w:t>. Popsán v kapitole 4.1.1.</w:t>
      </w:r>
    </w:p>
  </w:footnote>
  <w:footnote w:id="111">
    <w:p w14:paraId="75A5C0C2" w14:textId="092B8B51" w:rsidR="00CF77D9" w:rsidRDefault="00CF77D9" w:rsidP="00CF77D9">
      <w:pPr>
        <w:pStyle w:val="Textpoznpodarou"/>
      </w:pPr>
      <w:r>
        <w:rPr>
          <w:rStyle w:val="Znakapoznpodarou"/>
        </w:rPr>
        <w:footnoteRef/>
      </w:r>
      <w:r>
        <w:t xml:space="preserve"> </w:t>
      </w:r>
      <w:r w:rsidR="00377CCB">
        <w:t>Taková povinnost vyplývá ze § 118a odst. 2 zákona č. 6/2002 Sb., o soudech a soudcích a je specifikována ve vyhlášce o zveřejňování soudních rozhodnutí č. 403/2022 Sb.</w:t>
      </w:r>
    </w:p>
  </w:footnote>
  <w:footnote w:id="112">
    <w:p w14:paraId="5D00BF9D" w14:textId="67D429B6" w:rsidR="00457454" w:rsidRDefault="00457454">
      <w:pPr>
        <w:pStyle w:val="Textpoznpodarou"/>
      </w:pPr>
      <w:r>
        <w:rPr>
          <w:rStyle w:val="Znakapoznpodarou"/>
        </w:rPr>
        <w:footnoteRef/>
      </w:r>
      <w:r w:rsidRPr="002B5A0A">
        <w:rPr>
          <w:i/>
          <w:iCs/>
        </w:rPr>
        <w:t xml:space="preserve"> </w:t>
      </w:r>
      <w:r w:rsidR="002B5A0A" w:rsidRPr="002B5A0A">
        <w:rPr>
          <w:i/>
          <w:iCs/>
        </w:rPr>
        <w:t>Justice.cz</w:t>
      </w:r>
      <w:r w:rsidR="002B5A0A">
        <w:t xml:space="preserve">. </w:t>
      </w:r>
      <w:r w:rsidRPr="00457454">
        <w:t>https://rozhodnuti.justice.cz/SoudniRozhodnuti</w:t>
      </w:r>
    </w:p>
  </w:footnote>
  <w:footnote w:id="113">
    <w:p w14:paraId="04326D06" w14:textId="22ABFF03" w:rsidR="00457454" w:rsidRDefault="00457454">
      <w:pPr>
        <w:pStyle w:val="Textpoznpodarou"/>
      </w:pPr>
      <w:r>
        <w:rPr>
          <w:rStyle w:val="Znakapoznpodarou"/>
        </w:rPr>
        <w:footnoteRef/>
      </w:r>
      <w:r>
        <w:t xml:space="preserve"> 10. 2. 2023.</w:t>
      </w:r>
    </w:p>
  </w:footnote>
  <w:footnote w:id="114">
    <w:p w14:paraId="65D8DD04" w14:textId="5246CD41" w:rsidR="00457454" w:rsidRDefault="00457454">
      <w:pPr>
        <w:pStyle w:val="Textpoznpodarou"/>
      </w:pPr>
      <w:r>
        <w:rPr>
          <w:rStyle w:val="Znakapoznpodarou"/>
        </w:rPr>
        <w:footnoteRef/>
      </w:r>
      <w:r>
        <w:t xml:space="preserve"> </w:t>
      </w:r>
      <w:r w:rsidR="002B5A0A" w:rsidRPr="002B5A0A">
        <w:t>O stránce</w:t>
      </w:r>
      <w:r w:rsidR="002B5A0A" w:rsidRPr="002B5A0A">
        <w:rPr>
          <w:i/>
          <w:iCs/>
        </w:rPr>
        <w:t>.</w:t>
      </w:r>
      <w:r w:rsidR="002B5A0A">
        <w:t xml:space="preserve"> </w:t>
      </w:r>
      <w:r w:rsidR="002B5A0A" w:rsidRPr="002B5A0A">
        <w:rPr>
          <w:i/>
          <w:iCs/>
        </w:rPr>
        <w:t>Justice.cz</w:t>
      </w:r>
      <w:r w:rsidR="002B5A0A">
        <w:t xml:space="preserve">. </w:t>
      </w:r>
      <w:r w:rsidRPr="00457454">
        <w:t>https://rozhodnuti.justice.cz/ostrance</w:t>
      </w:r>
    </w:p>
  </w:footnote>
  <w:footnote w:id="115">
    <w:p w14:paraId="168B1B4D" w14:textId="7B1DB4CB" w:rsidR="00457454" w:rsidRDefault="00457454">
      <w:pPr>
        <w:pStyle w:val="Textpoznpodarou"/>
      </w:pPr>
      <w:r>
        <w:rPr>
          <w:rStyle w:val="Znakapoznpodarou"/>
        </w:rPr>
        <w:footnoteRef/>
      </w:r>
      <w:r>
        <w:t xml:space="preserve"> </w:t>
      </w:r>
      <w:r w:rsidR="00511B08" w:rsidRPr="00511B08">
        <w:rPr>
          <w:i/>
          <w:iCs/>
        </w:rPr>
        <w:t>Judikatura</w:t>
      </w:r>
      <w:r w:rsidR="00511B08">
        <w:t xml:space="preserve">. </w:t>
      </w:r>
      <w:r w:rsidRPr="00457454">
        <w:t>https://www.nsoud.cz/judikaturavks/judikatura_vks.nsf/webSpreadSearch</w:t>
      </w:r>
    </w:p>
  </w:footnote>
  <w:footnote w:id="116">
    <w:p w14:paraId="7828274A" w14:textId="37E29649" w:rsidR="000C35E6" w:rsidRDefault="000C35E6">
      <w:pPr>
        <w:pStyle w:val="Textpoznpodarou"/>
      </w:pPr>
      <w:r>
        <w:rPr>
          <w:rStyle w:val="Znakapoznpodarou"/>
        </w:rPr>
        <w:footnoteRef/>
      </w:r>
      <w:r w:rsidRPr="007F35E0">
        <w:rPr>
          <w:i/>
          <w:iCs/>
        </w:rPr>
        <w:t xml:space="preserve"> </w:t>
      </w:r>
      <w:r w:rsidR="007F35E0" w:rsidRPr="007F35E0">
        <w:rPr>
          <w:i/>
          <w:iCs/>
        </w:rPr>
        <w:t>Nejvyšší správní soud</w:t>
      </w:r>
      <w:r w:rsidR="007F35E0">
        <w:t xml:space="preserve">. </w:t>
      </w:r>
      <w:r w:rsidRPr="000C35E6">
        <w:t>https://www.nssoud.cz/</w:t>
      </w:r>
    </w:p>
  </w:footnote>
  <w:footnote w:id="117">
    <w:p w14:paraId="47F769E8" w14:textId="3B3594D4" w:rsidR="00CF77D9" w:rsidRDefault="00CF77D9" w:rsidP="00CF77D9">
      <w:pPr>
        <w:pStyle w:val="Textpoznpodarou"/>
      </w:pPr>
      <w:r>
        <w:rPr>
          <w:rStyle w:val="Znakapoznpodarou"/>
        </w:rPr>
        <w:footnoteRef/>
      </w:r>
      <w:r>
        <w:t xml:space="preserve"> </w:t>
      </w:r>
      <w:r w:rsidR="00B320B6" w:rsidRPr="00B320B6">
        <w:rPr>
          <w:i/>
          <w:iCs/>
        </w:rPr>
        <w:t>Wikimedia Downloads</w:t>
      </w:r>
      <w:r w:rsidR="00B320B6">
        <w:t xml:space="preserve">. </w:t>
      </w:r>
      <w:r>
        <w:t>https://dumps.wikimedia.org/</w:t>
      </w:r>
    </w:p>
  </w:footnote>
  <w:footnote w:id="118">
    <w:p w14:paraId="79A6D4A6" w14:textId="6124503F" w:rsidR="00CF77D9" w:rsidRDefault="00CF77D9" w:rsidP="00CF77D9">
      <w:pPr>
        <w:pStyle w:val="Textpoznpodarou"/>
      </w:pPr>
      <w:r>
        <w:rPr>
          <w:rStyle w:val="Znakapoznpodarou"/>
        </w:rPr>
        <w:footnoteRef/>
      </w:r>
      <w:r>
        <w:t xml:space="preserve">  </w:t>
      </w:r>
      <w:r w:rsidR="00B320B6" w:rsidRPr="00B320B6">
        <w:rPr>
          <w:i/>
          <w:iCs/>
        </w:rPr>
        <w:t>Project Gutenberg</w:t>
      </w:r>
      <w:r w:rsidR="00B320B6">
        <w:t xml:space="preserve">. </w:t>
      </w:r>
      <w:r>
        <w:t>https://www.gutenberg.org/</w:t>
      </w:r>
    </w:p>
  </w:footnote>
  <w:footnote w:id="119">
    <w:p w14:paraId="1038EFAD" w14:textId="5AB6F9D9" w:rsidR="00CF77D9" w:rsidRDefault="00CF77D9" w:rsidP="00CF77D9">
      <w:pPr>
        <w:pStyle w:val="Textpoznpodarou"/>
      </w:pPr>
      <w:r>
        <w:rPr>
          <w:rStyle w:val="Znakapoznpodarou"/>
        </w:rPr>
        <w:footnoteRef/>
      </w:r>
      <w:r>
        <w:t xml:space="preserve"> </w:t>
      </w:r>
      <w:r w:rsidR="00B320B6" w:rsidRPr="00B320B6">
        <w:rPr>
          <w:i/>
          <w:iCs/>
        </w:rPr>
        <w:t>20 Newsgroups</w:t>
      </w:r>
      <w:r w:rsidR="00B320B6">
        <w:t xml:space="preserve">. </w:t>
      </w:r>
      <w:r>
        <w:t>http://qwone.com/~jason/20Newsgroups/</w:t>
      </w:r>
    </w:p>
  </w:footnote>
  <w:footnote w:id="120">
    <w:p w14:paraId="7B8F2820" w14:textId="46922817" w:rsidR="00CF77D9" w:rsidRDefault="00CF77D9" w:rsidP="005824B5">
      <w:pPr>
        <w:pStyle w:val="Textpoznpodarou"/>
      </w:pPr>
      <w:r>
        <w:rPr>
          <w:rStyle w:val="Znakapoznpodarou"/>
        </w:rPr>
        <w:footnoteRef/>
      </w:r>
      <w:r>
        <w:t xml:space="preserve"> </w:t>
      </w:r>
      <w:r w:rsidR="005824B5" w:rsidRPr="005824B5">
        <w:t xml:space="preserve">Edwards, A. et al. Go Simple and Pre-Train on Domain-Specific Corpora: On the Role of Training Data for Text Classification. In: </w:t>
      </w:r>
      <w:r w:rsidR="005824B5" w:rsidRPr="005824B5">
        <w:rPr>
          <w:i/>
          <w:iCs/>
        </w:rPr>
        <w:t>Proceedings of the 28th International Conference on Computational Linguistics</w:t>
      </w:r>
      <w:r w:rsidR="005824B5" w:rsidRPr="005824B5">
        <w:t>. Barcelona, Spain (Online): International Committee on Computational Linguistics, 2020, s. 5522–5529.</w:t>
      </w:r>
    </w:p>
  </w:footnote>
  <w:footnote w:id="121">
    <w:p w14:paraId="3482B21D" w14:textId="3B00BE27" w:rsidR="009E31B9" w:rsidRDefault="009E31B9" w:rsidP="009E31B9">
      <w:pPr>
        <w:pStyle w:val="Textpoznpodarou"/>
      </w:pPr>
      <w:r>
        <w:rPr>
          <w:rStyle w:val="Znakapoznpodarou"/>
        </w:rPr>
        <w:footnoteRef/>
      </w:r>
      <w:r>
        <w:t xml:space="preserve"> Ačkoliv již dnes existují snahy vytvářet multijazykové modely, viz např. výzkum, na kterém jsem se podílela a jehož výsledky byly publikovány v: </w:t>
      </w:r>
      <w:r w:rsidRPr="009E31B9">
        <w:t xml:space="preserve">Savelka, J. et al. Lex Rosetta: transfer of predictive models across languages, jurisdictions, and legal domains. In: </w:t>
      </w:r>
      <w:r w:rsidRPr="009E31B9">
        <w:rPr>
          <w:i/>
          <w:iCs/>
        </w:rPr>
        <w:t>Proceedings of the Eighteenth International Conference on Artificial Intelligence and Law</w:t>
      </w:r>
      <w:r w:rsidRPr="009E31B9">
        <w:t>. New York, NY, USA: Association for Computing Machinery, 2021, s. 129–138.</w:t>
      </w:r>
    </w:p>
  </w:footnote>
  <w:footnote w:id="122">
    <w:p w14:paraId="3E03558D" w14:textId="64D98F2A" w:rsidR="00CF77D9" w:rsidRDefault="00CF77D9" w:rsidP="002C75B0">
      <w:pPr>
        <w:pStyle w:val="Textpoznpodarou"/>
      </w:pPr>
      <w:r>
        <w:rPr>
          <w:rStyle w:val="Znakapoznpodarou"/>
        </w:rPr>
        <w:footnoteRef/>
      </w:r>
      <w:r w:rsidR="002C75B0">
        <w:t xml:space="preserve"> </w:t>
      </w:r>
      <w:r w:rsidR="002C75B0" w:rsidRPr="002C75B0">
        <w:t xml:space="preserve">Koehn, P. Europarl: A Parallel Corpus for Statistical Machine Translation. In: </w:t>
      </w:r>
      <w:r w:rsidR="002C75B0" w:rsidRPr="002C75B0">
        <w:rPr>
          <w:i/>
          <w:iCs/>
        </w:rPr>
        <w:t>Proceedings of Machine Translation Summit X: Papers</w:t>
      </w:r>
      <w:r w:rsidR="002C75B0" w:rsidRPr="002C75B0">
        <w:t>. Phuket, Thailand, 2005, s. 79–86.</w:t>
      </w:r>
    </w:p>
  </w:footnote>
  <w:footnote w:id="123">
    <w:p w14:paraId="20F5DADD" w14:textId="6DD77007" w:rsidR="00CF77D9" w:rsidRDefault="00CF77D9" w:rsidP="00CF77D9">
      <w:pPr>
        <w:pStyle w:val="Textpoznpodarou"/>
      </w:pPr>
      <w:r>
        <w:rPr>
          <w:rStyle w:val="Znakapoznpodarou"/>
        </w:rPr>
        <w:footnoteRef/>
      </w:r>
      <w:r>
        <w:t xml:space="preserve"> </w:t>
      </w:r>
      <w:r w:rsidR="004C2120" w:rsidRPr="004C2120">
        <w:rPr>
          <w:i/>
          <w:iCs/>
        </w:rPr>
        <w:t>EUR-Lex. Přístup k právu Evropské unie</w:t>
      </w:r>
      <w:r w:rsidR="004C2120">
        <w:t xml:space="preserve">. </w:t>
      </w:r>
      <w:r w:rsidR="004C2120" w:rsidRPr="004C2120">
        <w:t>https://eur-lex.europa.eu/homepage.html?locale=cs</w:t>
      </w:r>
    </w:p>
  </w:footnote>
  <w:footnote w:id="124">
    <w:p w14:paraId="12DA258E" w14:textId="34BEE8DD" w:rsidR="00CF77D9" w:rsidRDefault="00CF77D9" w:rsidP="00CF77D9">
      <w:pPr>
        <w:pStyle w:val="Textpoznpodarou"/>
      </w:pPr>
      <w:r>
        <w:rPr>
          <w:rStyle w:val="Znakapoznpodarou"/>
        </w:rPr>
        <w:footnoteRef/>
      </w:r>
      <w:r>
        <w:t xml:space="preserve"> </w:t>
      </w:r>
      <w:r w:rsidR="004C2120" w:rsidRPr="004C2120">
        <w:rPr>
          <w:i/>
          <w:iCs/>
        </w:rPr>
        <w:t>CanLII.</w:t>
      </w:r>
      <w:r w:rsidR="004C2120">
        <w:t xml:space="preserve"> </w:t>
      </w:r>
      <w:r w:rsidR="004C2120" w:rsidRPr="004C2120">
        <w:t>https://www.canlii.org/en/</w:t>
      </w:r>
    </w:p>
  </w:footnote>
  <w:footnote w:id="125">
    <w:p w14:paraId="55DF872F" w14:textId="37BC6867" w:rsidR="00CF77D9" w:rsidRDefault="00CF77D9" w:rsidP="004C2120">
      <w:pPr>
        <w:pStyle w:val="Textpoznpodarou"/>
      </w:pPr>
      <w:r>
        <w:rPr>
          <w:rStyle w:val="Znakapoznpodarou"/>
        </w:rPr>
        <w:footnoteRef/>
      </w:r>
      <w:r>
        <w:t xml:space="preserve"> </w:t>
      </w:r>
      <w:r w:rsidR="004C2120" w:rsidRPr="004C2120">
        <w:t xml:space="preserve">Nikolaos Aletras and Ilias Chalkidis. </w:t>
      </w:r>
      <w:r w:rsidR="004C2120" w:rsidRPr="004C2120">
        <w:rPr>
          <w:i/>
          <w:iCs/>
        </w:rPr>
        <w:t>ECHR Dataset - ACL 2019</w:t>
      </w:r>
      <w:r w:rsidR="004C2120" w:rsidRPr="004C2120">
        <w:t xml:space="preserve">. </w:t>
      </w:r>
    </w:p>
  </w:footnote>
  <w:footnote w:id="126">
    <w:p w14:paraId="7B5204AA" w14:textId="73E79C97" w:rsidR="00CF77D9" w:rsidRDefault="00CF77D9" w:rsidP="00CF77D9">
      <w:pPr>
        <w:pStyle w:val="Textpoznpodarou"/>
      </w:pPr>
      <w:r>
        <w:rPr>
          <w:rStyle w:val="Znakapoznpodarou"/>
        </w:rPr>
        <w:footnoteRef/>
      </w:r>
      <w:r>
        <w:t xml:space="preserve"> </w:t>
      </w:r>
      <w:r w:rsidRPr="004C2120">
        <w:rPr>
          <w:i/>
          <w:iCs/>
        </w:rPr>
        <w:t>SCOTUS Opinions Corpus</w:t>
      </w:r>
      <w:r w:rsidR="004C2120">
        <w:t xml:space="preserve">. </w:t>
      </w:r>
      <w:hyperlink r:id="rId1">
        <w:r w:rsidRPr="00CF77D9">
          <w:t>https://www.kaggle.com/jboysen/scotus-corpus</w:t>
        </w:r>
      </w:hyperlink>
      <w:r>
        <w:t>.</w:t>
      </w:r>
    </w:p>
  </w:footnote>
  <w:footnote w:id="127">
    <w:p w14:paraId="1489F1DC" w14:textId="0E50F7FA" w:rsidR="00CF77D9" w:rsidRDefault="00CF77D9" w:rsidP="00CF77D9">
      <w:pPr>
        <w:pStyle w:val="Textpoznpodarou"/>
      </w:pPr>
      <w:r>
        <w:rPr>
          <w:rStyle w:val="Znakapoznpodarou"/>
        </w:rPr>
        <w:footnoteRef/>
      </w:r>
      <w:r>
        <w:t xml:space="preserve"> </w:t>
      </w:r>
      <w:r w:rsidRPr="004C2120">
        <w:rPr>
          <w:i/>
          <w:iCs/>
        </w:rPr>
        <w:t>UCI Machine Learning Repository: Legal Case Reports Data Set</w:t>
      </w:r>
      <w:r w:rsidR="004C2120" w:rsidRPr="004C2120">
        <w:rPr>
          <w:i/>
          <w:iCs/>
        </w:rPr>
        <w:t>.</w:t>
      </w:r>
      <w:r w:rsidRPr="00CF77D9">
        <w:t xml:space="preserve"> </w:t>
      </w:r>
      <w:hyperlink r:id="rId2">
        <w:r w:rsidRPr="00CF77D9">
          <w:t>https://archive.ics.uci.edu/ml/datasets/Legal+Case+Reports</w:t>
        </w:r>
      </w:hyperlink>
      <w:r>
        <w:t>.</w:t>
      </w:r>
    </w:p>
  </w:footnote>
  <w:footnote w:id="128">
    <w:p w14:paraId="0B104164" w14:textId="6201165A" w:rsidR="00CF77D9" w:rsidRDefault="00CF77D9" w:rsidP="00CF77D9">
      <w:pPr>
        <w:pStyle w:val="Textpoznpodarou"/>
      </w:pPr>
      <w:r>
        <w:rPr>
          <w:rStyle w:val="Znakapoznpodarou"/>
        </w:rPr>
        <w:footnoteRef/>
      </w:r>
      <w:r>
        <w:t xml:space="preserve"> </w:t>
      </w:r>
      <w:r w:rsidR="00CB1D5E" w:rsidRPr="00CB1D5E">
        <w:rPr>
          <w:i/>
          <w:iCs/>
        </w:rPr>
        <w:t>Free Law</w:t>
      </w:r>
      <w:r w:rsidR="00CB1D5E">
        <w:t xml:space="preserve">. </w:t>
      </w:r>
      <w:r>
        <w:t>https://free.law/</w:t>
      </w:r>
    </w:p>
  </w:footnote>
  <w:footnote w:id="129">
    <w:p w14:paraId="09A96336" w14:textId="438E5C95" w:rsidR="00CF77D9" w:rsidRDefault="00CF77D9" w:rsidP="00CF77D9">
      <w:pPr>
        <w:pStyle w:val="Textpoznpodarou"/>
      </w:pPr>
      <w:r>
        <w:rPr>
          <w:rStyle w:val="Znakapoznpodarou"/>
        </w:rPr>
        <w:footnoteRef/>
      </w:r>
      <w:r>
        <w:t xml:space="preserve"> </w:t>
      </w:r>
      <w:r w:rsidR="00CB1D5E" w:rsidRPr="00CB1D5E">
        <w:rPr>
          <w:i/>
          <w:iCs/>
        </w:rPr>
        <w:t>The Supreme Court Database.</w:t>
      </w:r>
      <w:r w:rsidR="00CB1D5E">
        <w:t xml:space="preserve"> </w:t>
      </w:r>
      <w:r>
        <w:t>http://scdb.wustl.edu/</w:t>
      </w:r>
    </w:p>
  </w:footnote>
  <w:footnote w:id="130">
    <w:p w14:paraId="424FC5D7" w14:textId="7BEFF0F3" w:rsidR="00CF77D9" w:rsidRDefault="00CF77D9" w:rsidP="00CF77D9">
      <w:pPr>
        <w:pStyle w:val="Textpoznpodarou"/>
      </w:pPr>
      <w:r>
        <w:rPr>
          <w:rStyle w:val="Znakapoznpodarou"/>
        </w:rPr>
        <w:footnoteRef/>
      </w:r>
      <w:r>
        <w:t xml:space="preserve"> </w:t>
      </w:r>
      <w:r w:rsidR="00CB1D5E" w:rsidRPr="00CB1D5E">
        <w:rPr>
          <w:i/>
          <w:iCs/>
        </w:rPr>
        <w:t>Legal Information Institute, Cornell Law School</w:t>
      </w:r>
      <w:r w:rsidR="00CB1D5E">
        <w:t xml:space="preserve">. </w:t>
      </w:r>
      <w:r>
        <w:t>https://www.law.cornell.edu/</w:t>
      </w:r>
    </w:p>
  </w:footnote>
  <w:footnote w:id="131">
    <w:p w14:paraId="09659DEE" w14:textId="31CA913E" w:rsidR="00CF77D9" w:rsidRDefault="00CF77D9" w:rsidP="00CF77D9">
      <w:pPr>
        <w:pStyle w:val="Textpoznpodarou"/>
      </w:pPr>
      <w:r>
        <w:rPr>
          <w:rStyle w:val="Znakapoznpodarou"/>
        </w:rPr>
        <w:footnoteRef/>
      </w:r>
      <w:r w:rsidRPr="00CB1D5E">
        <w:rPr>
          <w:i/>
          <w:iCs/>
        </w:rPr>
        <w:t xml:space="preserve"> </w:t>
      </w:r>
      <w:r w:rsidR="00CB1D5E" w:rsidRPr="00CB1D5E">
        <w:rPr>
          <w:i/>
          <w:iCs/>
        </w:rPr>
        <w:t>Wiki Česká národní korpus</w:t>
      </w:r>
      <w:r w:rsidR="00CB1D5E">
        <w:t xml:space="preserve">. </w:t>
      </w:r>
      <w:r>
        <w:t>https://wiki.korpus.cz/doku.php/start</w:t>
      </w:r>
    </w:p>
  </w:footnote>
  <w:footnote w:id="132">
    <w:p w14:paraId="1A685841" w14:textId="74594576" w:rsidR="00CF77D9" w:rsidRDefault="00CF77D9" w:rsidP="00CF77D9">
      <w:pPr>
        <w:pStyle w:val="Textpoznpodarou"/>
      </w:pPr>
      <w:r>
        <w:rPr>
          <w:rStyle w:val="Znakapoznpodarou"/>
        </w:rPr>
        <w:footnoteRef/>
      </w:r>
      <w:r>
        <w:t xml:space="preserve"> </w:t>
      </w:r>
      <w:r w:rsidR="00CB1D5E" w:rsidRPr="00CB1D5E">
        <w:rPr>
          <w:i/>
          <w:iCs/>
        </w:rPr>
        <w:t>Czech Academic Corpus</w:t>
      </w:r>
      <w:r w:rsidR="00CB1D5E">
        <w:t xml:space="preserve">. </w:t>
      </w:r>
      <w:r>
        <w:t>https://ufal.mff.cuni.cz/cac</w:t>
      </w:r>
    </w:p>
  </w:footnote>
  <w:footnote w:id="133">
    <w:p w14:paraId="300E7035" w14:textId="4AD5A281" w:rsidR="00CF77D9" w:rsidRDefault="00CF77D9" w:rsidP="00CF77D9">
      <w:pPr>
        <w:pStyle w:val="Textpoznpodarou"/>
      </w:pPr>
      <w:r>
        <w:rPr>
          <w:rStyle w:val="Znakapoznpodarou"/>
        </w:rPr>
        <w:footnoteRef/>
      </w:r>
      <w:r>
        <w:t xml:space="preserve"> </w:t>
      </w:r>
      <w:r w:rsidR="00CB1D5E" w:rsidRPr="00CB1D5E">
        <w:rPr>
          <w:i/>
          <w:iCs/>
        </w:rPr>
        <w:t>Prague Dependency Treebank 3.0</w:t>
      </w:r>
      <w:r w:rsidR="00CB1D5E">
        <w:t xml:space="preserve">. </w:t>
      </w:r>
      <w:r>
        <w:t>https://ufal.mff.cuni.cz/pdt3.0</w:t>
      </w:r>
    </w:p>
  </w:footnote>
  <w:footnote w:id="134">
    <w:p w14:paraId="34F37CBE" w14:textId="0672EEF0" w:rsidR="00CF77D9" w:rsidRDefault="00CF77D9" w:rsidP="00CF77D9">
      <w:pPr>
        <w:pStyle w:val="Textpoznpodarou"/>
      </w:pPr>
      <w:r>
        <w:rPr>
          <w:rStyle w:val="Znakapoznpodarou"/>
        </w:rPr>
        <w:footnoteRef/>
      </w:r>
      <w:r>
        <w:t xml:space="preserve"> </w:t>
      </w:r>
      <w:r w:rsidR="00CB1D5E" w:rsidRPr="00CB1D5E">
        <w:rPr>
          <w:i/>
          <w:iCs/>
        </w:rPr>
        <w:t>csTenTen: Corpus of the Czech Web</w:t>
      </w:r>
      <w:r w:rsidR="00CB1D5E">
        <w:t xml:space="preserve">. </w:t>
      </w:r>
      <w:r>
        <w:t>https://www.sketchengine.eu/cstenten-czech-corpus/</w:t>
      </w:r>
    </w:p>
  </w:footnote>
  <w:footnote w:id="135">
    <w:p w14:paraId="49F3B2D6" w14:textId="098AE3D3" w:rsidR="00995B88" w:rsidRDefault="00995B88">
      <w:pPr>
        <w:pStyle w:val="Textpoznpodarou"/>
      </w:pPr>
      <w:r>
        <w:rPr>
          <w:rStyle w:val="Znakapoznpodarou"/>
        </w:rPr>
        <w:footnoteRef/>
      </w:r>
      <w:r>
        <w:t xml:space="preserve"> </w:t>
      </w:r>
      <w:r w:rsidRPr="00995B88">
        <w:t xml:space="preserve">Kríž, V., Hladká, B., Urešová, Z. </w:t>
      </w:r>
      <w:r w:rsidRPr="005C50F3">
        <w:rPr>
          <w:i/>
          <w:iCs/>
        </w:rPr>
        <w:t>Czech Legal Text Treebank</w:t>
      </w:r>
      <w:r w:rsidRPr="00995B88">
        <w:t xml:space="preserve"> 1.0. Portorož, Slovenia: European Language Resources Association (ELRA), 2016. https://aclanthology.org/L16-1378</w:t>
      </w:r>
      <w:r>
        <w:t>.</w:t>
      </w:r>
    </w:p>
  </w:footnote>
  <w:footnote w:id="136">
    <w:p w14:paraId="0F58F14A" w14:textId="15588BC5" w:rsidR="003C7F88" w:rsidRPr="003C7F88" w:rsidRDefault="00CF77D9" w:rsidP="003C7F88">
      <w:pPr>
        <w:pStyle w:val="Textpoznpodarou"/>
      </w:pPr>
      <w:r>
        <w:rPr>
          <w:rStyle w:val="Znakapoznpodarou"/>
        </w:rPr>
        <w:footnoteRef/>
      </w:r>
      <w:r>
        <w:t xml:space="preserve"> Platí však pouze do určité</w:t>
      </w:r>
      <w:r w:rsidR="003C7F88">
        <w:t xml:space="preserve"> míry, viz: </w:t>
      </w:r>
      <w:r w:rsidR="003C7F88" w:rsidRPr="003C7F88">
        <w:t xml:space="preserve">Westermann, H. et al. Data-Centric Machine Learning: Improving Model Performance and Understanding Through Dataset Analysis. </w:t>
      </w:r>
      <w:r w:rsidR="003C7F88" w:rsidRPr="003C7F88">
        <w:rPr>
          <w:i/>
          <w:iCs/>
        </w:rPr>
        <w:t>Legal Knowledge and Information Systems</w:t>
      </w:r>
      <w:r w:rsidR="003C7F88" w:rsidRPr="003C7F88">
        <w:t>. 2021, s. 54–57.</w:t>
      </w:r>
    </w:p>
    <w:p w14:paraId="3685249B" w14:textId="622D594E" w:rsidR="00CF77D9" w:rsidRDefault="00CF77D9" w:rsidP="00CF77D9">
      <w:pPr>
        <w:pStyle w:val="Textpoznpodarou"/>
      </w:pPr>
    </w:p>
  </w:footnote>
  <w:footnote w:id="137">
    <w:p w14:paraId="2CDA19C3" w14:textId="1F164A73" w:rsidR="00CF77D9" w:rsidRDefault="00CF77D9" w:rsidP="00CF77D9">
      <w:pPr>
        <w:pStyle w:val="Textpoznpodarou"/>
      </w:pPr>
      <w:r>
        <w:rPr>
          <w:rStyle w:val="Znakapoznpodarou"/>
        </w:rPr>
        <w:footnoteRef/>
      </w:r>
      <w:r>
        <w:t xml:space="preserve"> Zajímavou situací by bylo, kdyby bylo podáno proti částce odvolání s argumentací, že nevhodná úprava licenčních podmínek správy databáze, která nepovoluje získání a extrahování rozhodnutí, by neměla být přenášena na adresáta práva. Pro účel pokračování v tomto výzkumu však byla zvolena jiná a časově úspornější cesta.</w:t>
      </w:r>
    </w:p>
  </w:footnote>
  <w:footnote w:id="138">
    <w:p w14:paraId="3811188A" w14:textId="353D0FCF" w:rsidR="00CF77D9" w:rsidRDefault="00CF77D9" w:rsidP="00CF77D9">
      <w:pPr>
        <w:pStyle w:val="Textpoznpodarou"/>
      </w:pPr>
      <w:r>
        <w:rPr>
          <w:rStyle w:val="Znakapoznpodarou"/>
        </w:rPr>
        <w:footnoteRef/>
      </w:r>
      <w:r>
        <w:t xml:space="preserve"> </w:t>
      </w:r>
      <w:r w:rsidRPr="009C19A4">
        <w:rPr>
          <w:i/>
          <w:iCs/>
        </w:rPr>
        <w:t>Apache Tika – a content analysis tool</w:t>
      </w:r>
      <w:r>
        <w:t>. https://tika.apache.org/</w:t>
      </w:r>
    </w:p>
  </w:footnote>
  <w:footnote w:id="139">
    <w:p w14:paraId="1A4AF4B8" w14:textId="30DB1633" w:rsidR="00234AA3" w:rsidRDefault="00234AA3">
      <w:pPr>
        <w:pStyle w:val="Textpoznpodarou"/>
      </w:pPr>
      <w:r>
        <w:rPr>
          <w:rStyle w:val="Znakapoznpodarou"/>
        </w:rPr>
        <w:footnoteRef/>
      </w:r>
      <w:r>
        <w:t xml:space="preserve"> </w:t>
      </w:r>
      <w:r w:rsidRPr="00234AA3">
        <w:t>Soudní rozhodnutí jsou tzv. úředními díly dle zákona č. 121/2000 Sb., autorského zákona, § 3 písm. a), proto jsou vyjmuta z ochrany autorským právem.</w:t>
      </w:r>
    </w:p>
  </w:footnote>
  <w:footnote w:id="140">
    <w:p w14:paraId="02E74A64" w14:textId="4F457BA8" w:rsidR="00CF77D9" w:rsidRDefault="00CF77D9" w:rsidP="00F30D2A">
      <w:pPr>
        <w:pStyle w:val="Textpoznpodarou"/>
      </w:pPr>
      <w:r>
        <w:rPr>
          <w:rStyle w:val="Znakapoznpodarou"/>
        </w:rPr>
        <w:footnoteRef/>
      </w:r>
      <w:r>
        <w:t xml:space="preserve"> </w:t>
      </w:r>
      <w:bookmarkStart w:id="30" w:name="_Hlk126928093"/>
      <w:r w:rsidR="00234AA3" w:rsidRPr="00234AA3">
        <w:t xml:space="preserve">Novotná, T., Harašta, J. </w:t>
      </w:r>
      <w:r w:rsidR="00234AA3" w:rsidRPr="00234AA3">
        <w:rPr>
          <w:i/>
          <w:iCs/>
        </w:rPr>
        <w:t>Czech Court Decisions Corpus (CzCDC 1.0)</w:t>
      </w:r>
      <w:r w:rsidR="00234AA3" w:rsidRPr="00234AA3">
        <w:t>. 2019. https://lindat.mff.cuni.cz/repository/xmlui/handle/11372/LRT-3052</w:t>
      </w:r>
      <w:r w:rsidR="00234AA3">
        <w:t xml:space="preserve"> </w:t>
      </w:r>
      <w:bookmarkEnd w:id="30"/>
    </w:p>
  </w:footnote>
  <w:footnote w:id="141">
    <w:p w14:paraId="7E1D9326" w14:textId="398E6835" w:rsidR="00CF77D9" w:rsidRDefault="00CF77D9" w:rsidP="00F30D2A">
      <w:pPr>
        <w:pStyle w:val="Textpoznpodarou"/>
      </w:pPr>
      <w:r>
        <w:rPr>
          <w:rStyle w:val="Znakapoznpodarou"/>
        </w:rPr>
        <w:footnoteRef/>
      </w:r>
      <w:r>
        <w:t xml:space="preserve"> Korpus detailněji popsán v: </w:t>
      </w:r>
      <w:r w:rsidR="00F30D2A" w:rsidRPr="00F30D2A">
        <w:t xml:space="preserve">Novotná, T., Harašta, J. The Czech Court Decisions Corpus (CzCDC): Availability as the First Step. </w:t>
      </w:r>
      <w:r w:rsidR="00F30D2A" w:rsidRPr="00F30D2A">
        <w:rPr>
          <w:i/>
          <w:iCs/>
        </w:rPr>
        <w:t>arXiv:1910.09513 [cs]</w:t>
      </w:r>
      <w:r w:rsidR="00F30D2A" w:rsidRPr="00F30D2A">
        <w:t>. 2019.</w:t>
      </w:r>
    </w:p>
  </w:footnote>
  <w:footnote w:id="142">
    <w:p w14:paraId="49DE13C8" w14:textId="72754AAD" w:rsidR="003C1187" w:rsidRDefault="003C1187">
      <w:pPr>
        <w:pStyle w:val="Textpoznpodarou"/>
      </w:pPr>
      <w:r>
        <w:rPr>
          <w:rStyle w:val="Znakapoznpodarou"/>
        </w:rPr>
        <w:footnoteRef/>
      </w:r>
      <w:r>
        <w:t xml:space="preserve"> Kapitola 7.</w:t>
      </w:r>
    </w:p>
  </w:footnote>
  <w:footnote w:id="143">
    <w:p w14:paraId="13DF63CC" w14:textId="06F45CF2" w:rsidR="003C1187" w:rsidRDefault="003C1187">
      <w:pPr>
        <w:pStyle w:val="Textpoznpodarou"/>
      </w:pPr>
      <w:r>
        <w:rPr>
          <w:rStyle w:val="Znakapoznpodarou"/>
        </w:rPr>
        <w:footnoteRef/>
      </w:r>
      <w:r>
        <w:t xml:space="preserve"> Kapitola 8.</w:t>
      </w:r>
    </w:p>
  </w:footnote>
  <w:footnote w:id="144">
    <w:p w14:paraId="3C8ACADA" w14:textId="20799295" w:rsidR="003C1187" w:rsidRDefault="003C1187">
      <w:pPr>
        <w:pStyle w:val="Textpoznpodarou"/>
      </w:pPr>
      <w:r>
        <w:rPr>
          <w:rStyle w:val="Znakapoznpodarou"/>
        </w:rPr>
        <w:footnoteRef/>
      </w:r>
      <w:r>
        <w:t xml:space="preserve"> Kapitola 6.</w:t>
      </w:r>
    </w:p>
  </w:footnote>
  <w:footnote w:id="145">
    <w:p w14:paraId="43898342" w14:textId="0C8049D1" w:rsidR="003C1187" w:rsidRDefault="003C1187">
      <w:pPr>
        <w:pStyle w:val="Textpoznpodarou"/>
      </w:pPr>
      <w:r>
        <w:rPr>
          <w:rStyle w:val="Znakapoznpodarou"/>
        </w:rPr>
        <w:footnoteRef/>
      </w:r>
      <w:r>
        <w:t xml:space="preserve"> Kapitola 5.</w:t>
      </w:r>
    </w:p>
  </w:footnote>
  <w:footnote w:id="146">
    <w:p w14:paraId="3381FBE8" w14:textId="15CC3B11" w:rsidR="00732468" w:rsidRPr="00BF55B5" w:rsidRDefault="00732468" w:rsidP="000121E9">
      <w:pPr>
        <w:pStyle w:val="Textpoznpodarou"/>
      </w:pPr>
      <w:r>
        <w:rPr>
          <w:rStyle w:val="Znakapoznpodarou"/>
        </w:rPr>
        <w:footnoteRef/>
      </w:r>
      <w:r>
        <w:t xml:space="preserve"> Detailně popsán v:</w:t>
      </w:r>
      <w:r w:rsidR="000121E9" w:rsidRPr="000121E9">
        <w:rPr>
          <w:rFonts w:ascii="Times New Roman" w:hAnsi="Times New Roman"/>
        </w:rPr>
        <w:t xml:space="preserve"> </w:t>
      </w:r>
      <w:r w:rsidR="000121E9" w:rsidRPr="000121E9">
        <w:t xml:space="preserve">Harašta, J., Novotná, T., Šavelka, J. Citation Data of Czech Apex Courts. </w:t>
      </w:r>
      <w:r w:rsidR="000121E9" w:rsidRPr="000121E9">
        <w:rPr>
          <w:i/>
          <w:iCs/>
        </w:rPr>
        <w:t>arXiv:2002.02224 [cs]</w:t>
      </w:r>
      <w:r w:rsidR="000121E9" w:rsidRPr="000121E9">
        <w:t>. 2020.</w:t>
      </w:r>
    </w:p>
  </w:footnote>
  <w:footnote w:id="147">
    <w:p w14:paraId="4B9E0045" w14:textId="451A906D" w:rsidR="000121E9" w:rsidRDefault="000121E9">
      <w:pPr>
        <w:pStyle w:val="Textpoznpodarou"/>
      </w:pPr>
      <w:r>
        <w:rPr>
          <w:rStyle w:val="Znakapoznpodarou"/>
        </w:rPr>
        <w:footnoteRef/>
      </w:r>
      <w:r>
        <w:t xml:space="preserve"> </w:t>
      </w:r>
      <w:bookmarkStart w:id="32" w:name="_Hlk126928111"/>
      <w:r w:rsidRPr="000121E9">
        <w:rPr>
          <w:i/>
          <w:iCs/>
        </w:rPr>
        <w:t>Czech Court Citations Dataset</w:t>
      </w:r>
      <w:r>
        <w:t>.</w:t>
      </w:r>
      <w:r w:rsidRPr="000121E9">
        <w:t xml:space="preserve"> https://github.com/czech-case-law-relevance/czech-court-citations-dataset</w:t>
      </w:r>
      <w:bookmarkEnd w:id="32"/>
    </w:p>
  </w:footnote>
  <w:footnote w:id="148">
    <w:p w14:paraId="0E707725" w14:textId="1146FF95" w:rsidR="009E15B7" w:rsidRDefault="009E15B7" w:rsidP="0034508D">
      <w:pPr>
        <w:pStyle w:val="Textpoznpodarou"/>
      </w:pPr>
      <w:r>
        <w:rPr>
          <w:rStyle w:val="Znakapoznpodarou"/>
        </w:rPr>
        <w:footnoteRef/>
      </w:r>
      <w:r>
        <w:t xml:space="preserve"> Viz např.:</w:t>
      </w:r>
      <w:r w:rsidR="0034508D">
        <w:t xml:space="preserve"> </w:t>
      </w:r>
      <w:r w:rsidR="0034508D" w:rsidRPr="0034508D">
        <w:t xml:space="preserve">Smejkalová, T., Novotná, T. Exploring the Relation Between the Indegree Centrality and Authority Score of a Decision and the Reason for Which It Was Cited: A Case Study. </w:t>
      </w:r>
      <w:r w:rsidR="0034508D" w:rsidRPr="0034508D">
        <w:rPr>
          <w:i/>
          <w:iCs/>
        </w:rPr>
        <w:t>Masaryk University Journal of Law and Technology</w:t>
      </w:r>
      <w:r w:rsidR="0034508D" w:rsidRPr="0034508D">
        <w:t>. 2021, č. 2, s. 225–246.</w:t>
      </w:r>
    </w:p>
  </w:footnote>
  <w:footnote w:id="149">
    <w:p w14:paraId="0B976F8B" w14:textId="2B00DE3D" w:rsidR="009E15B7" w:rsidRDefault="009E15B7" w:rsidP="009E15B7">
      <w:pPr>
        <w:pStyle w:val="Textpoznpodarou"/>
      </w:pPr>
      <w:r>
        <w:rPr>
          <w:rStyle w:val="Znakapoznpodarou"/>
        </w:rPr>
        <w:footnoteRef/>
      </w:r>
      <w:r>
        <w:t xml:space="preserve"> Viz např. statistika počtu citací a vývoj v čase </w:t>
      </w:r>
      <w:r w:rsidR="0034508D">
        <w:t>v následující kapitole 5.</w:t>
      </w:r>
    </w:p>
  </w:footnote>
  <w:footnote w:id="150">
    <w:p w14:paraId="7BC4BD0F" w14:textId="77777777" w:rsidR="009E15B7" w:rsidRDefault="009E15B7" w:rsidP="009E15B7">
      <w:pPr>
        <w:pStyle w:val="Textpoznpodarou"/>
      </w:pPr>
      <w:r>
        <w:rPr>
          <w:rStyle w:val="Znakapoznpodarou"/>
        </w:rPr>
        <w:footnoteRef/>
      </w:r>
      <w:r>
        <w:t xml:space="preserve"> V rámci projektu Exaktní hodnocení aplikační relevance judikatury číslo GA17-20645S.</w:t>
      </w:r>
    </w:p>
  </w:footnote>
  <w:footnote w:id="151">
    <w:p w14:paraId="4595D5B2" w14:textId="190645C1" w:rsidR="009E15B7" w:rsidRDefault="009E15B7" w:rsidP="00030C4F">
      <w:pPr>
        <w:pStyle w:val="Textpoznpodarou"/>
      </w:pPr>
      <w:r>
        <w:rPr>
          <w:rStyle w:val="Znakapoznpodarou"/>
        </w:rPr>
        <w:footnoteRef/>
      </w:r>
      <w:r>
        <w:t xml:space="preserve"> Detailně popsán v:  </w:t>
      </w:r>
      <w:r w:rsidR="00030C4F" w:rsidRPr="00030C4F">
        <w:t xml:space="preserve">Harašta, J. et al. Automatic Segmentation of Czech Court Decisions into Multi-Paragraph Parts. </w:t>
      </w:r>
      <w:r w:rsidR="00030C4F" w:rsidRPr="00030C4F">
        <w:rPr>
          <w:i/>
          <w:iCs/>
        </w:rPr>
        <w:t>Jusletter IT</w:t>
      </w:r>
      <w:r w:rsidR="00030C4F" w:rsidRPr="00030C4F">
        <w:t xml:space="preserve">. 2019, č. 23-Mai-2019. </w:t>
      </w:r>
      <w:r>
        <w:t xml:space="preserve">Dostupné </w:t>
      </w:r>
      <w:r w:rsidR="00030C4F">
        <w:t>na</w:t>
      </w:r>
      <w:r>
        <w:t>: </w:t>
      </w:r>
      <w:r w:rsidRPr="009E15B7">
        <w:t>https://lindat.mff.cuni.cz/repository/xmlui/handle/11372/LRT-2901</w:t>
      </w:r>
    </w:p>
  </w:footnote>
  <w:footnote w:id="152">
    <w:p w14:paraId="2033E136" w14:textId="747434FE" w:rsidR="009E15B7" w:rsidRDefault="009E15B7" w:rsidP="00030C4F">
      <w:pPr>
        <w:pStyle w:val="Textpoznpodarou"/>
      </w:pPr>
      <w:r>
        <w:rPr>
          <w:rStyle w:val="Znakapoznpodarou"/>
        </w:rPr>
        <w:footnoteRef/>
      </w:r>
      <w:r>
        <w:t xml:space="preserve"> Deatilně popsán v:  </w:t>
      </w:r>
      <w:r w:rsidR="00030C4F" w:rsidRPr="00030C4F">
        <w:t xml:space="preserve">Harašta, J. et al. Annotated Corpus of Czech Case Law for Reference Recognition Tasks. In: Sojka, P. et al. (eds). </w:t>
      </w:r>
      <w:r w:rsidR="00030C4F" w:rsidRPr="00030C4F">
        <w:rPr>
          <w:i/>
          <w:iCs/>
        </w:rPr>
        <w:t>Text, Speech, and Dialogue</w:t>
      </w:r>
      <w:r w:rsidR="00030C4F" w:rsidRPr="00030C4F">
        <w:t>. Springer International Publishing, 2018, s. 239–250. Lecture Notes in Computer Science.</w:t>
      </w:r>
      <w:r>
        <w:t xml:space="preserve"> Dostupné </w:t>
      </w:r>
      <w:r w:rsidR="00030C4F">
        <w:t>na</w:t>
      </w:r>
      <w:r>
        <w:t xml:space="preserve">: </w:t>
      </w:r>
      <w:r w:rsidR="00030C4F" w:rsidRPr="00030C4F">
        <w:t>https://lindat.mff.cuni.cz/repository/xmlui/handle/11234/1-3008?locale-attribute=cs</w:t>
      </w:r>
    </w:p>
  </w:footnote>
  <w:footnote w:id="153">
    <w:p w14:paraId="622FA169" w14:textId="77777777" w:rsidR="009E15B7" w:rsidRDefault="009E15B7" w:rsidP="009E15B7">
      <w:pPr>
        <w:pStyle w:val="Textpoznpodarou"/>
      </w:pPr>
      <w:r>
        <w:rPr>
          <w:rStyle w:val="Znakapoznpodarou"/>
        </w:rPr>
        <w:footnoteRef/>
      </w:r>
      <w:r>
        <w:t xml:space="preserve"> Obecné užité síťové analýzy a základní teoretická východiska viz kapitola 3.</w:t>
      </w:r>
    </w:p>
  </w:footnote>
  <w:footnote w:id="154">
    <w:p w14:paraId="19AA790A" w14:textId="77777777" w:rsidR="009E15B7" w:rsidRDefault="009E15B7" w:rsidP="009E15B7">
      <w:pPr>
        <w:pStyle w:val="Textpoznpodarou"/>
      </w:pPr>
      <w:r>
        <w:rPr>
          <w:rStyle w:val="Znakapoznpodarou"/>
        </w:rPr>
        <w:footnoteRef/>
      </w:r>
      <w:r>
        <w:t xml:space="preserve"> Kapitoly 1 a 2.</w:t>
      </w:r>
    </w:p>
  </w:footnote>
  <w:footnote w:id="155">
    <w:p w14:paraId="581B1CC7" w14:textId="77777777" w:rsidR="009E15B7" w:rsidRDefault="009E15B7" w:rsidP="009E15B7">
      <w:pPr>
        <w:pStyle w:val="Textpoznpodarou"/>
      </w:pPr>
      <w:r>
        <w:rPr>
          <w:rStyle w:val="Znakapoznpodarou"/>
        </w:rPr>
        <w:footnoteRef/>
      </w:r>
      <w:r>
        <w:t xml:space="preserve"> Viz kapitola 2.</w:t>
      </w:r>
    </w:p>
  </w:footnote>
  <w:footnote w:id="156">
    <w:p w14:paraId="40A5321E" w14:textId="055003E5" w:rsidR="009E15B7" w:rsidRDefault="009E15B7" w:rsidP="00CD6EEB">
      <w:pPr>
        <w:pStyle w:val="Textpoznpodarou"/>
      </w:pPr>
      <w:r>
        <w:rPr>
          <w:rStyle w:val="Znakapoznpodarou"/>
        </w:rPr>
        <w:footnoteRef/>
      </w:r>
      <w:r>
        <w:t xml:space="preserve"> </w:t>
      </w:r>
      <w:r w:rsidR="00CD6EEB" w:rsidRPr="00CD6EEB">
        <w:t xml:space="preserve">Chelimsky, E., Shadish, W. </w:t>
      </w:r>
      <w:r w:rsidR="00CD6EEB" w:rsidRPr="00CD6EEB">
        <w:rPr>
          <w:i/>
          <w:iCs/>
        </w:rPr>
        <w:t>Evaluation for the 21st Century: A Handbook</w:t>
      </w:r>
      <w:r w:rsidR="00CD6EEB" w:rsidRPr="00CD6EEB">
        <w:t>. 2455 Teller Road, Thousand Oaks California 91320 United States: SAGE Publications, Inc., 1997</w:t>
      </w:r>
      <w:r w:rsidR="00CD6EEB">
        <w:t>, s. 1 -26.</w:t>
      </w:r>
    </w:p>
  </w:footnote>
  <w:footnote w:id="157">
    <w:p w14:paraId="1C808A15" w14:textId="56B0DB31" w:rsidR="009E15B7" w:rsidRDefault="009E15B7" w:rsidP="00CD6EEB">
      <w:pPr>
        <w:pStyle w:val="Textpoznpodarou"/>
      </w:pPr>
      <w:r>
        <w:rPr>
          <w:rStyle w:val="Znakapoznpodarou"/>
        </w:rPr>
        <w:footnoteRef/>
      </w:r>
      <w:r>
        <w:t xml:space="preserve"> </w:t>
      </w:r>
      <w:r w:rsidR="00CD6EEB" w:rsidRPr="00CD6EEB">
        <w:t xml:space="preserve">Conrad, J. G., Zeleznikow, J. The significance of evaluation in AI and law: a case study re-examining ICAIL proceedings. In: </w:t>
      </w:r>
      <w:r w:rsidR="00CD6EEB" w:rsidRPr="00CD6EEB">
        <w:rPr>
          <w:i/>
          <w:iCs/>
        </w:rPr>
        <w:t>Proceedings of the Fourteenth International Conference on Artificial Intelligence and Law - ICAIL ’13</w:t>
      </w:r>
      <w:r w:rsidR="00CD6EEB" w:rsidRPr="00CD6EEB">
        <w:t xml:space="preserve">. Rome, Italy: ACM Press, 2013, s. 186. </w:t>
      </w:r>
    </w:p>
  </w:footnote>
  <w:footnote w:id="158">
    <w:p w14:paraId="0A3E11A9" w14:textId="39010EDE" w:rsidR="009E15B7" w:rsidRDefault="009E15B7" w:rsidP="00453464">
      <w:pPr>
        <w:pStyle w:val="Textpoznpodarou"/>
      </w:pPr>
      <w:r>
        <w:rPr>
          <w:rStyle w:val="Znakapoznpodarou"/>
        </w:rPr>
        <w:footnoteRef/>
      </w:r>
      <w:r w:rsidR="00453464">
        <w:t xml:space="preserve"> </w:t>
      </w:r>
      <w:r w:rsidR="00453464" w:rsidRPr="00453464">
        <w:t xml:space="preserve">Bartolini, C., Lenzini, G., Santos, C. An Agile Approach to Validate a Formal Representation of the GDPR. In: Kojima, K. et al. (eds). </w:t>
      </w:r>
      <w:r w:rsidR="00453464" w:rsidRPr="00453464">
        <w:rPr>
          <w:i/>
          <w:iCs/>
        </w:rPr>
        <w:t>New Frontiers in Artificial Intelligence</w:t>
      </w:r>
      <w:r w:rsidR="00453464" w:rsidRPr="00453464">
        <w:t>. Cham: Springer International Publishing, 2019, s. 160–176. Lecture Notes in Computer Science.</w:t>
      </w:r>
    </w:p>
  </w:footnote>
  <w:footnote w:id="159">
    <w:p w14:paraId="0A38458F" w14:textId="09388D3C" w:rsidR="009E15B7" w:rsidRDefault="009E15B7" w:rsidP="00CD6EEB">
      <w:pPr>
        <w:pStyle w:val="Textpoznpodarou"/>
      </w:pPr>
      <w:r>
        <w:rPr>
          <w:rStyle w:val="Znakapoznpodarou"/>
        </w:rPr>
        <w:footnoteRef/>
      </w:r>
      <w:r>
        <w:t xml:space="preserve"> </w:t>
      </w:r>
      <w:r w:rsidR="00CD6EEB" w:rsidRPr="00CD6EEB">
        <w:t xml:space="preserve">Conrad, J. G., Zeleznikow, J. The significance of evaluation in AI and law: a case study re-examining ICAIL proceedings. In: </w:t>
      </w:r>
      <w:r w:rsidR="00CD6EEB" w:rsidRPr="00CD6EEB">
        <w:rPr>
          <w:i/>
          <w:iCs/>
        </w:rPr>
        <w:t>Proceedings of the Fourteenth International Conference on Artificial Intelligence and Law - ICAIL ’13</w:t>
      </w:r>
      <w:r w:rsidR="00CD6EEB" w:rsidRPr="00CD6EEB">
        <w:t xml:space="preserve">. Rome, Italy: ACM Press, 2013, s. 186. Conrad, J. G., Zeleznikow, J. The role of evaluation in AI and law: an examination of its different forms in the AI and law journal. In: </w:t>
      </w:r>
      <w:r w:rsidR="00CD6EEB" w:rsidRPr="00CD6EEB">
        <w:rPr>
          <w:i/>
          <w:iCs/>
        </w:rPr>
        <w:t>Proceedings of the 15th International Conference on Artificial Intelligence and Law - ICAIL ’15</w:t>
      </w:r>
      <w:r w:rsidR="00CD6EEB" w:rsidRPr="00CD6EEB">
        <w:t xml:space="preserve">. San Diego, California: ACM Press, 2015, s. 181–186. </w:t>
      </w:r>
    </w:p>
  </w:footnote>
  <w:footnote w:id="160">
    <w:p w14:paraId="2BD1252A" w14:textId="21FC054F" w:rsidR="009E15B7" w:rsidRDefault="009E15B7" w:rsidP="00FD69DA">
      <w:pPr>
        <w:pStyle w:val="Textpoznpodarou"/>
      </w:pPr>
      <w:r>
        <w:rPr>
          <w:rStyle w:val="Znakapoznpodarou"/>
        </w:rPr>
        <w:footnoteRef/>
      </w:r>
      <w:r w:rsidR="00FD69DA">
        <w:t xml:space="preserve"> </w:t>
      </w:r>
      <w:r w:rsidR="00FD69DA" w:rsidRPr="00FD69DA">
        <w:t xml:space="preserve">Hall, M. J. J., Zeleznikow, J. Acknowledging insufficiency in the evaluation of legal knowledge-based systems: strategies towards a broadbased evaluation model. In: </w:t>
      </w:r>
      <w:r w:rsidR="00FD69DA" w:rsidRPr="00FD69DA">
        <w:rPr>
          <w:i/>
          <w:iCs/>
        </w:rPr>
        <w:t>Proceedings of the 8th international conference on Artificial intelligence and law</w:t>
      </w:r>
      <w:r w:rsidR="00FD69DA" w:rsidRPr="00FD69DA">
        <w:t>. New York, NY, USA: Association for Computing Machinery, 2001, s. 147–156. ICAIL ’01.</w:t>
      </w:r>
    </w:p>
  </w:footnote>
  <w:footnote w:id="161">
    <w:p w14:paraId="118B882A" w14:textId="7F9AAA1C" w:rsidR="009E15B7" w:rsidRDefault="009E15B7" w:rsidP="009E15B7">
      <w:pPr>
        <w:pStyle w:val="Textpoznpodarou"/>
      </w:pPr>
      <w:r>
        <w:rPr>
          <w:rStyle w:val="Znakapoznpodarou"/>
        </w:rPr>
        <w:footnoteRef/>
      </w:r>
      <w:r>
        <w:t xml:space="preserve"> </w:t>
      </w:r>
      <w:r w:rsidR="00FD69DA" w:rsidRPr="00FD69DA">
        <w:rPr>
          <w:i/>
          <w:iCs/>
        </w:rPr>
        <w:t>Artificial Intelligence and Law</w:t>
      </w:r>
      <w:r w:rsidR="00FD69DA">
        <w:t xml:space="preserve">. </w:t>
      </w:r>
      <w:r>
        <w:t>https://www.springer.com/journal/10506.</w:t>
      </w:r>
    </w:p>
  </w:footnote>
  <w:footnote w:id="162">
    <w:p w14:paraId="30F366CF" w14:textId="77777777" w:rsidR="009E15B7" w:rsidRDefault="009E15B7" w:rsidP="009E15B7">
      <w:pPr>
        <w:pStyle w:val="Textpoznpodarou"/>
      </w:pPr>
      <w:r>
        <w:rPr>
          <w:rStyle w:val="Znakapoznpodarou"/>
        </w:rPr>
        <w:footnoteRef/>
      </w:r>
      <w:r>
        <w:t xml:space="preserve"> Pořádaná jednou za dva roky International Association for Artificial Intelligence and Law: http://www.iaail.org/.</w:t>
      </w:r>
    </w:p>
  </w:footnote>
  <w:footnote w:id="163">
    <w:p w14:paraId="04BBEBD8" w14:textId="2F147FD9" w:rsidR="009E15B7" w:rsidRDefault="009E15B7" w:rsidP="009E15B7">
      <w:pPr>
        <w:pStyle w:val="Textpoznpodarou"/>
      </w:pPr>
      <w:r>
        <w:rPr>
          <w:rStyle w:val="Znakapoznpodarou"/>
        </w:rPr>
        <w:footnoteRef/>
      </w:r>
      <w:r w:rsidR="00FD69DA">
        <w:t xml:space="preserve"> </w:t>
      </w:r>
      <w:r w:rsidR="00FD69DA" w:rsidRPr="00FD69DA">
        <w:t xml:space="preserve">Conrad, J. G., Zeleznikow, J. The role of evaluation in AI and law: an examination of its different forms in the AI and law journal. In: </w:t>
      </w:r>
      <w:r w:rsidR="00FD69DA" w:rsidRPr="00FD69DA">
        <w:rPr>
          <w:i/>
          <w:iCs/>
        </w:rPr>
        <w:t>Proceedings of the 15th International Conference on Artificial Intelligence and Law - ICAIL ’15</w:t>
      </w:r>
      <w:r w:rsidR="00FD69DA" w:rsidRPr="00FD69DA">
        <w:t>. San Diego, California: ACM Press, 2015, s. 181–186.</w:t>
      </w:r>
    </w:p>
  </w:footnote>
  <w:footnote w:id="164">
    <w:p w14:paraId="4BF4F873" w14:textId="41DD2F47" w:rsidR="00A5101A" w:rsidRDefault="00A5101A" w:rsidP="00A5101A">
      <w:pPr>
        <w:pStyle w:val="Textpoznpodarou"/>
      </w:pPr>
      <w:r>
        <w:rPr>
          <w:rStyle w:val="Znakapoznpodarou"/>
        </w:rPr>
        <w:footnoteRef/>
      </w:r>
      <w:r>
        <w:t xml:space="preserve"> Tamtéž</w:t>
      </w:r>
      <w:r w:rsidRPr="00A5101A">
        <w:t>.</w:t>
      </w:r>
      <w:r>
        <w:t xml:space="preserve"> s. 184 - 185.</w:t>
      </w:r>
    </w:p>
  </w:footnote>
  <w:footnote w:id="165">
    <w:p w14:paraId="0A1BF2EF" w14:textId="1DA731CF" w:rsidR="00EA0B85" w:rsidRDefault="00EA0B85">
      <w:pPr>
        <w:pStyle w:val="Textpoznpodarou"/>
      </w:pPr>
      <w:r>
        <w:rPr>
          <w:rStyle w:val="Znakapoznpodarou"/>
        </w:rPr>
        <w:footnoteRef/>
      </w:r>
      <w:r>
        <w:t xml:space="preserve"> Jedná se konkrétně o rozdíl mezi vysokým koherenčním skóre a nízkým hodnocením metod modelování témat v kapitole 8 a výsledky v podkapitole 10.3.</w:t>
      </w:r>
    </w:p>
  </w:footnote>
  <w:footnote w:id="166">
    <w:p w14:paraId="160227EE" w14:textId="29C6E499" w:rsidR="00287644" w:rsidRDefault="00287644" w:rsidP="005720D8">
      <w:pPr>
        <w:pStyle w:val="Textpoznpodarou"/>
      </w:pPr>
      <w:r>
        <w:rPr>
          <w:rStyle w:val="Znakapoznpodarou"/>
        </w:rPr>
        <w:footnoteRef/>
      </w:r>
      <w:r>
        <w:t xml:space="preserve"> </w:t>
      </w:r>
      <w:r w:rsidR="005720D8" w:rsidRPr="005720D8">
        <w:t xml:space="preserve">Van Opijnen, M., Santos, C. On the concept of relevance in legal information retrieval. </w:t>
      </w:r>
      <w:r w:rsidR="005720D8" w:rsidRPr="005720D8">
        <w:rPr>
          <w:i/>
          <w:iCs/>
        </w:rPr>
        <w:t>Artificial Intelligence and Law</w:t>
      </w:r>
      <w:r w:rsidR="005720D8" w:rsidRPr="005720D8">
        <w:t>. 2017, č. 1, s. 65–87.</w:t>
      </w:r>
    </w:p>
  </w:footnote>
  <w:footnote w:id="167">
    <w:p w14:paraId="6BC29539" w14:textId="27A17149" w:rsidR="00287644" w:rsidRDefault="00287644" w:rsidP="00030347">
      <w:pPr>
        <w:pStyle w:val="Textpoznpodarou"/>
      </w:pPr>
      <w:r>
        <w:rPr>
          <w:rStyle w:val="Znakapoznpodarou"/>
        </w:rPr>
        <w:footnoteRef/>
      </w:r>
      <w:r>
        <w:t xml:space="preserve"> </w:t>
      </w:r>
      <w:r w:rsidR="00030347" w:rsidRPr="00030347">
        <w:t xml:space="preserve">Van Opijnen, M., Santos, C. On the concept of relevance in legal information retrieval. </w:t>
      </w:r>
      <w:r w:rsidR="00030347" w:rsidRPr="00030347">
        <w:rPr>
          <w:i/>
          <w:iCs/>
        </w:rPr>
        <w:t>Artificial Intelligence and Law</w:t>
      </w:r>
      <w:r w:rsidR="00030347" w:rsidRPr="00030347">
        <w:t xml:space="preserve">. 2017, č. 1, s. </w:t>
      </w:r>
      <w:r w:rsidR="00030347">
        <w:t>66.</w:t>
      </w:r>
    </w:p>
  </w:footnote>
  <w:footnote w:id="168">
    <w:p w14:paraId="307A2825" w14:textId="3AE62117" w:rsidR="00652BCD" w:rsidRDefault="00652BCD" w:rsidP="00F6684B">
      <w:pPr>
        <w:pStyle w:val="Textpoznpodarou"/>
      </w:pPr>
      <w:r>
        <w:rPr>
          <w:rStyle w:val="Znakapoznpodarou"/>
        </w:rPr>
        <w:footnoteRef/>
      </w:r>
      <w:r>
        <w:t xml:space="preserve"> </w:t>
      </w:r>
      <w:bookmarkStart w:id="38" w:name="_Hlk126928235"/>
      <w:r w:rsidR="00F6684B" w:rsidRPr="00F6684B">
        <w:t>Harašta, J.</w:t>
      </w:r>
      <w:r w:rsidR="00F6684B">
        <w:t>, Smejkalová T., Novotná T. et al</w:t>
      </w:r>
      <w:r w:rsidR="00F6684B" w:rsidRPr="00F6684B">
        <w:t xml:space="preserve">. </w:t>
      </w:r>
      <w:r w:rsidR="00F6684B" w:rsidRPr="00F6684B">
        <w:rPr>
          <w:i/>
          <w:iCs/>
        </w:rPr>
        <w:t>Citační analýza judikatury</w:t>
      </w:r>
      <w:r w:rsidR="00F6684B" w:rsidRPr="00F6684B">
        <w:t>. Wolters Kluwer, 2021.</w:t>
      </w:r>
      <w:r w:rsidR="00F6684B">
        <w:t xml:space="preserve"> Publikace vytvořena v rámci projektu </w:t>
      </w:r>
      <w:r w:rsidR="00D84535" w:rsidRPr="00D84535">
        <w:t>Exaktní hodnocení aplikační relevance judikatury číslo GA17-20645S.</w:t>
      </w:r>
      <w:bookmarkEnd w:id="38"/>
    </w:p>
  </w:footnote>
  <w:footnote w:id="169">
    <w:p w14:paraId="7BB5A654" w14:textId="73C4EFB2" w:rsidR="008939D0" w:rsidRDefault="008939D0">
      <w:pPr>
        <w:pStyle w:val="Textpoznpodarou"/>
      </w:pPr>
      <w:r>
        <w:rPr>
          <w:rStyle w:val="Znakapoznpodarou"/>
        </w:rPr>
        <w:footnoteRef/>
      </w:r>
      <w:r>
        <w:t xml:space="preserve"> </w:t>
      </w:r>
      <w:r w:rsidR="00430DBD">
        <w:t>Tyto kapitoly byly publikovány ve</w:t>
      </w:r>
      <w:r w:rsidR="00F6684B">
        <w:t xml:space="preserve"> spoluautorství Smejkalová, T.</w:t>
      </w:r>
      <w:r w:rsidR="00430DBD">
        <w:t>,</w:t>
      </w:r>
      <w:r w:rsidR="00F6684B">
        <w:t xml:space="preserve"> Novotná, T.</w:t>
      </w:r>
    </w:p>
  </w:footnote>
  <w:footnote w:id="170">
    <w:p w14:paraId="38E5A903" w14:textId="06A9BDEC" w:rsidR="00E16798" w:rsidRDefault="00E16798" w:rsidP="003610B0">
      <w:pPr>
        <w:pStyle w:val="Textpoznpodarou"/>
      </w:pPr>
      <w:r>
        <w:rPr>
          <w:rStyle w:val="Znakapoznpodarou"/>
        </w:rPr>
        <w:footnoteRef/>
      </w:r>
      <w:r>
        <w:t xml:space="preserve"> </w:t>
      </w:r>
      <w:r w:rsidR="003610B0" w:rsidRPr="003610B0">
        <w:t xml:space="preserve">Harašta, J. et al. </w:t>
      </w:r>
      <w:r w:rsidR="003610B0" w:rsidRPr="003610B0">
        <w:rPr>
          <w:i/>
          <w:iCs/>
        </w:rPr>
        <w:t>Citační analýza judikatury</w:t>
      </w:r>
      <w:r w:rsidR="003610B0" w:rsidRPr="003610B0">
        <w:t>. Wolters Kluwer, 2021</w:t>
      </w:r>
      <w:r w:rsidR="003610B0">
        <w:t>, s. 165 a násl.</w:t>
      </w:r>
    </w:p>
  </w:footnote>
  <w:footnote w:id="171">
    <w:p w14:paraId="5E942ABC" w14:textId="1A7104E4" w:rsidR="00E16798" w:rsidRDefault="00E16798">
      <w:pPr>
        <w:pStyle w:val="Textpoznpodarou"/>
      </w:pPr>
      <w:r>
        <w:rPr>
          <w:rStyle w:val="Znakapoznpodarou"/>
        </w:rPr>
        <w:footnoteRef/>
      </w:r>
      <w:r>
        <w:t xml:space="preserve"> </w:t>
      </w:r>
      <w:r w:rsidR="0058590C" w:rsidRPr="0058590C">
        <w:t xml:space="preserve">Harašta, J. et al. </w:t>
      </w:r>
      <w:r w:rsidR="0058590C" w:rsidRPr="0058590C">
        <w:rPr>
          <w:i/>
          <w:iCs/>
        </w:rPr>
        <w:t>Citační analýza judikatury</w:t>
      </w:r>
      <w:r w:rsidR="0058590C" w:rsidRPr="0058590C">
        <w:t>. Wolters Kluwer, 2021, s. 165 a násl.</w:t>
      </w:r>
    </w:p>
  </w:footnote>
  <w:footnote w:id="172">
    <w:p w14:paraId="0EFE330F" w14:textId="0CDFE5F1" w:rsidR="00371256" w:rsidRDefault="00371256" w:rsidP="00371256">
      <w:pPr>
        <w:pStyle w:val="Textpoznpodarou"/>
      </w:pPr>
      <w:r>
        <w:rPr>
          <w:rStyle w:val="Znakapoznpodarou"/>
        </w:rPr>
        <w:footnoteRef/>
      </w:r>
      <w:r>
        <w:t xml:space="preserve"> </w:t>
      </w:r>
      <w:r w:rsidR="006A59D9">
        <w:t>Tamtéž, s. 167.</w:t>
      </w:r>
    </w:p>
  </w:footnote>
  <w:footnote w:id="173">
    <w:p w14:paraId="61B4B3E9" w14:textId="220ECD4F" w:rsidR="00BD112F" w:rsidRDefault="00BD112F" w:rsidP="00BD112F">
      <w:pPr>
        <w:pStyle w:val="Textpoznpodarou"/>
        <w:ind w:left="0" w:firstLine="0"/>
      </w:pPr>
      <w:r>
        <w:rPr>
          <w:rStyle w:val="Znakapoznpodarou"/>
        </w:rPr>
        <w:footnoteRef/>
      </w:r>
      <w:r>
        <w:t xml:space="preserve"> Tamtéž</w:t>
      </w:r>
      <w:r w:rsidR="006A59D9">
        <w:t>.</w:t>
      </w:r>
    </w:p>
  </w:footnote>
  <w:footnote w:id="174">
    <w:p w14:paraId="60DB474A" w14:textId="08C1BD27" w:rsidR="00BD112F" w:rsidRDefault="00BD112F">
      <w:pPr>
        <w:pStyle w:val="Textpoznpodarou"/>
      </w:pPr>
      <w:r>
        <w:rPr>
          <w:rStyle w:val="Znakapoznpodarou"/>
        </w:rPr>
        <w:footnoteRef/>
      </w:r>
      <w:r>
        <w:t xml:space="preserve"> Tamté</w:t>
      </w:r>
      <w:r w:rsidR="006A59D9">
        <w:t>ž.</w:t>
      </w:r>
    </w:p>
  </w:footnote>
  <w:footnote w:id="175">
    <w:p w14:paraId="48F99161" w14:textId="1F5D3D6B" w:rsidR="00371256" w:rsidRDefault="00371256" w:rsidP="00371256">
      <w:pPr>
        <w:pStyle w:val="Textpoznpodarou"/>
      </w:pPr>
      <w:r>
        <w:rPr>
          <w:rStyle w:val="Znakapoznpodarou"/>
        </w:rPr>
        <w:footnoteRef/>
      </w:r>
      <w:r w:rsidR="006A59D9">
        <w:t xml:space="preserve"> </w:t>
      </w:r>
      <w:r w:rsidR="006A59D9" w:rsidRPr="006A59D9">
        <w:t xml:space="preserve">Harašta, J. et al. </w:t>
      </w:r>
      <w:r w:rsidR="006A59D9" w:rsidRPr="006A59D9">
        <w:rPr>
          <w:i/>
          <w:iCs/>
        </w:rPr>
        <w:t>Citační analýza judikatury</w:t>
      </w:r>
      <w:r w:rsidR="006A59D9" w:rsidRPr="006A59D9">
        <w:t>. Wolters Kluwer, 2021, s. 16</w:t>
      </w:r>
      <w:r w:rsidR="006A59D9">
        <w:t>7.</w:t>
      </w:r>
    </w:p>
  </w:footnote>
  <w:footnote w:id="176">
    <w:p w14:paraId="294B024B" w14:textId="08AB5554" w:rsidR="00371256" w:rsidRDefault="00371256" w:rsidP="00371256">
      <w:pPr>
        <w:pStyle w:val="Textpoznpodarou"/>
      </w:pPr>
      <w:r>
        <w:rPr>
          <w:rStyle w:val="Znakapoznpodarou"/>
        </w:rPr>
        <w:footnoteRef/>
      </w:r>
      <w:r>
        <w:t xml:space="preserve"> </w:t>
      </w:r>
      <w:r w:rsidR="006A59D9">
        <w:t>Tamtéž, s. 168.</w:t>
      </w:r>
    </w:p>
  </w:footnote>
  <w:footnote w:id="177">
    <w:p w14:paraId="29129EB9" w14:textId="6E196D70" w:rsidR="00BC68ED" w:rsidRDefault="00BC68ED">
      <w:pPr>
        <w:pStyle w:val="Textpoznpodarou"/>
      </w:pPr>
      <w:r>
        <w:rPr>
          <w:rStyle w:val="Znakapoznpodarou"/>
        </w:rPr>
        <w:footnoteRef/>
      </w:r>
      <w:r>
        <w:t xml:space="preserve"> Tamtéž</w:t>
      </w:r>
      <w:r w:rsidR="006A59D9">
        <w:t>.</w:t>
      </w:r>
    </w:p>
  </w:footnote>
  <w:footnote w:id="178">
    <w:p w14:paraId="2913DFB9" w14:textId="74176CCC" w:rsidR="00BC68ED" w:rsidRDefault="00BC68ED">
      <w:pPr>
        <w:pStyle w:val="Textpoznpodarou"/>
      </w:pPr>
      <w:r>
        <w:rPr>
          <w:rStyle w:val="Znakapoznpodarou"/>
        </w:rPr>
        <w:footnoteRef/>
      </w:r>
      <w:r>
        <w:t xml:space="preserve"> Tamtéž</w:t>
      </w:r>
      <w:r w:rsidR="006A59D9">
        <w:t>, s. 169.</w:t>
      </w:r>
    </w:p>
  </w:footnote>
  <w:footnote w:id="179">
    <w:p w14:paraId="5C936884" w14:textId="447A1F4C" w:rsidR="00371256" w:rsidRDefault="00371256" w:rsidP="00733994">
      <w:pPr>
        <w:pStyle w:val="Textpoznpodarou"/>
      </w:pPr>
      <w:r>
        <w:rPr>
          <w:rStyle w:val="Znakapoznpodarou"/>
        </w:rPr>
        <w:footnoteRef/>
      </w:r>
      <w:r w:rsidR="00733994" w:rsidRPr="00733994">
        <w:t xml:space="preserve">Harašta, J. et al. </w:t>
      </w:r>
      <w:r w:rsidR="00733994" w:rsidRPr="00733994">
        <w:rPr>
          <w:i/>
          <w:iCs/>
        </w:rPr>
        <w:t>Citační analýza judikatury</w:t>
      </w:r>
      <w:r w:rsidR="00733994" w:rsidRPr="00733994">
        <w:t>. Wolters Kluwer, 2021, s. 1</w:t>
      </w:r>
      <w:r w:rsidR="00733994">
        <w:t>70-171.</w:t>
      </w:r>
    </w:p>
  </w:footnote>
  <w:footnote w:id="180">
    <w:p w14:paraId="797DD945" w14:textId="4F1734BA" w:rsidR="00B24846" w:rsidRDefault="00B24846">
      <w:pPr>
        <w:pStyle w:val="Textpoznpodarou"/>
      </w:pPr>
      <w:r>
        <w:rPr>
          <w:rStyle w:val="Znakapoznpodarou"/>
        </w:rPr>
        <w:footnoteRef/>
      </w:r>
      <w:r>
        <w:t xml:space="preserve"> </w:t>
      </w:r>
      <w:r w:rsidR="001B7D93">
        <w:t>Tamtéž, s. 169</w:t>
      </w:r>
      <w:r w:rsidR="005804F9">
        <w:t>-</w:t>
      </w:r>
      <w:r w:rsidR="001B7D93">
        <w:t>170.</w:t>
      </w:r>
    </w:p>
  </w:footnote>
  <w:footnote w:id="181">
    <w:p w14:paraId="1E1D7525" w14:textId="5FFB9387" w:rsidR="00371256" w:rsidRDefault="00371256" w:rsidP="00371256">
      <w:pPr>
        <w:pStyle w:val="Textpoznpodarou"/>
      </w:pPr>
      <w:r>
        <w:rPr>
          <w:rStyle w:val="Znakapoznpodarou"/>
        </w:rPr>
        <w:footnoteRef/>
      </w:r>
      <w:r>
        <w:t xml:space="preserve"> </w:t>
      </w:r>
      <w:r w:rsidR="004363C9" w:rsidRPr="004363C9">
        <w:t xml:space="preserve">Harašta, J. et al. </w:t>
      </w:r>
      <w:r w:rsidR="004363C9" w:rsidRPr="004363C9">
        <w:rPr>
          <w:i/>
          <w:iCs/>
        </w:rPr>
        <w:t>Citační analýza judikatury</w:t>
      </w:r>
      <w:r w:rsidR="004363C9" w:rsidRPr="004363C9">
        <w:t>. Wolters Kluwer, 2021,</w:t>
      </w:r>
      <w:r>
        <w:t xml:space="preserve"> s. </w:t>
      </w:r>
      <w:r w:rsidR="00E711F9">
        <w:t>170-171.</w:t>
      </w:r>
    </w:p>
  </w:footnote>
  <w:footnote w:id="182">
    <w:p w14:paraId="72874C12" w14:textId="1D513946" w:rsidR="00B24846" w:rsidRDefault="00B24846">
      <w:pPr>
        <w:pStyle w:val="Textpoznpodarou"/>
      </w:pPr>
      <w:r>
        <w:rPr>
          <w:rStyle w:val="Znakapoznpodarou"/>
        </w:rPr>
        <w:footnoteRef/>
      </w:r>
      <w:r>
        <w:t xml:space="preserve"> Tamtéž</w:t>
      </w:r>
      <w:r w:rsidR="00E711F9">
        <w:t>, s. 170.</w:t>
      </w:r>
    </w:p>
  </w:footnote>
  <w:footnote w:id="183">
    <w:p w14:paraId="6B23DEDC" w14:textId="01D0EC04" w:rsidR="00371256" w:rsidRDefault="00371256" w:rsidP="004363C9">
      <w:pPr>
        <w:pStyle w:val="Textpoznpodarou"/>
      </w:pPr>
      <w:r>
        <w:rPr>
          <w:rStyle w:val="Znakapoznpodarou"/>
        </w:rPr>
        <w:footnoteRef/>
      </w:r>
      <w:r>
        <w:t xml:space="preserve"> </w:t>
      </w:r>
      <w:r w:rsidR="004363C9" w:rsidRPr="004363C9">
        <w:t xml:space="preserve">Fowler, J. H., Jeon, S. The authority of Supreme Court precedent. </w:t>
      </w:r>
      <w:r w:rsidR="004363C9" w:rsidRPr="004363C9">
        <w:rPr>
          <w:i/>
          <w:iCs/>
        </w:rPr>
        <w:t>Social Networks</w:t>
      </w:r>
      <w:r w:rsidR="004363C9" w:rsidRPr="004363C9">
        <w:t>. 2008, č. 1, s. 16–30</w:t>
      </w:r>
      <w:r w:rsidR="004363C9">
        <w:t>.</w:t>
      </w:r>
    </w:p>
  </w:footnote>
  <w:footnote w:id="184">
    <w:p w14:paraId="5A2996A1" w14:textId="3A0C91F2" w:rsidR="00371256" w:rsidRDefault="00371256" w:rsidP="004363C9">
      <w:pPr>
        <w:pStyle w:val="Textpoznpodarou"/>
      </w:pPr>
      <w:r>
        <w:rPr>
          <w:rStyle w:val="Znakapoznpodarou"/>
        </w:rPr>
        <w:footnoteRef/>
      </w:r>
      <w:r>
        <w:t xml:space="preserve"> </w:t>
      </w:r>
      <w:r w:rsidR="004363C9" w:rsidRPr="004363C9">
        <w:t xml:space="preserve">Derlén, M., Lindholm, J. Goodbye van Gend en Loos, Hello Bosman? Using Network Analysis to Measure the Importance of Individual CJEU Judgments. </w:t>
      </w:r>
      <w:r w:rsidR="004363C9" w:rsidRPr="004363C9">
        <w:rPr>
          <w:i/>
          <w:iCs/>
        </w:rPr>
        <w:t>European Law Journal</w:t>
      </w:r>
      <w:r w:rsidR="004363C9" w:rsidRPr="004363C9">
        <w:t>. 2014, č. 5, s. 6</w:t>
      </w:r>
      <w:r w:rsidR="004363C9">
        <w:t>75.</w:t>
      </w:r>
    </w:p>
  </w:footnote>
  <w:footnote w:id="185">
    <w:p w14:paraId="1329D713" w14:textId="7A424244" w:rsidR="00575008" w:rsidRDefault="00575008">
      <w:pPr>
        <w:pStyle w:val="Textpoznpodarou"/>
      </w:pPr>
      <w:r>
        <w:rPr>
          <w:rStyle w:val="Znakapoznpodarou"/>
        </w:rPr>
        <w:footnoteRef/>
      </w:r>
      <w:r>
        <w:t xml:space="preserve"> </w:t>
      </w:r>
      <w:r w:rsidR="004363C9" w:rsidRPr="004363C9">
        <w:t xml:space="preserve">Harašta, J. et al. </w:t>
      </w:r>
      <w:r w:rsidR="004363C9" w:rsidRPr="004363C9">
        <w:rPr>
          <w:i/>
          <w:iCs/>
        </w:rPr>
        <w:t>Citační analýza judikatury</w:t>
      </w:r>
      <w:r w:rsidR="004363C9" w:rsidRPr="004363C9">
        <w:t>. Wolters Kluwer, 2021, s. 17</w:t>
      </w:r>
      <w:r w:rsidR="004363C9">
        <w:t>1 a násl.</w:t>
      </w:r>
    </w:p>
  </w:footnote>
  <w:footnote w:id="186">
    <w:p w14:paraId="6C6EEBDB" w14:textId="4C8328C3" w:rsidR="007D205C" w:rsidRDefault="007D205C">
      <w:pPr>
        <w:pStyle w:val="Textpoznpodarou"/>
      </w:pPr>
      <w:r>
        <w:rPr>
          <w:rStyle w:val="Znakapoznpodarou"/>
        </w:rPr>
        <w:footnoteRef/>
      </w:r>
      <w:r>
        <w:t xml:space="preserve"> </w:t>
      </w:r>
      <w:r w:rsidR="00856776" w:rsidRPr="00856776">
        <w:t xml:space="preserve">Harašta, J. et al. </w:t>
      </w:r>
      <w:r w:rsidR="00856776" w:rsidRPr="00856776">
        <w:rPr>
          <w:i/>
          <w:iCs/>
        </w:rPr>
        <w:t>Citační analýza judikatury</w:t>
      </w:r>
      <w:r w:rsidR="00856776" w:rsidRPr="00856776">
        <w:t>. Wolters Kluwer, 2021, s. 17</w:t>
      </w:r>
      <w:r w:rsidR="00856776">
        <w:t>3-174.</w:t>
      </w:r>
    </w:p>
  </w:footnote>
  <w:footnote w:id="187">
    <w:p w14:paraId="4B436561" w14:textId="4BA7CC43" w:rsidR="00371256" w:rsidRDefault="00371256" w:rsidP="00371256">
      <w:pPr>
        <w:pStyle w:val="Textpoznpodarou"/>
      </w:pPr>
      <w:r>
        <w:rPr>
          <w:rStyle w:val="Znakapoznpodarou"/>
        </w:rPr>
        <w:footnoteRef/>
      </w:r>
      <w:r w:rsidR="00856776">
        <w:t xml:space="preserve"> Tamtéž.</w:t>
      </w:r>
    </w:p>
  </w:footnote>
  <w:footnote w:id="188">
    <w:p w14:paraId="739526E2" w14:textId="6275B536" w:rsidR="00371256" w:rsidRDefault="00371256" w:rsidP="00371256">
      <w:pPr>
        <w:pStyle w:val="Textpoznpodarou"/>
      </w:pPr>
      <w:r>
        <w:rPr>
          <w:rStyle w:val="Znakapoznpodarou"/>
        </w:rPr>
        <w:footnoteRef/>
      </w:r>
      <w:r>
        <w:t xml:space="preserve"> Tamtéž</w:t>
      </w:r>
      <w:r w:rsidR="00856776">
        <w:t>.</w:t>
      </w:r>
    </w:p>
  </w:footnote>
  <w:footnote w:id="189">
    <w:p w14:paraId="0225C5E5" w14:textId="0117C557" w:rsidR="00A456A0" w:rsidRDefault="00A456A0">
      <w:pPr>
        <w:pStyle w:val="Textpoznpodarou"/>
      </w:pPr>
      <w:r>
        <w:rPr>
          <w:rStyle w:val="Znakapoznpodarou"/>
        </w:rPr>
        <w:footnoteRef/>
      </w:r>
      <w:r>
        <w:t xml:space="preserve"> </w:t>
      </w:r>
      <w:r w:rsidR="00856776">
        <w:t>Tamtéž, s. 174.</w:t>
      </w:r>
    </w:p>
  </w:footnote>
  <w:footnote w:id="190">
    <w:p w14:paraId="1DF6046E" w14:textId="691AACBA" w:rsidR="00A456A0" w:rsidRDefault="00A456A0">
      <w:pPr>
        <w:pStyle w:val="Textpoznpodarou"/>
      </w:pPr>
      <w:r>
        <w:rPr>
          <w:rStyle w:val="Znakapoznpodarou"/>
        </w:rPr>
        <w:footnoteRef/>
      </w:r>
      <w:r>
        <w:t xml:space="preserve"> </w:t>
      </w:r>
      <w:r w:rsidR="00856776" w:rsidRPr="00856776">
        <w:t xml:space="preserve">Harašta, J. et al. </w:t>
      </w:r>
      <w:r w:rsidR="00856776" w:rsidRPr="00856776">
        <w:rPr>
          <w:i/>
          <w:iCs/>
        </w:rPr>
        <w:t>Citační analýza judikatury</w:t>
      </w:r>
      <w:r w:rsidR="00856776" w:rsidRPr="00856776">
        <w:t>. Wolters Kluwer, 2021, s. 17</w:t>
      </w:r>
      <w:r w:rsidR="00856776">
        <w:t>4.</w:t>
      </w:r>
    </w:p>
  </w:footnote>
  <w:footnote w:id="191">
    <w:p w14:paraId="3C01947A" w14:textId="7FCBAA99" w:rsidR="00371256" w:rsidRDefault="00371256" w:rsidP="00371256">
      <w:pPr>
        <w:pStyle w:val="Textpoznpodarou"/>
      </w:pPr>
      <w:r>
        <w:rPr>
          <w:rStyle w:val="Znakapoznpodarou"/>
        </w:rPr>
        <w:footnoteRef/>
      </w:r>
      <w:r>
        <w:t xml:space="preserve"> </w:t>
      </w:r>
      <w:r w:rsidR="00856776">
        <w:t>Tamtéž.</w:t>
      </w:r>
    </w:p>
  </w:footnote>
  <w:footnote w:id="192">
    <w:p w14:paraId="23A9E736" w14:textId="72A016E2" w:rsidR="00371256" w:rsidRDefault="00371256" w:rsidP="00371256">
      <w:pPr>
        <w:pStyle w:val="Textpoznpodarou"/>
      </w:pPr>
      <w:r>
        <w:rPr>
          <w:rStyle w:val="Znakapoznpodarou"/>
        </w:rPr>
        <w:footnoteRef/>
      </w:r>
      <w:r>
        <w:t xml:space="preserve"> § 14 odst. 1 písm. a) </w:t>
      </w:r>
      <w:r w:rsidR="000B3030">
        <w:t xml:space="preserve">zákona </w:t>
      </w:r>
      <w:r w:rsidR="000B3030" w:rsidRPr="000B3030">
        <w:t>č. 6/2002 Sb., o soudech a soudcích</w:t>
      </w:r>
      <w:r w:rsidR="000B3030">
        <w:t>.</w:t>
      </w:r>
    </w:p>
  </w:footnote>
  <w:footnote w:id="193">
    <w:p w14:paraId="4817C2C1" w14:textId="2E6965EA" w:rsidR="00371256" w:rsidRDefault="00371256" w:rsidP="00371256">
      <w:pPr>
        <w:pStyle w:val="Textpoznpodarou"/>
      </w:pPr>
      <w:r>
        <w:rPr>
          <w:rStyle w:val="Znakapoznpodarou"/>
        </w:rPr>
        <w:footnoteRef/>
      </w:r>
      <w:r>
        <w:t xml:space="preserve"> § 14 odst. 3 zákona</w:t>
      </w:r>
      <w:r w:rsidR="000B3030">
        <w:t xml:space="preserve"> </w:t>
      </w:r>
      <w:r w:rsidR="000B3030" w:rsidRPr="000B3030">
        <w:t>č. 6/2002 Sb., o soudech a soudcích</w:t>
      </w:r>
      <w:r w:rsidR="000B3030">
        <w:t>.</w:t>
      </w:r>
    </w:p>
  </w:footnote>
  <w:footnote w:id="194">
    <w:p w14:paraId="52975289" w14:textId="0A717875" w:rsidR="00371256" w:rsidRDefault="00371256" w:rsidP="00856776">
      <w:pPr>
        <w:pStyle w:val="Textpoznpodarou"/>
      </w:pPr>
      <w:r>
        <w:rPr>
          <w:rStyle w:val="Znakapoznpodarou"/>
        </w:rPr>
        <w:footnoteRef/>
      </w:r>
      <w:r>
        <w:t xml:space="preserve"> </w:t>
      </w:r>
      <w:r w:rsidR="00856776" w:rsidRPr="00856776">
        <w:t xml:space="preserve">Harašta, J. et al. </w:t>
      </w:r>
      <w:r w:rsidR="00856776" w:rsidRPr="00856776">
        <w:rPr>
          <w:i/>
          <w:iCs/>
        </w:rPr>
        <w:t>Citační analýza judikatury</w:t>
      </w:r>
      <w:r w:rsidR="00856776" w:rsidRPr="00856776">
        <w:t>. Wolters Kluwer, 2021, s. 174.</w:t>
      </w:r>
    </w:p>
  </w:footnote>
  <w:footnote w:id="195">
    <w:p w14:paraId="39AE90F1" w14:textId="4A0D24A6" w:rsidR="006E589F" w:rsidRDefault="006E589F">
      <w:pPr>
        <w:pStyle w:val="Textpoznpodarou"/>
      </w:pPr>
      <w:r>
        <w:rPr>
          <w:rStyle w:val="Znakapoznpodarou"/>
        </w:rPr>
        <w:footnoteRef/>
      </w:r>
      <w:r>
        <w:t xml:space="preserve"> </w:t>
      </w:r>
      <w:r w:rsidR="00407A0D" w:rsidRPr="00407A0D">
        <w:rPr>
          <w:i/>
          <w:iCs/>
        </w:rPr>
        <w:t>Networkx</w:t>
      </w:r>
      <w:r w:rsidR="00407A0D">
        <w:t xml:space="preserve">. </w:t>
      </w:r>
      <w:r w:rsidRPr="006E589F">
        <w:t>https://pypi.org/project/networkx/</w:t>
      </w:r>
    </w:p>
  </w:footnote>
  <w:footnote w:id="196">
    <w:p w14:paraId="20734D7E" w14:textId="72B712AD" w:rsidR="006E589F" w:rsidRDefault="006E589F">
      <w:pPr>
        <w:pStyle w:val="Textpoznpodarou"/>
      </w:pPr>
      <w:r>
        <w:rPr>
          <w:rStyle w:val="Znakapoznpodarou"/>
        </w:rPr>
        <w:footnoteRef/>
      </w:r>
      <w:r>
        <w:t xml:space="preserve"> </w:t>
      </w:r>
      <w:r w:rsidR="00407A0D">
        <w:t>V</w:t>
      </w:r>
      <w:r>
        <w:t xml:space="preserve"> angl. originále „</w:t>
      </w:r>
      <w:r>
        <w:rPr>
          <w:i/>
          <w:iCs/>
        </w:rPr>
        <w:t>degree</w:t>
      </w:r>
      <w:r>
        <w:t>“, „</w:t>
      </w:r>
      <w:r>
        <w:rPr>
          <w:i/>
          <w:iCs/>
        </w:rPr>
        <w:t>connectivity</w:t>
      </w:r>
      <w:r>
        <w:t>“</w:t>
      </w:r>
      <w:r w:rsidR="00407A0D">
        <w:t>.</w:t>
      </w:r>
      <w:r w:rsidR="000C482E">
        <w:t xml:space="preserve"> Popsán v kapitole 3.3.</w:t>
      </w:r>
    </w:p>
  </w:footnote>
  <w:footnote w:id="197">
    <w:p w14:paraId="53DC98AD" w14:textId="233D9918" w:rsidR="006E589F" w:rsidRDefault="006E589F">
      <w:pPr>
        <w:pStyle w:val="Textpoznpodarou"/>
      </w:pPr>
      <w:r>
        <w:rPr>
          <w:rStyle w:val="Znakapoznpodarou"/>
        </w:rPr>
        <w:footnoteRef/>
      </w:r>
      <w:r>
        <w:t xml:space="preserve"> </w:t>
      </w:r>
      <w:r w:rsidR="00407A0D">
        <w:t>V</w:t>
      </w:r>
      <w:r>
        <w:t xml:space="preserve"> angl. originále „</w:t>
      </w:r>
      <w:r>
        <w:rPr>
          <w:i/>
          <w:iCs/>
        </w:rPr>
        <w:t>indegree</w:t>
      </w:r>
      <w:r>
        <w:t>“, kolikrát je rozhodnutí citováno ostatními rozhodnutími</w:t>
      </w:r>
      <w:r w:rsidR="00407A0D">
        <w:t>.</w:t>
      </w:r>
      <w:r w:rsidR="000C482E">
        <w:t xml:space="preserve"> Popsán v kapitole 3.3.</w:t>
      </w:r>
    </w:p>
  </w:footnote>
  <w:footnote w:id="198">
    <w:p w14:paraId="5FAF1A3A" w14:textId="6C1EBCDA" w:rsidR="006E589F" w:rsidRDefault="006E589F">
      <w:pPr>
        <w:pStyle w:val="Textpoznpodarou"/>
      </w:pPr>
      <w:r>
        <w:rPr>
          <w:rStyle w:val="Znakapoznpodarou"/>
        </w:rPr>
        <w:footnoteRef/>
      </w:r>
      <w:r>
        <w:t xml:space="preserve"> </w:t>
      </w:r>
      <w:r w:rsidR="00407A0D">
        <w:t>V</w:t>
      </w:r>
      <w:r>
        <w:t xml:space="preserve"> angl. originále „</w:t>
      </w:r>
      <w:r>
        <w:rPr>
          <w:i/>
          <w:iCs/>
        </w:rPr>
        <w:t>outdegree</w:t>
      </w:r>
      <w:r>
        <w:t>“, kolik dalších rozhodnutí toto rozhodnutí cituje</w:t>
      </w:r>
      <w:r w:rsidR="00407A0D">
        <w:t>.</w:t>
      </w:r>
      <w:r w:rsidR="000C482E">
        <w:t xml:space="preserve"> Popsán v kapitole 3.3.</w:t>
      </w:r>
    </w:p>
  </w:footnote>
  <w:footnote w:id="199">
    <w:p w14:paraId="1AE71932" w14:textId="6FE0B7F4" w:rsidR="00371256" w:rsidRDefault="00371256" w:rsidP="00371256">
      <w:pPr>
        <w:pStyle w:val="Textpoznpodarou"/>
      </w:pPr>
      <w:r>
        <w:rPr>
          <w:rStyle w:val="Znakapoznpodarou"/>
        </w:rPr>
        <w:footnoteRef/>
      </w:r>
      <w:r w:rsidR="00407A0D">
        <w:t xml:space="preserve"> </w:t>
      </w:r>
      <w:r w:rsidR="00407A0D" w:rsidRPr="00407A0D">
        <w:t xml:space="preserve">Harašta, J. et al. </w:t>
      </w:r>
      <w:r w:rsidR="00407A0D" w:rsidRPr="00407A0D">
        <w:rPr>
          <w:i/>
          <w:iCs/>
        </w:rPr>
        <w:t>Citační analýza judikatury</w:t>
      </w:r>
      <w:r w:rsidR="00407A0D" w:rsidRPr="00407A0D">
        <w:t>. Wolters Kluwer, 2021, s. 17</w:t>
      </w:r>
      <w:r w:rsidR="00407A0D">
        <w:t>9.</w:t>
      </w:r>
    </w:p>
  </w:footnote>
  <w:footnote w:id="200">
    <w:p w14:paraId="52305DA6" w14:textId="35B10FF0" w:rsidR="00371256" w:rsidRDefault="00371256" w:rsidP="00934E96">
      <w:pPr>
        <w:pStyle w:val="Textpoznpodarou"/>
      </w:pPr>
      <w:r>
        <w:rPr>
          <w:rStyle w:val="Znakapoznpodarou"/>
        </w:rPr>
        <w:footnoteRef/>
      </w:r>
      <w:r>
        <w:t xml:space="preserve"> </w:t>
      </w:r>
      <w:r w:rsidR="00934E96" w:rsidRPr="00934E96">
        <w:t xml:space="preserve">Scott, J. </w:t>
      </w:r>
      <w:r w:rsidR="00934E96" w:rsidRPr="00934E96">
        <w:rPr>
          <w:i/>
          <w:iCs/>
        </w:rPr>
        <w:t>Social Network Analysis</w:t>
      </w:r>
      <w:r w:rsidR="00934E96" w:rsidRPr="00934E96">
        <w:t>. 1 Oliver’s Yard, 55 City Road London EC1Y 1SP: SAGE Publications Ltd, 2017</w:t>
      </w:r>
      <w:r>
        <w:t xml:space="preserve">, s. 81; stejný ukazatel používají i </w:t>
      </w:r>
      <w:r w:rsidR="00934E96" w:rsidRPr="00934E96">
        <w:t xml:space="preserve">Derlén, M., Lindholm, J. Peek-A-Boo, It’s a Case Law System! Comparing the European Court of Justice and the United States Supreme Court from a Network Perspective. </w:t>
      </w:r>
      <w:r w:rsidR="00934E96" w:rsidRPr="00934E96">
        <w:rPr>
          <w:i/>
          <w:iCs/>
        </w:rPr>
        <w:t>German Law Journal</w:t>
      </w:r>
      <w:r w:rsidR="00934E96" w:rsidRPr="00934E96">
        <w:t>. 2017, č. 3, s. 647–686</w:t>
      </w:r>
      <w:r>
        <w:t xml:space="preserve">, kteří navazují na podobný ukazatel, který na síti rozhodnutí Nejvyššího soudu USA použili </w:t>
      </w:r>
      <w:r w:rsidR="00934E96" w:rsidRPr="00934E96">
        <w:t xml:space="preserve">Fowler, J. H., Jeon, S. The authority of Supreme Court precedent. </w:t>
      </w:r>
      <w:r w:rsidR="00934E96" w:rsidRPr="00934E96">
        <w:rPr>
          <w:i/>
          <w:iCs/>
        </w:rPr>
        <w:t>Social Networks</w:t>
      </w:r>
      <w:r w:rsidR="00934E96" w:rsidRPr="00934E96">
        <w:t>. 2008, č. 1, s. 16–30.</w:t>
      </w:r>
    </w:p>
  </w:footnote>
  <w:footnote w:id="201">
    <w:p w14:paraId="24858EFC" w14:textId="1B233AEC" w:rsidR="00371256" w:rsidRDefault="00371256" w:rsidP="00371256">
      <w:pPr>
        <w:pStyle w:val="Textpoznpodarou"/>
      </w:pPr>
      <w:r>
        <w:rPr>
          <w:rStyle w:val="Znakapoznpodarou"/>
        </w:rPr>
        <w:footnoteRef/>
      </w:r>
      <w:r>
        <w:t xml:space="preserve"> </w:t>
      </w:r>
      <w:r w:rsidR="00423A18" w:rsidRPr="00423A18">
        <w:t xml:space="preserve">Harašta, J. et al. </w:t>
      </w:r>
      <w:r w:rsidR="00423A18" w:rsidRPr="00423A18">
        <w:rPr>
          <w:i/>
          <w:iCs/>
        </w:rPr>
        <w:t>Citační analýza judikatury</w:t>
      </w:r>
      <w:r w:rsidR="00423A18" w:rsidRPr="00423A18">
        <w:t>. Wolters Kluwer, 2021, s. 17</w:t>
      </w:r>
      <w:r w:rsidR="00423A18">
        <w:t>9-180</w:t>
      </w:r>
      <w:r w:rsidR="00423A18" w:rsidRPr="00423A18">
        <w:t>.</w:t>
      </w:r>
    </w:p>
  </w:footnote>
  <w:footnote w:id="202">
    <w:p w14:paraId="32CB1FAE" w14:textId="3ACB3BDB" w:rsidR="00371256" w:rsidRDefault="00371256" w:rsidP="00371256">
      <w:pPr>
        <w:pStyle w:val="Textpoznpodarou"/>
      </w:pPr>
      <w:r>
        <w:rPr>
          <w:rStyle w:val="Znakapoznpodarou"/>
        </w:rPr>
        <w:footnoteRef/>
      </w:r>
      <w:r>
        <w:t xml:space="preserve"> </w:t>
      </w:r>
      <w:r w:rsidR="00423A18" w:rsidRPr="00423A18">
        <w:t xml:space="preserve">Derlén, M., Lindholm, J. Peek-A-Boo, It’s a Case Law System! Comparing the European Court of Justice and the United States Supreme Court from a Network Perspective. </w:t>
      </w:r>
      <w:r w:rsidR="00423A18" w:rsidRPr="00423A18">
        <w:rPr>
          <w:i/>
          <w:iCs/>
        </w:rPr>
        <w:t>German Law Journal</w:t>
      </w:r>
      <w:r w:rsidR="00423A18" w:rsidRPr="00423A18">
        <w:t>. 2017, č. 3,</w:t>
      </w:r>
      <w:r>
        <w:t xml:space="preserve"> s. 660.</w:t>
      </w:r>
    </w:p>
  </w:footnote>
  <w:footnote w:id="203">
    <w:p w14:paraId="5A75ECBF" w14:textId="0BF731FE" w:rsidR="00371256" w:rsidRDefault="00371256" w:rsidP="00371256">
      <w:pPr>
        <w:pStyle w:val="Textpoznpodarou"/>
      </w:pPr>
      <w:r>
        <w:rPr>
          <w:rStyle w:val="Znakapoznpodarou"/>
        </w:rPr>
        <w:footnoteRef/>
      </w:r>
      <w:r>
        <w:t xml:space="preserve"> </w:t>
      </w:r>
      <w:r w:rsidR="00B85728" w:rsidRPr="00B85728">
        <w:t xml:space="preserve">Harašta, J. et al. </w:t>
      </w:r>
      <w:r w:rsidR="00B85728" w:rsidRPr="00B85728">
        <w:rPr>
          <w:i/>
          <w:iCs/>
        </w:rPr>
        <w:t>Citační analýza judikatury</w:t>
      </w:r>
      <w:r w:rsidR="00B85728" w:rsidRPr="00B85728">
        <w:t>. Wolters Kluwer, 2021, s. 180.</w:t>
      </w:r>
    </w:p>
  </w:footnote>
  <w:footnote w:id="204">
    <w:p w14:paraId="79083F43" w14:textId="5B2D746F" w:rsidR="00371256" w:rsidRDefault="00371256" w:rsidP="00371256">
      <w:pPr>
        <w:pStyle w:val="Textpoznpodarou"/>
      </w:pPr>
      <w:r>
        <w:rPr>
          <w:rStyle w:val="Znakapoznpodarou"/>
        </w:rPr>
        <w:footnoteRef/>
      </w:r>
      <w:r>
        <w:t xml:space="preserve"> </w:t>
      </w:r>
      <w:r w:rsidR="00B85728">
        <w:t>Tamtéž.</w:t>
      </w:r>
    </w:p>
  </w:footnote>
  <w:footnote w:id="205">
    <w:p w14:paraId="4C6FF269" w14:textId="7D0BB06C" w:rsidR="00371256" w:rsidRDefault="00371256" w:rsidP="00BE472A">
      <w:pPr>
        <w:pStyle w:val="Textpoznpodarou"/>
      </w:pPr>
      <w:r>
        <w:rPr>
          <w:rStyle w:val="Znakapoznpodarou"/>
        </w:rPr>
        <w:footnoteRef/>
      </w:r>
      <w:r>
        <w:t xml:space="preserve"> </w:t>
      </w:r>
      <w:r w:rsidR="00BE472A" w:rsidRPr="00BE472A">
        <w:t xml:space="preserve">Derlén, M., Lindholm, J. Peek-A-Boo, It’s a Case Law System! Comparing the European Court of Justice and the United States Supreme Court from a Network Perspective. </w:t>
      </w:r>
      <w:r w:rsidR="00BE472A" w:rsidRPr="00BE472A">
        <w:rPr>
          <w:i/>
          <w:iCs/>
        </w:rPr>
        <w:t>German Law Journal</w:t>
      </w:r>
      <w:r w:rsidR="00BE472A" w:rsidRPr="00BE472A">
        <w:t>. 2017, č. 3, s. 6</w:t>
      </w:r>
      <w:r w:rsidR="00BE472A">
        <w:t>59.</w:t>
      </w:r>
    </w:p>
  </w:footnote>
  <w:footnote w:id="206">
    <w:p w14:paraId="7DB396C2" w14:textId="2D25C7BB" w:rsidR="00371256" w:rsidRDefault="00371256" w:rsidP="00371256">
      <w:pPr>
        <w:pStyle w:val="Textpoznpodarou"/>
      </w:pPr>
      <w:r>
        <w:rPr>
          <w:rStyle w:val="Znakapoznpodarou"/>
        </w:rPr>
        <w:footnoteRef/>
      </w:r>
      <w:r>
        <w:t xml:space="preserve"> </w:t>
      </w:r>
      <w:r w:rsidR="00E91F7A" w:rsidRPr="00E91F7A">
        <w:t xml:space="preserve">Harašta, J. et al. </w:t>
      </w:r>
      <w:r w:rsidR="00E91F7A" w:rsidRPr="00E91F7A">
        <w:rPr>
          <w:i/>
          <w:iCs/>
        </w:rPr>
        <w:t>Citační analýza judikatury</w:t>
      </w:r>
      <w:r w:rsidR="00E91F7A" w:rsidRPr="00E91F7A">
        <w:t>. Wolters Kluwer, 2021, s. 180.</w:t>
      </w:r>
    </w:p>
  </w:footnote>
  <w:footnote w:id="207">
    <w:p w14:paraId="65B09815" w14:textId="1A10F13C" w:rsidR="00BE472A" w:rsidRDefault="00BE472A" w:rsidP="00BE472A">
      <w:pPr>
        <w:pStyle w:val="Textpoznpodarou"/>
      </w:pPr>
      <w:r>
        <w:rPr>
          <w:rStyle w:val="Znakapoznpodarou"/>
        </w:rPr>
        <w:footnoteRef/>
      </w:r>
      <w:r>
        <w:t xml:space="preserve"> </w:t>
      </w:r>
      <w:r w:rsidRPr="00BE472A">
        <w:t xml:space="preserve">Derlén, M., Lindholm, J. Peek-A-Boo, It’s a Case Law System! Comparing the European Court of Justice and the United States Supreme Court from a Network Perspective. </w:t>
      </w:r>
      <w:r w:rsidRPr="00BE472A">
        <w:rPr>
          <w:i/>
          <w:iCs/>
        </w:rPr>
        <w:t>German Law Journal</w:t>
      </w:r>
      <w:r w:rsidRPr="00BE472A">
        <w:t>. 2017, č. 3, s. 6</w:t>
      </w:r>
      <w:r>
        <w:t>60.</w:t>
      </w:r>
    </w:p>
  </w:footnote>
  <w:footnote w:id="208">
    <w:p w14:paraId="2A7D8307" w14:textId="27D920B7" w:rsidR="00BE472A" w:rsidRDefault="00BE472A">
      <w:pPr>
        <w:pStyle w:val="Textpoznpodarou"/>
      </w:pPr>
      <w:r>
        <w:rPr>
          <w:rStyle w:val="Znakapoznpodarou"/>
        </w:rPr>
        <w:footnoteRef/>
      </w:r>
      <w:r>
        <w:t xml:space="preserve"> Tamtéž.</w:t>
      </w:r>
    </w:p>
  </w:footnote>
  <w:footnote w:id="209">
    <w:p w14:paraId="05E2A34E" w14:textId="76D53F35" w:rsidR="007D6325" w:rsidRDefault="007D6325" w:rsidP="00DD6F5F">
      <w:pPr>
        <w:pStyle w:val="Textpoznpodarou"/>
      </w:pPr>
      <w:r>
        <w:rPr>
          <w:rStyle w:val="Znakapoznpodarou"/>
        </w:rPr>
        <w:footnoteRef/>
      </w:r>
      <w:r>
        <w:t xml:space="preserve"> </w:t>
      </w:r>
      <w:r w:rsidR="005A77F9" w:rsidRPr="005A77F9">
        <w:t xml:space="preserve">Harašta, J. et al. </w:t>
      </w:r>
      <w:r w:rsidR="005A77F9" w:rsidRPr="005A77F9">
        <w:rPr>
          <w:i/>
          <w:iCs/>
        </w:rPr>
        <w:t>Citační analýza judikatury</w:t>
      </w:r>
      <w:r w:rsidR="005A77F9" w:rsidRPr="005A77F9">
        <w:t>. Wolters Kluwer, 2021, s. 18</w:t>
      </w:r>
      <w:r w:rsidR="005A77F9">
        <w:t>1</w:t>
      </w:r>
      <w:r>
        <w:t xml:space="preserve">. Dále pak </w:t>
      </w:r>
      <w:r w:rsidR="00DD6F5F" w:rsidRPr="00DD6F5F">
        <w:t xml:space="preserve">Fowler, J. H., Jeon, S. The authority of Supreme Court precedent. </w:t>
      </w:r>
      <w:r w:rsidR="00DD6F5F" w:rsidRPr="00DD6F5F">
        <w:rPr>
          <w:i/>
          <w:iCs/>
        </w:rPr>
        <w:t>Social Networks</w:t>
      </w:r>
      <w:r w:rsidR="00DD6F5F" w:rsidRPr="00DD6F5F">
        <w:t>. 2008, č. 1, s. 16–30</w:t>
      </w:r>
      <w:r w:rsidR="00DD6F5F">
        <w:t>,</w:t>
      </w:r>
      <w:r>
        <w:t xml:space="preserve"> pro citační síť Nejvyššího soudu USA a </w:t>
      </w:r>
      <w:r w:rsidR="00DD6F5F" w:rsidRPr="00DD6F5F">
        <w:t xml:space="preserve">Derlén, M., Lindholm, J. Peek-A-Boo, It’s a Case Law System! Comparing the European Court of Justice and the United States Supreme Court from a Network Perspective. </w:t>
      </w:r>
      <w:r w:rsidR="00DD6F5F" w:rsidRPr="00DD6F5F">
        <w:rPr>
          <w:i/>
          <w:iCs/>
        </w:rPr>
        <w:t>German Law Journal</w:t>
      </w:r>
      <w:r w:rsidR="00DD6F5F" w:rsidRPr="00DD6F5F">
        <w:t>. 2017, č. 3</w:t>
      </w:r>
      <w:r>
        <w:t>, s. 662 a násl. pro citační síť Soudního dvora EU.</w:t>
      </w:r>
    </w:p>
  </w:footnote>
  <w:footnote w:id="210">
    <w:p w14:paraId="4C58E78C" w14:textId="4EDB0F0D" w:rsidR="007D6325" w:rsidRDefault="007D6325" w:rsidP="00D543F0">
      <w:pPr>
        <w:pStyle w:val="Textpoznpodarou"/>
      </w:pPr>
      <w:r>
        <w:rPr>
          <w:rStyle w:val="Znakapoznpodarou"/>
        </w:rPr>
        <w:footnoteRef/>
      </w:r>
      <w:r>
        <w:t xml:space="preserve"> </w:t>
      </w:r>
      <w:r w:rsidR="00D543F0" w:rsidRPr="00D543F0">
        <w:t xml:space="preserve">Derlén, M., Lindholm, J. Peek-A-Boo, It’s a Case Law System! Comparing the European Court of Justice and the United States Supreme Court from a Network Perspective. </w:t>
      </w:r>
      <w:r w:rsidR="00D543F0" w:rsidRPr="00D543F0">
        <w:rPr>
          <w:i/>
          <w:iCs/>
        </w:rPr>
        <w:t>German Law Journal</w:t>
      </w:r>
      <w:r w:rsidR="00D543F0" w:rsidRPr="00D543F0">
        <w:t>. 2017, č. 3</w:t>
      </w:r>
      <w:r>
        <w:t>, s. 662—663.</w:t>
      </w:r>
    </w:p>
  </w:footnote>
  <w:footnote w:id="211">
    <w:p w14:paraId="09B7D2F5" w14:textId="1B115BC5" w:rsidR="007D6325" w:rsidRDefault="007D6325" w:rsidP="007D6325">
      <w:pPr>
        <w:pStyle w:val="Textpoznpodarou"/>
      </w:pPr>
      <w:r>
        <w:rPr>
          <w:rStyle w:val="Znakapoznpodarou"/>
        </w:rPr>
        <w:footnoteRef/>
      </w:r>
      <w:r>
        <w:t xml:space="preserve"> </w:t>
      </w:r>
      <w:r w:rsidR="00B9366C" w:rsidRPr="00B9366C">
        <w:t xml:space="preserve">Harašta, J. et al. </w:t>
      </w:r>
      <w:r w:rsidR="00B9366C" w:rsidRPr="00B9366C">
        <w:rPr>
          <w:i/>
          <w:iCs/>
        </w:rPr>
        <w:t>Citační analýza judikatury</w:t>
      </w:r>
      <w:r w:rsidR="00B9366C" w:rsidRPr="00B9366C">
        <w:t>. Wolters Kluwer, 2021, s. 181.</w:t>
      </w:r>
    </w:p>
  </w:footnote>
  <w:footnote w:id="212">
    <w:p w14:paraId="6C24C676" w14:textId="5CFE7CA2" w:rsidR="007D6325" w:rsidRDefault="007D6325" w:rsidP="007D6325">
      <w:pPr>
        <w:pStyle w:val="Textpoznpodarou"/>
      </w:pPr>
      <w:r>
        <w:rPr>
          <w:rStyle w:val="Znakapoznpodarou"/>
        </w:rPr>
        <w:footnoteRef/>
      </w:r>
      <w:r>
        <w:t xml:space="preserve"> </w:t>
      </w:r>
      <w:r w:rsidR="00B9366C" w:rsidRPr="00B9366C">
        <w:t xml:space="preserve">Derlén, M., Lindholm, J. Peek-A-Boo, It’s a Case Law System! Comparing the European Court of Justice and the United States Supreme Court from a Network Perspective. </w:t>
      </w:r>
      <w:r w:rsidR="00B9366C" w:rsidRPr="00B9366C">
        <w:rPr>
          <w:i/>
          <w:iCs/>
        </w:rPr>
        <w:t>German Law Journal</w:t>
      </w:r>
      <w:r w:rsidR="00B9366C" w:rsidRPr="00B9366C">
        <w:t>. 2017, č. 3, s.</w:t>
      </w:r>
      <w:r>
        <w:t xml:space="preserve"> 662.</w:t>
      </w:r>
    </w:p>
  </w:footnote>
  <w:footnote w:id="213">
    <w:p w14:paraId="59DE8551" w14:textId="05C847DA" w:rsidR="007D6325" w:rsidRDefault="007D6325" w:rsidP="007D6325">
      <w:pPr>
        <w:pStyle w:val="Textpoznpodarou"/>
      </w:pPr>
      <w:r>
        <w:rPr>
          <w:rStyle w:val="Znakapoznpodarou"/>
        </w:rPr>
        <w:footnoteRef/>
      </w:r>
      <w:r>
        <w:t xml:space="preserve"> </w:t>
      </w:r>
      <w:r w:rsidR="00B9366C" w:rsidRPr="00B9366C">
        <w:t xml:space="preserve">Derlén, M., Lindholm, J. Peek-A-Boo, It’s a Case Law System! Comparing the European Court of Justice and the United States Supreme Court from a Network Perspective. </w:t>
      </w:r>
      <w:r w:rsidR="00B9366C" w:rsidRPr="00B9366C">
        <w:rPr>
          <w:i/>
          <w:iCs/>
        </w:rPr>
        <w:t>German Law Journal</w:t>
      </w:r>
      <w:r w:rsidR="00B9366C" w:rsidRPr="00B9366C">
        <w:t>. 2017, č. 3, s</w:t>
      </w:r>
      <w:r>
        <w:t>. 659.</w:t>
      </w:r>
    </w:p>
  </w:footnote>
  <w:footnote w:id="214">
    <w:p w14:paraId="3F038D78" w14:textId="76EEE6BB" w:rsidR="0083009B" w:rsidRDefault="0083009B">
      <w:pPr>
        <w:pStyle w:val="Textpoznpodarou"/>
      </w:pPr>
      <w:r>
        <w:rPr>
          <w:rStyle w:val="Znakapoznpodarou"/>
        </w:rPr>
        <w:footnoteRef/>
      </w:r>
      <w:r>
        <w:t xml:space="preserve"> </w:t>
      </w:r>
      <w:r w:rsidR="00B9366C" w:rsidRPr="00B9366C">
        <w:t xml:space="preserve">Harašta, J. et al. </w:t>
      </w:r>
      <w:r w:rsidR="00B9366C" w:rsidRPr="00B9366C">
        <w:rPr>
          <w:i/>
          <w:iCs/>
        </w:rPr>
        <w:t>Citační analýza judikatury</w:t>
      </w:r>
      <w:r w:rsidR="00B9366C" w:rsidRPr="00B9366C">
        <w:t>. Wolters Kluwer, 2021, s.</w:t>
      </w:r>
      <w:r w:rsidR="00B9366C">
        <w:t xml:space="preserve"> 182 a násl.</w:t>
      </w:r>
    </w:p>
  </w:footnote>
  <w:footnote w:id="215">
    <w:p w14:paraId="48AD565B" w14:textId="440F9055" w:rsidR="007D6325" w:rsidRDefault="007D6325" w:rsidP="007D6325">
      <w:pPr>
        <w:pStyle w:val="Textpoznpodarou"/>
      </w:pPr>
      <w:r>
        <w:rPr>
          <w:rStyle w:val="Znakapoznpodarou"/>
        </w:rPr>
        <w:footnoteRef/>
      </w:r>
      <w:r w:rsidR="00EE3EE4" w:rsidRPr="00EE3EE4">
        <w:t xml:space="preserve">Derlén, M., Lindholm, J. Peek-A-Boo, It’s a Case Law System! Comparing the European Court of Justice and the United States Supreme Court from a Network Perspective. </w:t>
      </w:r>
      <w:r w:rsidR="00EE3EE4" w:rsidRPr="00EE3EE4">
        <w:rPr>
          <w:i/>
          <w:iCs/>
        </w:rPr>
        <w:t>German Law Journal</w:t>
      </w:r>
      <w:r w:rsidR="00EE3EE4" w:rsidRPr="00EE3EE4">
        <w:t>. 2017, č. 3, s.</w:t>
      </w:r>
      <w:r>
        <w:t xml:space="preserve"> 647—686.</w:t>
      </w:r>
    </w:p>
  </w:footnote>
  <w:footnote w:id="216">
    <w:p w14:paraId="3CD6CA69" w14:textId="3008C00B" w:rsidR="007D6325" w:rsidRDefault="007D6325" w:rsidP="007D6325">
      <w:pPr>
        <w:pStyle w:val="Textpoznpodarou"/>
      </w:pPr>
      <w:r>
        <w:rPr>
          <w:rStyle w:val="Znakapoznpodarou"/>
        </w:rPr>
        <w:footnoteRef/>
      </w:r>
      <w:r>
        <w:t xml:space="preserve"> </w:t>
      </w:r>
      <w:r w:rsidR="00EE3EE4" w:rsidRPr="00EE3EE4">
        <w:t xml:space="preserve">Fowler, J. H., Jeon, S. The authority of Supreme Court precedent. </w:t>
      </w:r>
      <w:r w:rsidR="00EE3EE4" w:rsidRPr="00EE3EE4">
        <w:rPr>
          <w:i/>
          <w:iCs/>
        </w:rPr>
        <w:t>Social Networks</w:t>
      </w:r>
      <w:r w:rsidR="00EE3EE4" w:rsidRPr="00EE3EE4">
        <w:t>. 2008, č. 1, s</w:t>
      </w:r>
      <w:r w:rsidR="00EE3EE4">
        <w:t xml:space="preserve">. </w:t>
      </w:r>
      <w:r>
        <w:t>16—30.</w:t>
      </w:r>
    </w:p>
  </w:footnote>
  <w:footnote w:id="217">
    <w:p w14:paraId="171FE075" w14:textId="0B6A4E16" w:rsidR="007D6325" w:rsidRDefault="007D6325" w:rsidP="007D6325">
      <w:pPr>
        <w:pStyle w:val="Textpoznpodarou"/>
      </w:pPr>
      <w:r>
        <w:rPr>
          <w:rStyle w:val="Znakapoznpodarou"/>
        </w:rPr>
        <w:footnoteRef/>
      </w:r>
      <w:r>
        <w:t xml:space="preserve"> </w:t>
      </w:r>
      <w:r w:rsidR="00835184" w:rsidRPr="00835184">
        <w:t xml:space="preserve">Harašta, J. et al. </w:t>
      </w:r>
      <w:r w:rsidR="00835184" w:rsidRPr="00835184">
        <w:rPr>
          <w:i/>
          <w:iCs/>
        </w:rPr>
        <w:t>Citační analýza judikatury</w:t>
      </w:r>
      <w:r w:rsidR="00835184" w:rsidRPr="00835184">
        <w:t>. Wolters Kluwer, 2021, s. 181</w:t>
      </w:r>
      <w:r w:rsidR="00835184">
        <w:t>-185.</w:t>
      </w:r>
    </w:p>
  </w:footnote>
  <w:footnote w:id="218">
    <w:p w14:paraId="6CA2EAFD" w14:textId="3C436E1F" w:rsidR="00C22E66" w:rsidRDefault="00C22E66" w:rsidP="00C22E66">
      <w:pPr>
        <w:pStyle w:val="Textpoznpodarou"/>
      </w:pPr>
      <w:r>
        <w:rPr>
          <w:rStyle w:val="Znakapoznpodarou"/>
        </w:rPr>
        <w:footnoteRef/>
      </w:r>
      <w:r>
        <w:t xml:space="preserve"> Obrázek převzat z: </w:t>
      </w:r>
      <w:r w:rsidRPr="00C22E66">
        <w:t xml:space="preserve">Derlén, M., Lindholm, J. Peek-A-Boo, It’s a Case Law System! Comparing the European Court of Justice and the United States Supreme Court from a Network Perspective. </w:t>
      </w:r>
      <w:r w:rsidRPr="00C22E66">
        <w:rPr>
          <w:i/>
          <w:iCs/>
        </w:rPr>
        <w:t>German Law Journal</w:t>
      </w:r>
      <w:r w:rsidRPr="00C22E66">
        <w:t>. 2017, č. 3, s. 6</w:t>
      </w:r>
      <w:r>
        <w:t>63.</w:t>
      </w:r>
    </w:p>
  </w:footnote>
  <w:footnote w:id="219">
    <w:p w14:paraId="595A3857" w14:textId="569D9317" w:rsidR="00C22E66" w:rsidRDefault="00C22E66" w:rsidP="00C22E66">
      <w:pPr>
        <w:pStyle w:val="Textpoznpodarou"/>
      </w:pPr>
      <w:r>
        <w:rPr>
          <w:rStyle w:val="Znakapoznpodarou"/>
        </w:rPr>
        <w:footnoteRef/>
      </w:r>
      <w:r>
        <w:t xml:space="preserve"> Obrázek převzat z: </w:t>
      </w:r>
      <w:r w:rsidRPr="00C22E66">
        <w:t xml:space="preserve">Fowler, J. H., Jeon, S. The authority of Supreme Court precedent. </w:t>
      </w:r>
      <w:r w:rsidRPr="00C22E66">
        <w:rPr>
          <w:i/>
          <w:iCs/>
        </w:rPr>
        <w:t>Social Networks</w:t>
      </w:r>
      <w:r w:rsidRPr="00C22E66">
        <w:t>. 2008, č. 1, s. 1</w:t>
      </w:r>
      <w:r>
        <w:t>9.</w:t>
      </w:r>
    </w:p>
  </w:footnote>
  <w:footnote w:id="220">
    <w:p w14:paraId="49105959" w14:textId="6DF27221" w:rsidR="007D6325" w:rsidRDefault="007D6325" w:rsidP="007D6325">
      <w:pPr>
        <w:pStyle w:val="Textpoznpodarou"/>
      </w:pPr>
      <w:r>
        <w:rPr>
          <w:rStyle w:val="Znakapoznpodarou"/>
        </w:rPr>
        <w:footnoteRef/>
      </w:r>
      <w:r>
        <w:t xml:space="preserve"> </w:t>
      </w:r>
      <w:r w:rsidR="00155C38" w:rsidRPr="00155C38">
        <w:t xml:space="preserve">Harašta, J. et al. </w:t>
      </w:r>
      <w:r w:rsidR="00155C38" w:rsidRPr="00155C38">
        <w:rPr>
          <w:i/>
          <w:iCs/>
        </w:rPr>
        <w:t>Citační analýza judikatury</w:t>
      </w:r>
      <w:r w:rsidR="00155C38" w:rsidRPr="00155C38">
        <w:t>. Wolters Kluwer, 2021, s. 18</w:t>
      </w:r>
      <w:r w:rsidR="00155C38">
        <w:t>5</w:t>
      </w:r>
      <w:r w:rsidR="00155C38" w:rsidRPr="00155C38">
        <w:t>-18</w:t>
      </w:r>
      <w:r w:rsidR="00155C38">
        <w:t>6</w:t>
      </w:r>
      <w:r w:rsidR="00155C38" w:rsidRPr="00155C38">
        <w:t>.</w:t>
      </w:r>
    </w:p>
  </w:footnote>
  <w:footnote w:id="221">
    <w:p w14:paraId="24C93300" w14:textId="38B16C5D" w:rsidR="007D6325" w:rsidRDefault="007D6325" w:rsidP="007D6325">
      <w:pPr>
        <w:pStyle w:val="Textpoznpodarou"/>
      </w:pPr>
      <w:r>
        <w:rPr>
          <w:rStyle w:val="Znakapoznpodarou"/>
        </w:rPr>
        <w:footnoteRef/>
      </w:r>
      <w:r>
        <w:t xml:space="preserve"> </w:t>
      </w:r>
      <w:r w:rsidR="00F672D1" w:rsidRPr="00F672D1">
        <w:t xml:space="preserve">Harašta, J. et al. </w:t>
      </w:r>
      <w:r w:rsidR="00F672D1" w:rsidRPr="00F672D1">
        <w:rPr>
          <w:i/>
          <w:iCs/>
        </w:rPr>
        <w:t>Citační analýza judikatury</w:t>
      </w:r>
      <w:r w:rsidR="00F672D1" w:rsidRPr="00F672D1">
        <w:t>. Wolters Kluwer, 2021, s. 18</w:t>
      </w:r>
      <w:r w:rsidR="00F672D1">
        <w:t>9.</w:t>
      </w:r>
    </w:p>
  </w:footnote>
  <w:footnote w:id="222">
    <w:p w14:paraId="55B65D77" w14:textId="2E7A7568" w:rsidR="007D6325" w:rsidRDefault="007D6325" w:rsidP="007D6325">
      <w:pPr>
        <w:pStyle w:val="Textpoznpodarou"/>
      </w:pPr>
      <w:r>
        <w:rPr>
          <w:rStyle w:val="Znakapoznpodarou"/>
        </w:rPr>
        <w:footnoteRef/>
      </w:r>
      <w:r>
        <w:t xml:space="preserve"> </w:t>
      </w:r>
      <w:r w:rsidR="00F672D1">
        <w:t>Tamtéž.</w:t>
      </w:r>
      <w:r w:rsidR="00743616">
        <w:t xml:space="preserve"> A dále: </w:t>
      </w:r>
      <w:r>
        <w:t>ŠIMKA, K. Rozhovor s Josefem Baxou. Bulletin Komory daňových poradců České republiky, 2018, č. 2, s. 9.</w:t>
      </w:r>
    </w:p>
  </w:footnote>
  <w:footnote w:id="223">
    <w:p w14:paraId="502C8F99" w14:textId="24B91B70" w:rsidR="007D6325" w:rsidRDefault="007D6325" w:rsidP="00F672D1">
      <w:pPr>
        <w:pStyle w:val="Textpoznpodarou"/>
      </w:pPr>
      <w:r>
        <w:rPr>
          <w:rStyle w:val="Znakapoznpodarou"/>
        </w:rPr>
        <w:footnoteRef/>
      </w:r>
      <w:r>
        <w:t xml:space="preserve"> </w:t>
      </w:r>
      <w:r w:rsidR="00F672D1" w:rsidRPr="00F672D1">
        <w:t xml:space="preserve">Harašta, J. et al. </w:t>
      </w:r>
      <w:r w:rsidR="00F672D1" w:rsidRPr="00F672D1">
        <w:rPr>
          <w:i/>
          <w:iCs/>
        </w:rPr>
        <w:t>Citační analýza judikatury</w:t>
      </w:r>
      <w:r w:rsidR="00F672D1" w:rsidRPr="00F672D1">
        <w:t>. Wolters Kluwer, 2021, s. 1</w:t>
      </w:r>
      <w:r w:rsidR="00F672D1">
        <w:t xml:space="preserve">90. </w:t>
      </w:r>
      <w:r w:rsidR="00C94991">
        <w:t xml:space="preserve">A dále: </w:t>
      </w:r>
      <w:r w:rsidR="00F672D1" w:rsidRPr="00F672D1">
        <w:t xml:space="preserve">Derlén, M., Lindholm, J. Peek-A-Boo, It’s a Case Law System! Comparing the European Court of Justice and the United States Supreme Court from a Network Perspective. </w:t>
      </w:r>
      <w:r w:rsidR="00F672D1" w:rsidRPr="00F672D1">
        <w:rPr>
          <w:i/>
          <w:iCs/>
        </w:rPr>
        <w:t>German Law Journal</w:t>
      </w:r>
      <w:r w:rsidR="00F672D1" w:rsidRPr="00F672D1">
        <w:t>. 2017, č. 3, s. 6</w:t>
      </w:r>
      <w:r w:rsidR="00F672D1">
        <w:t>69.</w:t>
      </w:r>
    </w:p>
  </w:footnote>
  <w:footnote w:id="224">
    <w:p w14:paraId="6C781ABB" w14:textId="6019BC72" w:rsidR="00D64E9B" w:rsidRDefault="00D64E9B">
      <w:pPr>
        <w:pStyle w:val="Textpoznpodarou"/>
      </w:pPr>
      <w:r>
        <w:rPr>
          <w:rStyle w:val="Znakapoznpodarou"/>
        </w:rPr>
        <w:footnoteRef/>
      </w:r>
      <w:r>
        <w:t xml:space="preserve"> </w:t>
      </w:r>
      <w:r w:rsidR="00F672D1" w:rsidRPr="00F672D1">
        <w:t xml:space="preserve">Harašta, J. et al. </w:t>
      </w:r>
      <w:r w:rsidR="00F672D1" w:rsidRPr="00F672D1">
        <w:rPr>
          <w:i/>
          <w:iCs/>
        </w:rPr>
        <w:t>Citační analýza judikatury</w:t>
      </w:r>
      <w:r w:rsidR="00F672D1" w:rsidRPr="00F672D1">
        <w:t>. Wolters Kluwer, 2021, s. 1</w:t>
      </w:r>
      <w:r w:rsidR="00F672D1">
        <w:t>90.</w:t>
      </w:r>
    </w:p>
  </w:footnote>
  <w:footnote w:id="225">
    <w:p w14:paraId="71BE5514" w14:textId="02D9ED68" w:rsidR="005A71DF" w:rsidRDefault="005A71DF">
      <w:pPr>
        <w:pStyle w:val="Textpoznpodarou"/>
      </w:pPr>
      <w:r>
        <w:rPr>
          <w:rStyle w:val="Znakapoznpodarou"/>
        </w:rPr>
        <w:footnoteRef/>
      </w:r>
      <w:r>
        <w:t xml:space="preserve"> </w:t>
      </w:r>
      <w:r w:rsidR="00F672D1">
        <w:t>Tamtéž.</w:t>
      </w:r>
    </w:p>
  </w:footnote>
  <w:footnote w:id="226">
    <w:p w14:paraId="588DB39A" w14:textId="6FC04C14" w:rsidR="007D6325" w:rsidRDefault="007D6325" w:rsidP="007D6325">
      <w:pPr>
        <w:pStyle w:val="Textpoznpodarou"/>
      </w:pPr>
      <w:r>
        <w:rPr>
          <w:rStyle w:val="Znakapoznpodarou"/>
        </w:rPr>
        <w:footnoteRef/>
      </w:r>
      <w:r>
        <w:t xml:space="preserve"> </w:t>
      </w:r>
      <w:r w:rsidR="00CD2B29" w:rsidRPr="00CD2B29">
        <w:t xml:space="preserve">Harašta, J. et al. </w:t>
      </w:r>
      <w:r w:rsidR="00CD2B29" w:rsidRPr="00CD2B29">
        <w:rPr>
          <w:i/>
          <w:iCs/>
        </w:rPr>
        <w:t>Citační analýza judikatury</w:t>
      </w:r>
      <w:r w:rsidR="00CD2B29" w:rsidRPr="00CD2B29">
        <w:t>. Wolters Kluwer, 2021, s. 1</w:t>
      </w:r>
      <w:r w:rsidR="00CD2B29">
        <w:t>90.</w:t>
      </w:r>
    </w:p>
  </w:footnote>
  <w:footnote w:id="227">
    <w:p w14:paraId="4F2FFEAD" w14:textId="77777777" w:rsidR="007D6325" w:rsidRDefault="007D6325" w:rsidP="007D6325">
      <w:pPr>
        <w:pStyle w:val="Textpoznpodarou"/>
      </w:pPr>
      <w:r>
        <w:rPr>
          <w:rStyle w:val="Znakapoznpodarou"/>
        </w:rPr>
        <w:footnoteRef/>
      </w:r>
      <w:r>
        <w:t xml:space="preserve"> Nález ÚS ze dne 29. 5. 2013, sp. zn. Pl. ÚS 10/13.</w:t>
      </w:r>
    </w:p>
  </w:footnote>
  <w:footnote w:id="228">
    <w:p w14:paraId="38496D7B" w14:textId="4B3E9E90" w:rsidR="000F1756" w:rsidRDefault="000F1756">
      <w:pPr>
        <w:pStyle w:val="Textpoznpodarou"/>
      </w:pPr>
      <w:r>
        <w:rPr>
          <w:rStyle w:val="Znakapoznpodarou"/>
        </w:rPr>
        <w:footnoteRef/>
      </w:r>
      <w:r>
        <w:t xml:space="preserve"> </w:t>
      </w:r>
      <w:r w:rsidR="0001581E" w:rsidRPr="0001581E">
        <w:t xml:space="preserve">Harašta, J. et al. </w:t>
      </w:r>
      <w:r w:rsidR="0001581E" w:rsidRPr="0001581E">
        <w:rPr>
          <w:i/>
          <w:iCs/>
        </w:rPr>
        <w:t>Citační analýza judikatury</w:t>
      </w:r>
      <w:r w:rsidR="0001581E" w:rsidRPr="0001581E">
        <w:t>. Wolters Kluwer, 2021, s. 1</w:t>
      </w:r>
      <w:r w:rsidR="0001581E">
        <w:t>91.</w:t>
      </w:r>
    </w:p>
  </w:footnote>
  <w:footnote w:id="229">
    <w:p w14:paraId="7F4A039E" w14:textId="77777777" w:rsidR="007D6325" w:rsidRDefault="007D6325" w:rsidP="007D6325">
      <w:pPr>
        <w:pStyle w:val="Textpoznpodarou"/>
      </w:pPr>
      <w:r>
        <w:rPr>
          <w:rStyle w:val="Znakapoznpodarou"/>
        </w:rPr>
        <w:footnoteRef/>
      </w:r>
      <w:r>
        <w:t xml:space="preserve"> Stanovisko občanskoprávního a obchodního kolegia NS ze dne 13. 4. 2011, sp. zn. Cpjn 206/2010.</w:t>
      </w:r>
    </w:p>
  </w:footnote>
  <w:footnote w:id="230">
    <w:p w14:paraId="38003AF4" w14:textId="4A372276" w:rsidR="000F1756" w:rsidRDefault="000F1756">
      <w:pPr>
        <w:pStyle w:val="Textpoznpodarou"/>
      </w:pPr>
      <w:r>
        <w:rPr>
          <w:rStyle w:val="Znakapoznpodarou"/>
        </w:rPr>
        <w:footnoteRef/>
      </w:r>
      <w:r>
        <w:t xml:space="preserve"> </w:t>
      </w:r>
      <w:r w:rsidR="0001581E" w:rsidRPr="0001581E">
        <w:t xml:space="preserve">Harašta, J. et al. </w:t>
      </w:r>
      <w:r w:rsidR="0001581E" w:rsidRPr="0001581E">
        <w:rPr>
          <w:i/>
          <w:iCs/>
        </w:rPr>
        <w:t>Citační analýza judikatury</w:t>
      </w:r>
      <w:r w:rsidR="0001581E" w:rsidRPr="0001581E">
        <w:t>. Wolters Kluwer, 2021, s. 1</w:t>
      </w:r>
      <w:r w:rsidR="0001581E">
        <w:t>92.</w:t>
      </w:r>
    </w:p>
  </w:footnote>
  <w:footnote w:id="231">
    <w:p w14:paraId="5579BD42" w14:textId="77777777" w:rsidR="007D6325" w:rsidRDefault="007D6325" w:rsidP="007D6325">
      <w:pPr>
        <w:pStyle w:val="Textpoznpodarou"/>
      </w:pPr>
      <w:r>
        <w:rPr>
          <w:rStyle w:val="Znakapoznpodarou"/>
        </w:rPr>
        <w:footnoteRef/>
      </w:r>
      <w:r>
        <w:t xml:space="preserve"> Rozhodnutí NSS ze dne 20. 6. 2018, čj. 13 Kss 8/2017-170.</w:t>
      </w:r>
    </w:p>
  </w:footnote>
  <w:footnote w:id="232">
    <w:p w14:paraId="3A5E665E" w14:textId="43A5672C" w:rsidR="007D6325" w:rsidRDefault="007D6325" w:rsidP="007D6325">
      <w:pPr>
        <w:pStyle w:val="Textpoznpodarou"/>
      </w:pPr>
      <w:r>
        <w:rPr>
          <w:rStyle w:val="Znakapoznpodarou"/>
        </w:rPr>
        <w:footnoteRef/>
      </w:r>
      <w:r>
        <w:t xml:space="preserve"> </w:t>
      </w:r>
      <w:r w:rsidR="0001581E" w:rsidRPr="0001581E">
        <w:t xml:space="preserve">Harašta, J. et al. </w:t>
      </w:r>
      <w:r w:rsidR="0001581E" w:rsidRPr="0001581E">
        <w:rPr>
          <w:i/>
          <w:iCs/>
        </w:rPr>
        <w:t>Citační analýza judikatury</w:t>
      </w:r>
      <w:r w:rsidR="0001581E" w:rsidRPr="0001581E">
        <w:t>. Wolters Kluwer, 2021, s. 1</w:t>
      </w:r>
      <w:r w:rsidR="0001581E">
        <w:t>92.</w:t>
      </w:r>
    </w:p>
  </w:footnote>
  <w:footnote w:id="233">
    <w:p w14:paraId="5289F25F" w14:textId="32EFCB2F" w:rsidR="007D6325" w:rsidRDefault="007D6325" w:rsidP="007D6325">
      <w:pPr>
        <w:pStyle w:val="Textpoznpodarou"/>
      </w:pPr>
      <w:r>
        <w:rPr>
          <w:rStyle w:val="Znakapoznpodarou"/>
        </w:rPr>
        <w:footnoteRef/>
      </w:r>
      <w:r>
        <w:t xml:space="preserve"> </w:t>
      </w:r>
      <w:r w:rsidR="00B014D9" w:rsidRPr="00B014D9">
        <w:t xml:space="preserve">Harašta, J. et al. </w:t>
      </w:r>
      <w:r w:rsidR="00B014D9" w:rsidRPr="00B014D9">
        <w:rPr>
          <w:i/>
          <w:iCs/>
        </w:rPr>
        <w:t>Citační analýza judikatury</w:t>
      </w:r>
      <w:r w:rsidR="00B014D9" w:rsidRPr="00B014D9">
        <w:t>. Wolters Kluwer, 2021, s. 1</w:t>
      </w:r>
      <w:r w:rsidR="00B014D9">
        <w:t>92-193.</w:t>
      </w:r>
    </w:p>
  </w:footnote>
  <w:footnote w:id="234">
    <w:p w14:paraId="371E0F14" w14:textId="29D0E6C3" w:rsidR="007D6325" w:rsidRDefault="007D6325" w:rsidP="007D6325">
      <w:pPr>
        <w:pStyle w:val="Textpoznpodarou"/>
      </w:pPr>
      <w:r>
        <w:rPr>
          <w:rStyle w:val="Znakapoznpodarou"/>
        </w:rPr>
        <w:footnoteRef/>
      </w:r>
      <w:r>
        <w:t xml:space="preserve"> </w:t>
      </w:r>
      <w:r w:rsidR="00B014D9">
        <w:t>Tamtéž, s. 194.</w:t>
      </w:r>
    </w:p>
  </w:footnote>
  <w:footnote w:id="235">
    <w:p w14:paraId="17354B49" w14:textId="3CDFAE50" w:rsidR="007D6325" w:rsidRDefault="007D6325" w:rsidP="007D6325">
      <w:pPr>
        <w:pStyle w:val="Textpoznpodarou"/>
      </w:pPr>
      <w:r>
        <w:rPr>
          <w:rStyle w:val="Znakapoznpodarou"/>
        </w:rPr>
        <w:footnoteRef/>
      </w:r>
      <w:r>
        <w:t xml:space="preserve"> </w:t>
      </w:r>
      <w:r w:rsidR="00B014D9">
        <w:t>Tamtéž.</w:t>
      </w:r>
    </w:p>
  </w:footnote>
  <w:footnote w:id="236">
    <w:p w14:paraId="79FBB046" w14:textId="41EA7DAC" w:rsidR="007D6325" w:rsidRDefault="007D6325" w:rsidP="00983E4D">
      <w:pPr>
        <w:pStyle w:val="Textpoznpodarou"/>
      </w:pPr>
      <w:r>
        <w:rPr>
          <w:rStyle w:val="Znakapoznpodarou"/>
        </w:rPr>
        <w:footnoteRef/>
      </w:r>
      <w:r>
        <w:t xml:space="preserve"> </w:t>
      </w:r>
      <w:r w:rsidR="00983E4D" w:rsidRPr="00983E4D">
        <w:t xml:space="preserve">Fowler, J. H. et al. Network Analysis and the Law: Measuring the Legal Importance of Precedents at the U.S. Supreme Court. </w:t>
      </w:r>
      <w:r w:rsidR="00983E4D" w:rsidRPr="00983E4D">
        <w:rPr>
          <w:i/>
          <w:iCs/>
        </w:rPr>
        <w:t>Political Analysis</w:t>
      </w:r>
      <w:r w:rsidR="00983E4D" w:rsidRPr="00983E4D">
        <w:t>. 2007, č. 3, s. 324–346.</w:t>
      </w:r>
      <w:r w:rsidR="00983E4D" w:rsidRPr="00983E4D">
        <w:rPr>
          <w:rFonts w:ascii="Times New Roman" w:hAnsi="Times New Roman"/>
        </w:rPr>
        <w:t xml:space="preserve"> </w:t>
      </w:r>
      <w:r w:rsidR="00983E4D" w:rsidRPr="00983E4D">
        <w:t xml:space="preserve">Fowler, J. H., Jeon, S. The authority of Supreme Court precedent. </w:t>
      </w:r>
      <w:r w:rsidR="00983E4D" w:rsidRPr="00983E4D">
        <w:rPr>
          <w:i/>
          <w:iCs/>
        </w:rPr>
        <w:t>Social Networks</w:t>
      </w:r>
      <w:r w:rsidR="00983E4D" w:rsidRPr="00983E4D">
        <w:t>. 2008, č. 1, s. 16–30.</w:t>
      </w:r>
    </w:p>
  </w:footnote>
  <w:footnote w:id="237">
    <w:p w14:paraId="47A65E0C" w14:textId="15455A43" w:rsidR="007D6325" w:rsidRDefault="007D6325" w:rsidP="00983E4D">
      <w:pPr>
        <w:pStyle w:val="Textpoznpodarou"/>
      </w:pPr>
      <w:r>
        <w:rPr>
          <w:rStyle w:val="Znakapoznpodarou"/>
        </w:rPr>
        <w:footnoteRef/>
      </w:r>
      <w:r>
        <w:t xml:space="preserve"> </w:t>
      </w:r>
      <w:r w:rsidR="00983E4D" w:rsidRPr="00983E4D">
        <w:t xml:space="preserve">Derlén, M., Lindholm, J. Goodbye van Gend en Loos, Hello Bosman? Using Network Analysis to Measure the Importance of Individual CJEU Judgments. </w:t>
      </w:r>
      <w:r w:rsidR="00983E4D" w:rsidRPr="00983E4D">
        <w:rPr>
          <w:i/>
          <w:iCs/>
        </w:rPr>
        <w:t>European Law Journal</w:t>
      </w:r>
      <w:r w:rsidR="00983E4D" w:rsidRPr="00983E4D">
        <w:t>. 2014, č. 5, s. 667–687.</w:t>
      </w:r>
    </w:p>
  </w:footnote>
  <w:footnote w:id="238">
    <w:p w14:paraId="4D371952" w14:textId="0B701E8C" w:rsidR="007D6325" w:rsidRDefault="007D6325" w:rsidP="007D6325">
      <w:pPr>
        <w:pStyle w:val="Textpoznpodarou"/>
      </w:pPr>
      <w:r>
        <w:rPr>
          <w:rStyle w:val="Znakapoznpodarou"/>
        </w:rPr>
        <w:footnoteRef/>
      </w:r>
      <w:r>
        <w:t xml:space="preserve"> </w:t>
      </w:r>
      <w:r w:rsidR="00983E4D" w:rsidRPr="00983E4D">
        <w:t xml:space="preserve">Fowler, J. H., Jeon, S. The authority of Supreme Court precedent. </w:t>
      </w:r>
      <w:r w:rsidR="00983E4D" w:rsidRPr="00983E4D">
        <w:rPr>
          <w:i/>
          <w:iCs/>
        </w:rPr>
        <w:t>Social Networks</w:t>
      </w:r>
      <w:r w:rsidR="00983E4D" w:rsidRPr="00983E4D">
        <w:t>. 2008, č. 1, s. 16–30.</w:t>
      </w:r>
    </w:p>
  </w:footnote>
  <w:footnote w:id="239">
    <w:p w14:paraId="55D343B7" w14:textId="199A093D" w:rsidR="007D6325" w:rsidRDefault="007D6325" w:rsidP="00983E4D">
      <w:pPr>
        <w:pStyle w:val="Textpoznpodarou"/>
      </w:pPr>
      <w:r>
        <w:rPr>
          <w:rStyle w:val="Znakapoznpodarou"/>
        </w:rPr>
        <w:footnoteRef/>
      </w:r>
      <w:r>
        <w:t xml:space="preserve"> </w:t>
      </w:r>
      <w:r w:rsidR="00983E4D" w:rsidRPr="00983E4D">
        <w:t xml:space="preserve">Derlén, M., Lindholm, J. Peek-A-Boo, It’s a Case Law System! Comparing the European Court of Justice and the United States Supreme Court from a Network Perspective. </w:t>
      </w:r>
      <w:r w:rsidR="00983E4D" w:rsidRPr="00983E4D">
        <w:rPr>
          <w:i/>
          <w:iCs/>
        </w:rPr>
        <w:t>German Law Journal</w:t>
      </w:r>
      <w:r w:rsidR="00983E4D" w:rsidRPr="00983E4D">
        <w:t>. 2017, č. 3, s. 647–686.</w:t>
      </w:r>
    </w:p>
  </w:footnote>
  <w:footnote w:id="240">
    <w:p w14:paraId="59D9FC2E" w14:textId="1FD008C7" w:rsidR="00AC5892" w:rsidRDefault="00AC5892">
      <w:pPr>
        <w:pStyle w:val="Textpoznpodarou"/>
      </w:pPr>
      <w:r>
        <w:rPr>
          <w:rStyle w:val="Znakapoznpodarou"/>
        </w:rPr>
        <w:footnoteRef/>
      </w:r>
      <w:r>
        <w:t xml:space="preserve"> </w:t>
      </w:r>
      <w:r w:rsidR="00983E4D" w:rsidRPr="00983E4D">
        <w:t xml:space="preserve">Harašta, J. et al. </w:t>
      </w:r>
      <w:r w:rsidR="00983E4D" w:rsidRPr="00983E4D">
        <w:rPr>
          <w:i/>
          <w:iCs/>
        </w:rPr>
        <w:t>Citační analýza judikatury</w:t>
      </w:r>
      <w:r w:rsidR="00983E4D" w:rsidRPr="00983E4D">
        <w:t>. Wolters Kluwer, 2021, s. 19</w:t>
      </w:r>
      <w:r w:rsidR="00983E4D">
        <w:t>5-196.</w:t>
      </w:r>
    </w:p>
  </w:footnote>
  <w:footnote w:id="241">
    <w:p w14:paraId="24D9B706" w14:textId="456C0C5C" w:rsidR="007D6325" w:rsidRDefault="007D6325" w:rsidP="007D6325">
      <w:pPr>
        <w:pStyle w:val="Textpoznpodarou"/>
      </w:pPr>
      <w:r>
        <w:rPr>
          <w:rStyle w:val="Znakapoznpodarou"/>
        </w:rPr>
        <w:footnoteRef/>
      </w:r>
      <w:r>
        <w:t xml:space="preserve"> </w:t>
      </w:r>
      <w:r w:rsidR="004017F2" w:rsidRPr="004017F2">
        <w:t xml:space="preserve">Harašta, J. et al. </w:t>
      </w:r>
      <w:r w:rsidR="004017F2" w:rsidRPr="004017F2">
        <w:rPr>
          <w:i/>
          <w:iCs/>
        </w:rPr>
        <w:t>Citační analýza judikatury</w:t>
      </w:r>
      <w:r w:rsidR="004017F2" w:rsidRPr="004017F2">
        <w:t>. Wolters Kluwer, 2021, s. 19</w:t>
      </w:r>
      <w:r w:rsidR="004017F2">
        <w:t>8 a násl.</w:t>
      </w:r>
    </w:p>
  </w:footnote>
  <w:footnote w:id="242">
    <w:p w14:paraId="532AB6C5" w14:textId="25059CDF" w:rsidR="00B33326" w:rsidRDefault="00B33326" w:rsidP="00284D60">
      <w:pPr>
        <w:pStyle w:val="Textpoznpodarou"/>
      </w:pPr>
      <w:r>
        <w:rPr>
          <w:rStyle w:val="Znakapoznpodarou"/>
        </w:rPr>
        <w:footnoteRef/>
      </w:r>
      <w:r>
        <w:t xml:space="preserve"> </w:t>
      </w:r>
      <w:r w:rsidR="00284D60">
        <w:t xml:space="preserve">Obrázek převzat z: </w:t>
      </w:r>
      <w:r w:rsidR="00284D60" w:rsidRPr="00284D60">
        <w:t xml:space="preserve">Derlén, M., Lindholm, J. Peek-A-Boo, It’s a Case Law System! Comparing the European Court of Justice and the United States Supreme Court from a Network Perspective. </w:t>
      </w:r>
      <w:r w:rsidR="00284D60" w:rsidRPr="00284D60">
        <w:rPr>
          <w:i/>
          <w:iCs/>
        </w:rPr>
        <w:t>German Law Journal</w:t>
      </w:r>
      <w:r w:rsidR="00284D60" w:rsidRPr="00284D60">
        <w:t>. 2017, č. 3, s. 6</w:t>
      </w:r>
      <w:r w:rsidR="00284D60">
        <w:t>74.</w:t>
      </w:r>
    </w:p>
  </w:footnote>
  <w:footnote w:id="243">
    <w:p w14:paraId="5BE77AFD" w14:textId="7A5F7827" w:rsidR="00AC42B9" w:rsidRDefault="00AC42B9" w:rsidP="00284D60">
      <w:pPr>
        <w:pStyle w:val="Textpoznpodarou"/>
      </w:pPr>
      <w:r>
        <w:rPr>
          <w:rStyle w:val="Znakapoznpodarou"/>
        </w:rPr>
        <w:footnoteRef/>
      </w:r>
      <w:r>
        <w:t xml:space="preserve"> </w:t>
      </w:r>
      <w:r w:rsidR="00284D60">
        <w:t xml:space="preserve">Obrázek převzat z: </w:t>
      </w:r>
      <w:r w:rsidR="00284D60" w:rsidRPr="00284D60">
        <w:t xml:space="preserve">Fowler, J. H., Jeon, S. The authority of Supreme Court precedent. </w:t>
      </w:r>
      <w:r w:rsidR="00284D60" w:rsidRPr="00284D60">
        <w:rPr>
          <w:i/>
          <w:iCs/>
        </w:rPr>
        <w:t>Social Networks</w:t>
      </w:r>
      <w:r w:rsidR="00284D60" w:rsidRPr="00284D60">
        <w:t>. 2008, č. 1, s. 1</w:t>
      </w:r>
      <w:r w:rsidR="00284D60">
        <w:t>9.</w:t>
      </w:r>
    </w:p>
  </w:footnote>
  <w:footnote w:id="244">
    <w:p w14:paraId="4F4F181A" w14:textId="43D5DB86" w:rsidR="007D6325" w:rsidRDefault="007D6325" w:rsidP="007D6325">
      <w:pPr>
        <w:pStyle w:val="Textpoznpodarou"/>
      </w:pPr>
      <w:r>
        <w:rPr>
          <w:rStyle w:val="Znakapoznpodarou"/>
        </w:rPr>
        <w:footnoteRef/>
      </w:r>
      <w:r>
        <w:t xml:space="preserve"> </w:t>
      </w:r>
      <w:r w:rsidR="004017F2" w:rsidRPr="004017F2">
        <w:t xml:space="preserve">Harašta, J. et al. </w:t>
      </w:r>
      <w:r w:rsidR="004017F2" w:rsidRPr="004017F2">
        <w:rPr>
          <w:i/>
          <w:iCs/>
        </w:rPr>
        <w:t>Citační analýza judikatury</w:t>
      </w:r>
      <w:r w:rsidR="004017F2" w:rsidRPr="004017F2">
        <w:t xml:space="preserve">. Wolters Kluwer, 2021, s. </w:t>
      </w:r>
      <w:r w:rsidR="004017F2">
        <w:t>201-202.</w:t>
      </w:r>
    </w:p>
  </w:footnote>
  <w:footnote w:id="245">
    <w:p w14:paraId="28F5D1D5" w14:textId="7959783B" w:rsidR="007D6325" w:rsidRDefault="007D6325" w:rsidP="007D6325">
      <w:pPr>
        <w:pStyle w:val="Textpoznpodarou"/>
      </w:pPr>
      <w:r>
        <w:rPr>
          <w:rStyle w:val="Znakapoznpodarou"/>
        </w:rPr>
        <w:footnoteRef/>
      </w:r>
      <w:r>
        <w:t xml:space="preserve"> </w:t>
      </w:r>
      <w:r w:rsidR="004017F2">
        <w:t>Tamtéž, s. 203.</w:t>
      </w:r>
    </w:p>
  </w:footnote>
  <w:footnote w:id="246">
    <w:p w14:paraId="5157565B" w14:textId="36E65334" w:rsidR="00796B20" w:rsidRDefault="00796B20">
      <w:pPr>
        <w:pStyle w:val="Textpoznpodarou"/>
      </w:pPr>
      <w:r>
        <w:rPr>
          <w:rStyle w:val="Znakapoznpodarou"/>
        </w:rPr>
        <w:footnoteRef/>
      </w:r>
      <w:r>
        <w:t xml:space="preserve"> </w:t>
      </w:r>
      <w:r w:rsidR="004017F2">
        <w:t>Tamtéž, s. 202.</w:t>
      </w:r>
    </w:p>
  </w:footnote>
  <w:footnote w:id="247">
    <w:p w14:paraId="19715B51" w14:textId="5012BEC5" w:rsidR="00D94B9F" w:rsidRDefault="00D94B9F">
      <w:pPr>
        <w:pStyle w:val="Textpoznpodarou"/>
      </w:pPr>
      <w:r>
        <w:rPr>
          <w:rStyle w:val="Znakapoznpodarou"/>
        </w:rPr>
        <w:footnoteRef/>
      </w:r>
      <w:r>
        <w:t xml:space="preserve"> </w:t>
      </w:r>
      <w:r w:rsidR="004017F2" w:rsidRPr="004017F2">
        <w:t xml:space="preserve">Harašta, J. et al. </w:t>
      </w:r>
      <w:r w:rsidR="004017F2" w:rsidRPr="004017F2">
        <w:rPr>
          <w:i/>
          <w:iCs/>
        </w:rPr>
        <w:t>Citační analýza judikatury</w:t>
      </w:r>
      <w:r w:rsidR="004017F2" w:rsidRPr="004017F2">
        <w:t xml:space="preserve">. Wolters Kluwer, 2021, s. </w:t>
      </w:r>
      <w:r w:rsidR="004017F2">
        <w:t>203.</w:t>
      </w:r>
    </w:p>
  </w:footnote>
  <w:footnote w:id="248">
    <w:p w14:paraId="3498B54D" w14:textId="66604728" w:rsidR="007D6325" w:rsidRDefault="007D6325" w:rsidP="007D6325">
      <w:pPr>
        <w:pStyle w:val="Textpoznpodarou"/>
      </w:pPr>
      <w:r>
        <w:rPr>
          <w:rStyle w:val="Znakapoznpodarou"/>
        </w:rPr>
        <w:footnoteRef/>
      </w:r>
      <w:r>
        <w:t xml:space="preserve"> </w:t>
      </w:r>
      <w:r w:rsidR="004017F2" w:rsidRPr="004017F2">
        <w:t xml:space="preserve">Harašta, J. et al. </w:t>
      </w:r>
      <w:r w:rsidR="004017F2" w:rsidRPr="004017F2">
        <w:rPr>
          <w:i/>
          <w:iCs/>
        </w:rPr>
        <w:t>Citační analýza judikatury</w:t>
      </w:r>
      <w:r w:rsidR="004017F2" w:rsidRPr="004017F2">
        <w:t>. Wolters Kluwer, 2021, s.</w:t>
      </w:r>
      <w:r w:rsidR="004017F2">
        <w:t xml:space="preserve"> 204.</w:t>
      </w:r>
    </w:p>
  </w:footnote>
  <w:footnote w:id="249">
    <w:p w14:paraId="61700C88" w14:textId="77777777" w:rsidR="007D6325" w:rsidRDefault="007D6325" w:rsidP="007D6325">
      <w:pPr>
        <w:pStyle w:val="Textpoznpodarou"/>
      </w:pPr>
      <w:r>
        <w:rPr>
          <w:rStyle w:val="Znakapoznpodarou"/>
        </w:rPr>
        <w:footnoteRef/>
      </w:r>
      <w:r>
        <w:t xml:space="preserve"> Tamtéž.</w:t>
      </w:r>
    </w:p>
  </w:footnote>
  <w:footnote w:id="250">
    <w:p w14:paraId="229DBB23" w14:textId="345DB009" w:rsidR="007D6325" w:rsidRDefault="007D6325" w:rsidP="007D6325">
      <w:pPr>
        <w:pStyle w:val="Textpoznpodarou"/>
      </w:pPr>
      <w:r>
        <w:rPr>
          <w:rStyle w:val="Znakapoznpodarou"/>
        </w:rPr>
        <w:footnoteRef/>
      </w:r>
      <w:r>
        <w:t xml:space="preserve"> Tamtéž</w:t>
      </w:r>
      <w:r w:rsidR="004017F2">
        <w:t>, s. 205.</w:t>
      </w:r>
    </w:p>
  </w:footnote>
  <w:footnote w:id="251">
    <w:p w14:paraId="1820FF9D" w14:textId="77777777" w:rsidR="007D6325" w:rsidRDefault="007D6325" w:rsidP="007D6325">
      <w:pPr>
        <w:pStyle w:val="Textpoznpodarou"/>
      </w:pPr>
      <w:r>
        <w:rPr>
          <w:rStyle w:val="Znakapoznpodarou"/>
        </w:rPr>
        <w:footnoteRef/>
      </w:r>
      <w:r>
        <w:t xml:space="preserve"> Tamtéž.</w:t>
      </w:r>
    </w:p>
  </w:footnote>
  <w:footnote w:id="252">
    <w:p w14:paraId="44FAF1F7" w14:textId="3DFC15F0" w:rsidR="007D6325" w:rsidRDefault="007D6325" w:rsidP="004017F2">
      <w:pPr>
        <w:pStyle w:val="Textpoznpodarou"/>
      </w:pPr>
      <w:r>
        <w:rPr>
          <w:rStyle w:val="Znakapoznpodarou"/>
        </w:rPr>
        <w:footnoteRef/>
      </w:r>
      <w:r>
        <w:t xml:space="preserve"> Jak bylo uvedeno v: </w:t>
      </w:r>
      <w:r w:rsidR="004017F2" w:rsidRPr="004017F2">
        <w:t xml:space="preserve">Peczenik, A. The Binding Force of Precedent. In: </w:t>
      </w:r>
      <w:r w:rsidR="004017F2" w:rsidRPr="004017F2">
        <w:rPr>
          <w:i/>
          <w:iCs/>
        </w:rPr>
        <w:t>Interpreting Precedents</w:t>
      </w:r>
      <w:r w:rsidR="004017F2" w:rsidRPr="004017F2">
        <w:t>. Routledge, 1997</w:t>
      </w:r>
      <w:r w:rsidR="004017F2">
        <w:t>, s. 461-479.</w:t>
      </w:r>
    </w:p>
  </w:footnote>
  <w:footnote w:id="253">
    <w:p w14:paraId="6A2178F4" w14:textId="486F6133" w:rsidR="007D6325" w:rsidRDefault="007D6325" w:rsidP="007D6325">
      <w:pPr>
        <w:pStyle w:val="Textpoznpodarou"/>
      </w:pPr>
      <w:r>
        <w:rPr>
          <w:rStyle w:val="Znakapoznpodarou"/>
        </w:rPr>
        <w:footnoteRef/>
      </w:r>
      <w:r>
        <w:t xml:space="preserve"> </w:t>
      </w:r>
      <w:r w:rsidR="004017F2" w:rsidRPr="004017F2">
        <w:t xml:space="preserve">Harašta, J. et al. </w:t>
      </w:r>
      <w:r w:rsidR="004017F2" w:rsidRPr="004017F2">
        <w:rPr>
          <w:i/>
          <w:iCs/>
        </w:rPr>
        <w:t>Citační analýza judikatury</w:t>
      </w:r>
      <w:r w:rsidR="004017F2" w:rsidRPr="004017F2">
        <w:t xml:space="preserve">. Wolters Kluwer, 2021, s. </w:t>
      </w:r>
      <w:r w:rsidR="004017F2">
        <w:t>206.</w:t>
      </w:r>
    </w:p>
  </w:footnote>
  <w:footnote w:id="254">
    <w:p w14:paraId="2EE4B608" w14:textId="6D19C7B7" w:rsidR="007D6325" w:rsidRDefault="007D6325" w:rsidP="005028A3">
      <w:pPr>
        <w:pStyle w:val="Textpoznpodarou"/>
      </w:pPr>
      <w:r>
        <w:rPr>
          <w:rStyle w:val="Znakapoznpodarou"/>
        </w:rPr>
        <w:footnoteRef/>
      </w:r>
      <w:r>
        <w:t xml:space="preserve"> </w:t>
      </w:r>
      <w:r w:rsidR="005028A3" w:rsidRPr="005028A3">
        <w:t xml:space="preserve">Geist, A. The Open Revolution: Using Citation Analysis to Improve Legal Text Retrieval. </w:t>
      </w:r>
      <w:r w:rsidR="005028A3" w:rsidRPr="005028A3">
        <w:rPr>
          <w:i/>
          <w:iCs/>
        </w:rPr>
        <w:t>European Journal of Legal Studies</w:t>
      </w:r>
      <w:r w:rsidR="005028A3" w:rsidRPr="005028A3">
        <w:t>. 2008, č. 3, s. 137–145.</w:t>
      </w:r>
    </w:p>
  </w:footnote>
  <w:footnote w:id="255">
    <w:p w14:paraId="04D601CD" w14:textId="77777777" w:rsidR="007D6325" w:rsidRDefault="007D6325" w:rsidP="007D6325">
      <w:pPr>
        <w:pStyle w:val="Textpoznpodarou"/>
      </w:pPr>
      <w:r>
        <w:rPr>
          <w:rStyle w:val="Znakapoznpodarou"/>
        </w:rPr>
        <w:footnoteRef/>
      </w:r>
      <w:r>
        <w:t xml:space="preserve"> Podrobněji uvedeno v kapitole 3.3.</w:t>
      </w:r>
    </w:p>
  </w:footnote>
  <w:footnote w:id="256">
    <w:p w14:paraId="210FD085" w14:textId="416476DF" w:rsidR="007D6325" w:rsidRDefault="007D6325" w:rsidP="007D6325">
      <w:pPr>
        <w:pStyle w:val="Textpoznpodarou"/>
      </w:pPr>
      <w:r>
        <w:rPr>
          <w:rStyle w:val="Znakapoznpodarou"/>
        </w:rPr>
        <w:footnoteRef/>
      </w:r>
      <w:r>
        <w:t xml:space="preserve"> Detailně </w:t>
      </w:r>
      <w:r w:rsidR="005028A3">
        <w:t>k tomu, jaký význam může mít vysoká citovanost rozhodnutí např</w:t>
      </w:r>
      <w:r>
        <w:t xml:space="preserve">: </w:t>
      </w:r>
      <w:r w:rsidR="005028A3" w:rsidRPr="005028A3">
        <w:t xml:space="preserve">Harašta, J. et al. </w:t>
      </w:r>
      <w:r w:rsidR="005028A3" w:rsidRPr="005028A3">
        <w:rPr>
          <w:i/>
          <w:iCs/>
        </w:rPr>
        <w:t>Citační analýza judikatury</w:t>
      </w:r>
      <w:r w:rsidR="005028A3" w:rsidRPr="005028A3">
        <w:t xml:space="preserve">. Wolters Kluwer, 2021, s. </w:t>
      </w:r>
      <w:r w:rsidR="005028A3">
        <w:t>155 a násl</w:t>
      </w:r>
      <w:r w:rsidR="005028A3" w:rsidRPr="005028A3">
        <w:t>.</w:t>
      </w:r>
    </w:p>
  </w:footnote>
  <w:footnote w:id="257">
    <w:p w14:paraId="76BF36E2" w14:textId="5B9B0A71" w:rsidR="007D6325" w:rsidRDefault="007D6325" w:rsidP="00D05574">
      <w:pPr>
        <w:pStyle w:val="Textpoznpodarou"/>
      </w:pPr>
      <w:r>
        <w:rPr>
          <w:rStyle w:val="Znakapoznpodarou"/>
        </w:rPr>
        <w:footnoteRef/>
      </w:r>
      <w:r>
        <w:t xml:space="preserve"> </w:t>
      </w:r>
      <w:r w:rsidR="00D05574" w:rsidRPr="00D05574">
        <w:t xml:space="preserve">Kleinberg, J. M. Authoritative sources in a hyperlinked environment. </w:t>
      </w:r>
      <w:r w:rsidR="00D05574" w:rsidRPr="00D05574">
        <w:rPr>
          <w:i/>
          <w:iCs/>
        </w:rPr>
        <w:t>Journal of the ACM</w:t>
      </w:r>
      <w:r w:rsidR="00D05574" w:rsidRPr="00D05574">
        <w:t>. 1999, č. 5, s. 604–632.</w:t>
      </w:r>
    </w:p>
  </w:footnote>
  <w:footnote w:id="258">
    <w:p w14:paraId="20A981A0" w14:textId="3C6ECAEA" w:rsidR="007D6325" w:rsidRDefault="007D6325" w:rsidP="007D6325">
      <w:pPr>
        <w:pStyle w:val="Textpoznpodarou"/>
      </w:pPr>
      <w:r>
        <w:rPr>
          <w:rStyle w:val="Znakapoznpodarou"/>
        </w:rPr>
        <w:footnoteRef/>
      </w:r>
      <w:r>
        <w:t xml:space="preserve"> Tento odstavec byl</w:t>
      </w:r>
      <w:r w:rsidR="00A627A1">
        <w:t xml:space="preserve"> </w:t>
      </w:r>
      <w:r>
        <w:t xml:space="preserve">publikován jako část kapitoly 5.5.1 v III. části publikace: </w:t>
      </w:r>
      <w:r w:rsidR="00A627A1">
        <w:t xml:space="preserve">Smejkalová, T., Novotná, T. </w:t>
      </w:r>
      <w:r w:rsidR="005028A3">
        <w:t>Síťová analýza: soudní rozhodnutí v síti</w:t>
      </w:r>
      <w:r w:rsidR="00A627A1" w:rsidRPr="005028A3">
        <w:rPr>
          <w:sz w:val="18"/>
          <w:szCs w:val="18"/>
        </w:rPr>
        <w:t>.</w:t>
      </w:r>
      <w:r w:rsidR="005028A3" w:rsidRPr="005028A3">
        <w:rPr>
          <w:sz w:val="18"/>
          <w:szCs w:val="18"/>
        </w:rPr>
        <w:t xml:space="preserve"> In: </w:t>
      </w:r>
      <w:r w:rsidR="005028A3" w:rsidRPr="005028A3">
        <w:t xml:space="preserve">Harašta, J. et al. </w:t>
      </w:r>
      <w:r w:rsidR="005028A3" w:rsidRPr="005028A3">
        <w:rPr>
          <w:i/>
          <w:iCs/>
        </w:rPr>
        <w:t>Citační analýza judikatury</w:t>
      </w:r>
      <w:r w:rsidR="005028A3" w:rsidRPr="005028A3">
        <w:t xml:space="preserve">. Wolters Kluwer, 2021, s. </w:t>
      </w:r>
      <w:r w:rsidR="005028A3">
        <w:t>210.</w:t>
      </w:r>
    </w:p>
  </w:footnote>
  <w:footnote w:id="259">
    <w:p w14:paraId="21DEA4FA" w14:textId="0ADB388A" w:rsidR="007D6325" w:rsidRDefault="007D6325" w:rsidP="00891879">
      <w:pPr>
        <w:pStyle w:val="Textpoznpodarou"/>
      </w:pPr>
      <w:r>
        <w:rPr>
          <w:rStyle w:val="Znakapoznpodarou"/>
        </w:rPr>
        <w:footnoteRef/>
      </w:r>
      <w:r>
        <w:t xml:space="preserve"> </w:t>
      </w:r>
      <w:r w:rsidR="00891879" w:rsidRPr="00891879">
        <w:t xml:space="preserve">Fowler, J. H., Jeon, S. The authority of Supreme Court precedent. </w:t>
      </w:r>
      <w:r w:rsidR="00891879" w:rsidRPr="00891879">
        <w:rPr>
          <w:i/>
          <w:iCs/>
        </w:rPr>
        <w:t>Social Networks</w:t>
      </w:r>
      <w:r w:rsidR="00891879" w:rsidRPr="00891879">
        <w:t>. 2008, č. 1, s. 16–30.</w:t>
      </w:r>
    </w:p>
  </w:footnote>
  <w:footnote w:id="260">
    <w:p w14:paraId="756BDA17" w14:textId="0C3A496F" w:rsidR="007D6325" w:rsidRDefault="007D6325" w:rsidP="00891879">
      <w:pPr>
        <w:pStyle w:val="Textpoznpodarou"/>
      </w:pPr>
      <w:r>
        <w:rPr>
          <w:rStyle w:val="Znakapoznpodarou"/>
        </w:rPr>
        <w:footnoteRef/>
      </w:r>
      <w:r>
        <w:t xml:space="preserve"> </w:t>
      </w:r>
      <w:r w:rsidR="00891879" w:rsidRPr="00891879">
        <w:t xml:space="preserve">Derlén, M., Lindholm, J. Peek-A-Boo, It’s a Case Law System! Comparing the European Court of Justice and the United States Supreme Court from a Network Perspective. </w:t>
      </w:r>
      <w:r w:rsidR="00891879" w:rsidRPr="00891879">
        <w:rPr>
          <w:i/>
          <w:iCs/>
        </w:rPr>
        <w:t>German Law Journal</w:t>
      </w:r>
      <w:r w:rsidR="00891879" w:rsidRPr="00891879">
        <w:t>. 2017, č. 3, s. 647–686.</w:t>
      </w:r>
    </w:p>
  </w:footnote>
  <w:footnote w:id="261">
    <w:p w14:paraId="459AAB4D" w14:textId="3299D9F7" w:rsidR="007D6325" w:rsidRDefault="007D6325" w:rsidP="00891879">
      <w:pPr>
        <w:pStyle w:val="Textpoznpodarou"/>
      </w:pPr>
      <w:r>
        <w:rPr>
          <w:rStyle w:val="Znakapoznpodarou"/>
        </w:rPr>
        <w:footnoteRef/>
      </w:r>
      <w:r>
        <w:t xml:space="preserve"> Tento dílčí soubor rozhodnutí byl použit v rámci:</w:t>
      </w:r>
      <w:r w:rsidR="00891879">
        <w:t xml:space="preserve"> </w:t>
      </w:r>
      <w:r w:rsidR="00891879" w:rsidRPr="00891879">
        <w:t xml:space="preserve">Harašta, J. Srovnávací studie právních informačních systémů: rozdíly mezi systémy při využití různých vyhledávacích strategií. </w:t>
      </w:r>
      <w:r w:rsidR="00891879" w:rsidRPr="00891879">
        <w:rPr>
          <w:i/>
          <w:iCs/>
        </w:rPr>
        <w:t>Revue pro právo a technologie</w:t>
      </w:r>
      <w:r w:rsidR="00891879" w:rsidRPr="00891879">
        <w:t>. 2020, č. 22, s. 219–260.</w:t>
      </w:r>
      <w:r>
        <w:t xml:space="preserve"> </w:t>
      </w:r>
    </w:p>
  </w:footnote>
  <w:footnote w:id="262">
    <w:p w14:paraId="59AA880E" w14:textId="77777777" w:rsidR="007D6325" w:rsidRDefault="007D6325" w:rsidP="007D6325">
      <w:pPr>
        <w:pStyle w:val="Textpoznpodarou"/>
      </w:pPr>
      <w:r>
        <w:rPr>
          <w:rStyle w:val="Znakapoznpodarou"/>
        </w:rPr>
        <w:footnoteRef/>
      </w:r>
      <w:r>
        <w:t xml:space="preserve"> Důležitost rozhodnutí v kontextu autorského práva jako právního odvětví.</w:t>
      </w:r>
    </w:p>
  </w:footnote>
  <w:footnote w:id="263">
    <w:p w14:paraId="7E326E2E" w14:textId="4FDCC25E" w:rsidR="007D6325" w:rsidRDefault="007D6325" w:rsidP="00891879">
      <w:pPr>
        <w:pStyle w:val="Textpoznpodarou"/>
      </w:pPr>
      <w:r>
        <w:rPr>
          <w:rStyle w:val="Znakapoznpodarou"/>
        </w:rPr>
        <w:footnoteRef/>
      </w:r>
      <w:r w:rsidR="00891879">
        <w:t xml:space="preserve"> </w:t>
      </w:r>
      <w:r w:rsidR="00891879" w:rsidRPr="00891879">
        <w:t xml:space="preserve">Van Opijnen, M., Santos, C. On the concept of relevance in legal information retrieval. </w:t>
      </w:r>
      <w:r w:rsidR="00891879" w:rsidRPr="00891879">
        <w:rPr>
          <w:i/>
          <w:iCs/>
        </w:rPr>
        <w:t>Artificial Intelligence and Law</w:t>
      </w:r>
      <w:r w:rsidR="00891879" w:rsidRPr="00891879">
        <w:t>. 2017, č. 1, s. 65–87.</w:t>
      </w:r>
    </w:p>
  </w:footnote>
  <w:footnote w:id="264">
    <w:p w14:paraId="1D46D2CB" w14:textId="0174701D" w:rsidR="00F40D0C" w:rsidRDefault="00F40D0C" w:rsidP="00F40D0C">
      <w:pPr>
        <w:pStyle w:val="Textpoznpodarou"/>
      </w:pPr>
      <w:r>
        <w:rPr>
          <w:rStyle w:val="Znakapoznpodarou"/>
        </w:rPr>
        <w:footnoteRef/>
      </w:r>
      <w:r>
        <w:t xml:space="preserve"> </w:t>
      </w:r>
      <w:r w:rsidR="00152C03" w:rsidRPr="00152C03">
        <w:t xml:space="preserve">Harašta, J. Srovnávací studie právních informačních systémů: rozdíly mezi systémy při využití různých vyhledávacích strategií. </w:t>
      </w:r>
      <w:r w:rsidR="00152C03" w:rsidRPr="00152C03">
        <w:rPr>
          <w:i/>
          <w:iCs/>
        </w:rPr>
        <w:t>Revue pro právo a technologie</w:t>
      </w:r>
      <w:r w:rsidR="00152C03" w:rsidRPr="00152C03">
        <w:t>. 2020, č. 22, s. 219–260</w:t>
      </w:r>
      <w:r w:rsidR="00152C03">
        <w:t>.</w:t>
      </w:r>
    </w:p>
  </w:footnote>
  <w:footnote w:id="265">
    <w:p w14:paraId="411179DB" w14:textId="77777777" w:rsidR="00F40D0C" w:rsidRDefault="00F40D0C" w:rsidP="00F40D0C">
      <w:pPr>
        <w:pStyle w:val="Textpoznpodarou"/>
      </w:pPr>
      <w:r>
        <w:rPr>
          <w:rStyle w:val="Znakapoznpodarou"/>
        </w:rPr>
        <w:footnoteRef/>
      </w:r>
      <w:r>
        <w:t xml:space="preserve"> ASPI, Beck-online, CODEXIS.</w:t>
      </w:r>
    </w:p>
  </w:footnote>
  <w:footnote w:id="266">
    <w:p w14:paraId="567CA4AB" w14:textId="16C40900" w:rsidR="00F40D0C" w:rsidRDefault="00F40D0C" w:rsidP="00F40D0C">
      <w:pPr>
        <w:pStyle w:val="Textpoznpodarou"/>
      </w:pPr>
      <w:r>
        <w:rPr>
          <w:rStyle w:val="Znakapoznpodarou"/>
        </w:rPr>
        <w:footnoteRef/>
      </w:r>
      <w:r>
        <w:t xml:space="preserve"> </w:t>
      </w:r>
      <w:r w:rsidR="001B0BBA" w:rsidRPr="001B0BBA">
        <w:rPr>
          <w:i/>
          <w:iCs/>
        </w:rPr>
        <w:t>Networkx</w:t>
      </w:r>
      <w:r w:rsidR="001B0BBA">
        <w:t xml:space="preserve">. </w:t>
      </w:r>
      <w:r>
        <w:t>https://networkx.org/</w:t>
      </w:r>
    </w:p>
  </w:footnote>
  <w:footnote w:id="267">
    <w:p w14:paraId="06C6135C" w14:textId="4AB7C3D3" w:rsidR="00F40D0C" w:rsidRDefault="00F40D0C" w:rsidP="00F40D0C">
      <w:pPr>
        <w:pStyle w:val="Textpoznpodarou"/>
      </w:pPr>
      <w:r>
        <w:rPr>
          <w:rStyle w:val="Znakapoznpodarou"/>
        </w:rPr>
        <w:footnoteRef/>
      </w:r>
      <w:r>
        <w:t xml:space="preserve"> Dataset detailně popsán v </w:t>
      </w:r>
      <w:r w:rsidR="001B0BBA">
        <w:t>pod</w:t>
      </w:r>
      <w:r>
        <w:t>kapitole 4.1.</w:t>
      </w:r>
    </w:p>
  </w:footnote>
  <w:footnote w:id="268">
    <w:p w14:paraId="109EAEDB" w14:textId="313954C8" w:rsidR="00F40D0C" w:rsidRDefault="00F40D0C" w:rsidP="00F40D0C">
      <w:pPr>
        <w:pStyle w:val="Textpoznpodarou"/>
      </w:pPr>
      <w:r>
        <w:rPr>
          <w:rStyle w:val="Znakapoznpodarou"/>
        </w:rPr>
        <w:footnoteRef/>
      </w:r>
      <w:r>
        <w:t xml:space="preserve"> Detailně popsaná v</w:t>
      </w:r>
      <w:r w:rsidR="001B0BBA">
        <w:t xml:space="preserve"> podkapitole</w:t>
      </w:r>
      <w:r>
        <w:t> 4.3.2</w:t>
      </w:r>
      <w:r w:rsidR="001B0BBA">
        <w:t>.</w:t>
      </w:r>
    </w:p>
  </w:footnote>
  <w:footnote w:id="269">
    <w:p w14:paraId="32A6C6E0" w14:textId="4DC1A466" w:rsidR="00F40D0C" w:rsidRDefault="00F40D0C" w:rsidP="00F40D0C">
      <w:pPr>
        <w:pStyle w:val="Textpoznpodarou"/>
      </w:pPr>
      <w:r>
        <w:rPr>
          <w:rStyle w:val="Znakapoznpodarou"/>
        </w:rPr>
        <w:footnoteRef/>
      </w:r>
      <w:r>
        <w:t xml:space="preserve"> Protože byla první fáze experimentů prováděna pro tento dílčí experiment a pak dále pro dílčí experiment s doc2vec modelem uvedeným v kapitole </w:t>
      </w:r>
      <w:r w:rsidR="001B0BBA">
        <w:t>7</w:t>
      </w:r>
      <w:r>
        <w:t>, byla tato metodologie použita pro oba dílčí experimenty a subjektivita byla takto vyhodnocována také u obou.</w:t>
      </w:r>
    </w:p>
  </w:footnote>
  <w:footnote w:id="270">
    <w:p w14:paraId="43284582" w14:textId="3610F3AE" w:rsidR="00F40D0C" w:rsidRDefault="00F40D0C" w:rsidP="00F40D0C">
      <w:pPr>
        <w:pStyle w:val="Textpoznpodarou"/>
      </w:pPr>
      <w:r>
        <w:rPr>
          <w:rStyle w:val="Znakapoznpodarou"/>
        </w:rPr>
        <w:footnoteRef/>
      </w:r>
      <w:r>
        <w:t xml:space="preserve"> Tato vysvětlující poznámka je uvedena v rozšířeném vyhledávání na webu </w:t>
      </w:r>
      <w:r w:rsidR="008D6441">
        <w:t>Nejvyššího soudu</w:t>
      </w:r>
      <w:r>
        <w:t>: https://www.nsoud.cz/Judikatura/ns_web.nsf/WebSpreadSearch</w:t>
      </w:r>
    </w:p>
  </w:footnote>
  <w:footnote w:id="271">
    <w:p w14:paraId="4C914548" w14:textId="2C9E33E9" w:rsidR="009E0A48" w:rsidRDefault="009E0A48" w:rsidP="009E0A48">
      <w:pPr>
        <w:pStyle w:val="Textpoznpodarou"/>
      </w:pPr>
      <w:r>
        <w:rPr>
          <w:rStyle w:val="Znakapoznpodarou"/>
        </w:rPr>
        <w:footnoteRef/>
      </w:r>
      <w:r>
        <w:t xml:space="preserve"> Teoretický základ a metodologie trénování doc2vec modelu byly publikovány jako: </w:t>
      </w:r>
      <w:r w:rsidRPr="009E0A48">
        <w:t xml:space="preserve">Novotná, T. Document Similarity of Czech Supreme Court Decisions. </w:t>
      </w:r>
      <w:r w:rsidRPr="009E0A48">
        <w:rPr>
          <w:i/>
          <w:iCs/>
        </w:rPr>
        <w:t>Masaryk University Journal of Law and Technology</w:t>
      </w:r>
      <w:r w:rsidRPr="009E0A48">
        <w:t>. 2020, č. 1, s. 105–122.</w:t>
      </w:r>
    </w:p>
  </w:footnote>
  <w:footnote w:id="272">
    <w:p w14:paraId="02EC3B0A" w14:textId="05FF7F42" w:rsidR="00F40D0C" w:rsidRDefault="00F40D0C" w:rsidP="00F40D0C">
      <w:pPr>
        <w:pStyle w:val="Textpoznpodarou"/>
      </w:pPr>
      <w:r>
        <w:rPr>
          <w:rStyle w:val="Znakapoznpodarou"/>
        </w:rPr>
        <w:footnoteRef/>
      </w:r>
      <w:r>
        <w:t xml:space="preserve"> Srovnání se subjektivními metadaty při vyhledávání soudních rozhodnutí viz kapitola</w:t>
      </w:r>
      <w:r w:rsidR="002F5D8C">
        <w:t xml:space="preserve"> </w:t>
      </w:r>
      <w:r>
        <w:t>1.</w:t>
      </w:r>
    </w:p>
  </w:footnote>
  <w:footnote w:id="273">
    <w:p w14:paraId="482848F6" w14:textId="1883A845" w:rsidR="00F40D0C" w:rsidRDefault="00F40D0C" w:rsidP="00D43234">
      <w:pPr>
        <w:pStyle w:val="Textpoznpodarou"/>
      </w:pPr>
      <w:r>
        <w:rPr>
          <w:rStyle w:val="Znakapoznpodarou"/>
        </w:rPr>
        <w:footnoteRef/>
      </w:r>
      <w:r>
        <w:t xml:space="preserve"> Algoritmus byl představen: </w:t>
      </w:r>
      <w:r w:rsidR="00D43234" w:rsidRPr="00D43234">
        <w:t xml:space="preserve">Le, Q., Mikolov, T. Distributed Representations of Sentences and Documents. In: </w:t>
      </w:r>
      <w:r w:rsidR="00D43234" w:rsidRPr="00D43234">
        <w:rPr>
          <w:i/>
          <w:iCs/>
        </w:rPr>
        <w:t>International Conference on Machine Learning</w:t>
      </w:r>
      <w:r w:rsidR="00D43234" w:rsidRPr="00D43234">
        <w:t xml:space="preserve">. PMLR, 2014, s. 1188–1196. </w:t>
      </w:r>
      <w:r w:rsidR="00A102B3">
        <w:t>Na základě algoritmů word2vec a doc2vec funguje Google Translator.</w:t>
      </w:r>
    </w:p>
  </w:footnote>
  <w:footnote w:id="274">
    <w:p w14:paraId="4C83EBF2" w14:textId="5B4D8DFE" w:rsidR="00F40D0C" w:rsidRDefault="00F40D0C" w:rsidP="00D43234">
      <w:pPr>
        <w:pStyle w:val="Textpoznpodarou"/>
      </w:pPr>
      <w:r>
        <w:rPr>
          <w:rStyle w:val="Znakapoznpodarou"/>
        </w:rPr>
        <w:footnoteRef/>
      </w:r>
      <w:r>
        <w:t xml:space="preserve"> </w:t>
      </w:r>
      <w:r w:rsidR="00D43234" w:rsidRPr="00D43234">
        <w:t xml:space="preserve">Mikolov, T. et al. Efficient Estimation of Word Representations in Vector Space. </w:t>
      </w:r>
      <w:r w:rsidR="00D43234" w:rsidRPr="00D43234">
        <w:rPr>
          <w:i/>
          <w:iCs/>
        </w:rPr>
        <w:t>arXiv:1301.3781 [cs]</w:t>
      </w:r>
      <w:r w:rsidR="00D43234" w:rsidRPr="00D43234">
        <w:t xml:space="preserve">. 2013. </w:t>
      </w:r>
    </w:p>
  </w:footnote>
  <w:footnote w:id="275">
    <w:p w14:paraId="7BFF6FF0" w14:textId="71677A9A" w:rsidR="00F40D0C" w:rsidRDefault="00F40D0C" w:rsidP="00A81969">
      <w:pPr>
        <w:pStyle w:val="Textpoznpodarou"/>
      </w:pPr>
      <w:r>
        <w:rPr>
          <w:rStyle w:val="Znakapoznpodarou"/>
        </w:rPr>
        <w:footnoteRef/>
      </w:r>
      <w:r>
        <w:t xml:space="preserve"> </w:t>
      </w:r>
      <w:r w:rsidR="00A81969" w:rsidRPr="00A81969">
        <w:t xml:space="preserve">Mikolov, T. et al. Efficient Estimation of Word Representations in Vector Space. </w:t>
      </w:r>
      <w:r w:rsidR="00A81969" w:rsidRPr="00A81969">
        <w:rPr>
          <w:i/>
          <w:iCs/>
        </w:rPr>
        <w:t>arXiv:1301.3781 [cs]</w:t>
      </w:r>
      <w:r w:rsidR="00A81969" w:rsidRPr="00A81969">
        <w:t>. 2013.</w:t>
      </w:r>
    </w:p>
  </w:footnote>
  <w:footnote w:id="276">
    <w:p w14:paraId="11763FE7" w14:textId="77777777" w:rsidR="00F40D0C" w:rsidRDefault="00F40D0C" w:rsidP="00F40D0C">
      <w:pPr>
        <w:pStyle w:val="Textpoznpodarou"/>
      </w:pPr>
      <w:r>
        <w:rPr>
          <w:rStyle w:val="Znakapoznpodarou"/>
        </w:rPr>
        <w:footnoteRef/>
      </w:r>
      <w:r>
        <w:t xml:space="preserve"> Vektorové reprezentace mohou být přiřazovány libovolně definovaným textovým segmentům, tedy např. i větám, paragrafům nebo celým dokumentům. V této práci užívám celý text soudního rozhodnutí, takže celý dokument.</w:t>
      </w:r>
    </w:p>
  </w:footnote>
  <w:footnote w:id="277">
    <w:p w14:paraId="007E422F" w14:textId="123F01ED" w:rsidR="00F40D0C" w:rsidRDefault="00F40D0C" w:rsidP="00A81969">
      <w:pPr>
        <w:pStyle w:val="Textpoznpodarou"/>
      </w:pPr>
      <w:r>
        <w:rPr>
          <w:rStyle w:val="Znakapoznpodarou"/>
        </w:rPr>
        <w:footnoteRef/>
      </w:r>
      <w:r>
        <w:t xml:space="preserve"> </w:t>
      </w:r>
      <w:r w:rsidR="00A81969" w:rsidRPr="00A81969">
        <w:t xml:space="preserve">Le, Q., Mikolov, T. Distributed Representations of Sentences and Documents. In: </w:t>
      </w:r>
      <w:r w:rsidR="00A81969" w:rsidRPr="00A81969">
        <w:rPr>
          <w:i/>
          <w:iCs/>
        </w:rPr>
        <w:t>International Conference on Machine Learning</w:t>
      </w:r>
      <w:r w:rsidR="00A81969" w:rsidRPr="00A81969">
        <w:t>. PMLR, 2014, s. 1188–1196.</w:t>
      </w:r>
    </w:p>
  </w:footnote>
  <w:footnote w:id="278">
    <w:p w14:paraId="06BDC092" w14:textId="372E485E" w:rsidR="00F40D0C" w:rsidRDefault="00F40D0C" w:rsidP="00B4591A">
      <w:pPr>
        <w:pStyle w:val="Textpoznpodarou"/>
      </w:pPr>
      <w:r>
        <w:rPr>
          <w:rStyle w:val="Znakapoznpodarou"/>
        </w:rPr>
        <w:footnoteRef/>
      </w:r>
      <w:r>
        <w:t xml:space="preserve"> </w:t>
      </w:r>
      <w:r w:rsidR="00B4591A" w:rsidRPr="00B4591A">
        <w:t xml:space="preserve">Trieu, L. Q., Tran, H. Q., Tran, M.-T. News Classification from Social Media Using Twitter-based Doc2Vec Model and Automatic Query Expansion. In: </w:t>
      </w:r>
      <w:r w:rsidR="00B4591A" w:rsidRPr="00B4591A">
        <w:rPr>
          <w:i/>
          <w:iCs/>
        </w:rPr>
        <w:t>Proceedings of the Eighth International Symposium on Information and Communication Technology</w:t>
      </w:r>
      <w:r w:rsidR="00B4591A" w:rsidRPr="00B4591A">
        <w:t xml:space="preserve">. Nha Trang City, Viet Nam: Association for Computing Machinery, 2017, s. 460–467. SoICT 2017. </w:t>
      </w:r>
    </w:p>
  </w:footnote>
  <w:footnote w:id="279">
    <w:p w14:paraId="38915D0F" w14:textId="342D4CD3" w:rsidR="00F40D0C" w:rsidRDefault="00F40D0C" w:rsidP="00B4591A">
      <w:pPr>
        <w:pStyle w:val="Textpoznpodarou"/>
      </w:pPr>
      <w:r>
        <w:rPr>
          <w:rStyle w:val="Znakapoznpodarou"/>
        </w:rPr>
        <w:footnoteRef/>
      </w:r>
      <w:r>
        <w:t xml:space="preserve"> </w:t>
      </w:r>
      <w:r w:rsidR="00B4591A" w:rsidRPr="00B4591A">
        <w:t xml:space="preserve">Bilgin, M., Şentürk, İ. F. Sentiment analysis on Twitter data with semi-supervised Doc2Vec. In: </w:t>
      </w:r>
      <w:r w:rsidR="00B4591A" w:rsidRPr="00B4591A">
        <w:rPr>
          <w:i/>
          <w:iCs/>
        </w:rPr>
        <w:t>2017 International Conference on Computer Science and Engineering (UBMK)</w:t>
      </w:r>
      <w:r w:rsidR="00B4591A" w:rsidRPr="00B4591A">
        <w:t>. 2017, s. 661–666.</w:t>
      </w:r>
    </w:p>
  </w:footnote>
  <w:footnote w:id="280">
    <w:p w14:paraId="3BABDA62" w14:textId="4C2E9474" w:rsidR="00F40D0C" w:rsidRDefault="00F40D0C" w:rsidP="00B4591A">
      <w:pPr>
        <w:pStyle w:val="Textpoznpodarou"/>
      </w:pPr>
      <w:r>
        <w:rPr>
          <w:rStyle w:val="Znakapoznpodarou"/>
        </w:rPr>
        <w:footnoteRef/>
      </w:r>
      <w:r>
        <w:t xml:space="preserve"> </w:t>
      </w:r>
      <w:r w:rsidR="00B4591A" w:rsidRPr="00B4591A">
        <w:t xml:space="preserve">Maslova, N., Potapov, V. Neural Network Doc2vec in Automated Sentiment Analysis for Short Informal Texts. In: Karpov, A., Potapova, R., Mporas, I. (eds). </w:t>
      </w:r>
      <w:r w:rsidR="00B4591A" w:rsidRPr="00B4591A">
        <w:rPr>
          <w:i/>
          <w:iCs/>
        </w:rPr>
        <w:t>Speech and Computer</w:t>
      </w:r>
      <w:r w:rsidR="00B4591A" w:rsidRPr="00B4591A">
        <w:t>. Cham: Springer International Publishing, 2017, s. 546–554. Lecture Notes in Computer Science.</w:t>
      </w:r>
    </w:p>
  </w:footnote>
  <w:footnote w:id="281">
    <w:p w14:paraId="4AE5C029" w14:textId="45ADF651" w:rsidR="00F40D0C" w:rsidRDefault="00F40D0C" w:rsidP="00F40D0C">
      <w:pPr>
        <w:pStyle w:val="Textpoznpodarou"/>
      </w:pPr>
      <w:r>
        <w:rPr>
          <w:rStyle w:val="Znakapoznpodarou"/>
        </w:rPr>
        <w:footnoteRef/>
      </w:r>
      <w:r>
        <w:t xml:space="preserve"> Latentní Dirichletova alokace je také užita v této práci v jednom z dílčích experimentů konkrétně popsaném v kapitole 8. Výsledky evaluačního experimentu v této práci, ač je metodologie jiná než v referované studii, také potvrzují, že je doc2vec metoda přesnější, než latentní Dirichletova alokace.</w:t>
      </w:r>
    </w:p>
  </w:footnote>
  <w:footnote w:id="282">
    <w:p w14:paraId="6B09C793" w14:textId="666D13BA" w:rsidR="00F40D0C" w:rsidRDefault="00F40D0C" w:rsidP="00A17833">
      <w:pPr>
        <w:pStyle w:val="Textpoznpodarou"/>
      </w:pPr>
      <w:r>
        <w:rPr>
          <w:rStyle w:val="Znakapoznpodarou"/>
        </w:rPr>
        <w:footnoteRef/>
      </w:r>
      <w:r>
        <w:t xml:space="preserve"> </w:t>
      </w:r>
      <w:r w:rsidR="00A17833" w:rsidRPr="00A17833">
        <w:t xml:space="preserve">Nath Nandi, R. et al. Bangla News Recommendation Using doc2vec. In: </w:t>
      </w:r>
      <w:r w:rsidR="00A17833" w:rsidRPr="00A17833">
        <w:rPr>
          <w:i/>
          <w:iCs/>
        </w:rPr>
        <w:t>2018 International Conference on Bangla Speech and Language Processing (ICBSLP)</w:t>
      </w:r>
      <w:r w:rsidR="00A17833" w:rsidRPr="00A17833">
        <w:t>. 2018, s. 1–5.</w:t>
      </w:r>
    </w:p>
  </w:footnote>
  <w:footnote w:id="283">
    <w:p w14:paraId="713A34B5" w14:textId="1EB78070" w:rsidR="00F40D0C" w:rsidRDefault="00F40D0C" w:rsidP="00A17833">
      <w:pPr>
        <w:pStyle w:val="Textpoznpodarou"/>
      </w:pPr>
      <w:r>
        <w:rPr>
          <w:rStyle w:val="Znakapoznpodarou"/>
        </w:rPr>
        <w:footnoteRef/>
      </w:r>
      <w:r>
        <w:t xml:space="preserve"> </w:t>
      </w:r>
      <w:r w:rsidR="00A17833" w:rsidRPr="00A17833">
        <w:t xml:space="preserve">Lau, J. H., Baldwin, T. An Empirical Evaluation of doc2vec with Practical Insights into Document Embedding Generation. </w:t>
      </w:r>
      <w:r w:rsidR="00A17833" w:rsidRPr="00A17833">
        <w:rPr>
          <w:i/>
          <w:iCs/>
        </w:rPr>
        <w:t>arXiv:1607.05368 [cs]</w:t>
      </w:r>
      <w:r w:rsidR="00A17833" w:rsidRPr="00A17833">
        <w:t>. 2016.</w:t>
      </w:r>
    </w:p>
  </w:footnote>
  <w:footnote w:id="284">
    <w:p w14:paraId="6104E994" w14:textId="5082A66A" w:rsidR="00F40D0C" w:rsidRDefault="00F40D0C" w:rsidP="00A17833">
      <w:pPr>
        <w:pStyle w:val="Textpoznpodarou"/>
      </w:pPr>
      <w:r>
        <w:rPr>
          <w:rStyle w:val="Znakapoznpodarou"/>
        </w:rPr>
        <w:footnoteRef/>
      </w:r>
      <w:r>
        <w:t xml:space="preserve"> </w:t>
      </w:r>
      <w:r w:rsidR="00A17833" w:rsidRPr="00A17833">
        <w:t>Renjit, S., Idicula, S. M. CUSAT NLP@AILA-FIRE2019: Similarity in Legal Texts using Document Level Embeddings. s. 6.</w:t>
      </w:r>
    </w:p>
  </w:footnote>
  <w:footnote w:id="285">
    <w:p w14:paraId="1481CD47" w14:textId="4B1CA750" w:rsidR="00F40D0C" w:rsidRDefault="00F40D0C" w:rsidP="00A17833">
      <w:pPr>
        <w:pStyle w:val="Textpoznpodarou"/>
      </w:pPr>
      <w:r>
        <w:rPr>
          <w:rStyle w:val="Znakapoznpodarou"/>
        </w:rPr>
        <w:footnoteRef/>
      </w:r>
      <w:r w:rsidR="00A17833">
        <w:t xml:space="preserve"> </w:t>
      </w:r>
      <w:r w:rsidR="00A17833" w:rsidRPr="00A17833">
        <w:t xml:space="preserve">Ranera, L. T. B., Solano, G. A., Oco, N. Retrieval of Semantically Similar Philippine Supreme Court Case Decisions using Doc2Vec. In: </w:t>
      </w:r>
      <w:r w:rsidR="00A17833" w:rsidRPr="00A17833">
        <w:rPr>
          <w:i/>
          <w:iCs/>
        </w:rPr>
        <w:t>2019 International Symposium on Multimedia and Communication Technology (ISMAC)</w:t>
      </w:r>
      <w:r w:rsidR="00A17833" w:rsidRPr="00A17833">
        <w:t>. 2019, s. 1–6.</w:t>
      </w:r>
    </w:p>
  </w:footnote>
  <w:footnote w:id="286">
    <w:p w14:paraId="52ACCF98" w14:textId="0519440F" w:rsidR="00F40D0C" w:rsidRDefault="00F40D0C" w:rsidP="00A17833">
      <w:pPr>
        <w:pStyle w:val="Textpoznpodarou"/>
      </w:pPr>
      <w:r>
        <w:rPr>
          <w:rStyle w:val="Znakapoznpodarou"/>
        </w:rPr>
        <w:footnoteRef/>
      </w:r>
      <w:r>
        <w:t xml:space="preserve"> </w:t>
      </w:r>
      <w:r w:rsidR="00A17833" w:rsidRPr="00A17833">
        <w:t xml:space="preserve">Mandal, A. et al. Measuring Similarity Among Legal Court Case Documents. In: </w:t>
      </w:r>
      <w:r w:rsidR="00A17833" w:rsidRPr="00A17833">
        <w:rPr>
          <w:i/>
          <w:iCs/>
        </w:rPr>
        <w:t>Proceedings of the 10th Annual ACM India Compute Conference</w:t>
      </w:r>
      <w:r w:rsidR="00A17833" w:rsidRPr="00A17833">
        <w:t>. New York, NY, USA: ACM, 2017, s. 1–9. Compute ’17.</w:t>
      </w:r>
    </w:p>
  </w:footnote>
  <w:footnote w:id="287">
    <w:p w14:paraId="4AA4D9E7" w14:textId="5DA8E3FC" w:rsidR="00F40D0C" w:rsidRDefault="00F40D0C" w:rsidP="00CA7EBE">
      <w:pPr>
        <w:pStyle w:val="Textpoznpodarou"/>
      </w:pPr>
      <w:r>
        <w:rPr>
          <w:rStyle w:val="Znakapoznpodarou"/>
        </w:rPr>
        <w:footnoteRef/>
      </w:r>
      <w:r>
        <w:t xml:space="preserve"> </w:t>
      </w:r>
      <w:r w:rsidR="00CA7EBE" w:rsidRPr="00CA7EBE">
        <w:t xml:space="preserve">Wagh, R., Anand, D. Application of citation network analysis for improved similarity index estimation of legal case documents : A study. In: </w:t>
      </w:r>
      <w:r w:rsidR="00CA7EBE" w:rsidRPr="00CA7EBE">
        <w:rPr>
          <w:i/>
          <w:iCs/>
        </w:rPr>
        <w:t>2017 IEEE International Conference on Current Trends in Advanced Computing (ICCTAC)</w:t>
      </w:r>
      <w:r w:rsidR="00CA7EBE" w:rsidRPr="00CA7EBE">
        <w:t>. 2017, s. 1–5</w:t>
      </w:r>
      <w:r>
        <w:t>.</w:t>
      </w:r>
    </w:p>
  </w:footnote>
  <w:footnote w:id="288">
    <w:p w14:paraId="31484B09" w14:textId="095F0BF8" w:rsidR="00F40D0C" w:rsidRDefault="00F40D0C" w:rsidP="00CA7EBE">
      <w:pPr>
        <w:pStyle w:val="Textpoznpodarou"/>
      </w:pPr>
      <w:r>
        <w:rPr>
          <w:rStyle w:val="Znakapoznpodarou"/>
        </w:rPr>
        <w:footnoteRef/>
      </w:r>
      <w:r>
        <w:t xml:space="preserve"> </w:t>
      </w:r>
      <w:r w:rsidR="00CA7EBE" w:rsidRPr="00CA7EBE">
        <w:t xml:space="preserve">Tian, X. et al. K-Means Clustering for Controversial Issues Merging in Chinese Legal Texts. </w:t>
      </w:r>
      <w:r w:rsidR="00CA7EBE" w:rsidRPr="00CA7EBE">
        <w:rPr>
          <w:i/>
          <w:iCs/>
        </w:rPr>
        <w:t>Legal Knowledge and Information Systems</w:t>
      </w:r>
      <w:r w:rsidR="00CA7EBE" w:rsidRPr="00CA7EBE">
        <w:t>. 2018, s. 215–219</w:t>
      </w:r>
      <w:r>
        <w:t>.</w:t>
      </w:r>
    </w:p>
  </w:footnote>
  <w:footnote w:id="289">
    <w:p w14:paraId="3D736320" w14:textId="12267DFA" w:rsidR="00F40D0C" w:rsidRDefault="00F40D0C" w:rsidP="00CA7EBE">
      <w:pPr>
        <w:pStyle w:val="Textpoznpodarou"/>
      </w:pPr>
      <w:r>
        <w:rPr>
          <w:rStyle w:val="Znakapoznpodarou"/>
        </w:rPr>
        <w:footnoteRef/>
      </w:r>
      <w:r>
        <w:t xml:space="preserve"> </w:t>
      </w:r>
      <w:r w:rsidR="00CA7EBE" w:rsidRPr="00CA7EBE">
        <w:t xml:space="preserve">Novotný, J., Ircing, P. The Benefit of Document Embedding in Unsupervised Document Classification. In: Karpov, A., Jokisch, O., Potapova, R. (eds). </w:t>
      </w:r>
      <w:r w:rsidR="00CA7EBE" w:rsidRPr="00CA7EBE">
        <w:rPr>
          <w:i/>
          <w:iCs/>
        </w:rPr>
        <w:t>Speech and Computer</w:t>
      </w:r>
      <w:r w:rsidR="00CA7EBE" w:rsidRPr="00CA7EBE">
        <w:t>. Cham: Springer International Publishing, 2018, s. 470–478. Lecture Notes in Computer Science.</w:t>
      </w:r>
    </w:p>
  </w:footnote>
  <w:footnote w:id="290">
    <w:p w14:paraId="0EAE87B6" w14:textId="22BA92C5" w:rsidR="00F40D0C" w:rsidRDefault="00F40D0C" w:rsidP="00CA7EBE">
      <w:pPr>
        <w:pStyle w:val="Textpoznpodarou"/>
      </w:pPr>
      <w:r>
        <w:rPr>
          <w:rStyle w:val="Znakapoznpodarou"/>
        </w:rPr>
        <w:footnoteRef/>
      </w:r>
      <w:r>
        <w:t xml:space="preserve"> </w:t>
      </w:r>
      <w:r w:rsidR="00CA7EBE" w:rsidRPr="00CA7EBE">
        <w:t xml:space="preserve">Kocmi, T. </w:t>
      </w:r>
      <w:r w:rsidR="00CA7EBE" w:rsidRPr="00CA7EBE">
        <w:rPr>
          <w:i/>
          <w:iCs/>
        </w:rPr>
        <w:t>Document Embeddings as a Means of Domain Adaptation for the Machine Translation</w:t>
      </w:r>
      <w:r w:rsidR="00CA7EBE" w:rsidRPr="00CA7EBE">
        <w:t>, Graduation thesis, Faculty of Mathematics and Physics, Charles University Institute of Formal and Applied Linguistics.</w:t>
      </w:r>
    </w:p>
  </w:footnote>
  <w:footnote w:id="291">
    <w:p w14:paraId="7B02FD31" w14:textId="77777777" w:rsidR="00B82931" w:rsidRDefault="00B82931" w:rsidP="00B82931">
      <w:pPr>
        <w:pStyle w:val="Textpoznpodarou"/>
      </w:pPr>
      <w:r>
        <w:rPr>
          <w:rStyle w:val="Znakapoznpodarou"/>
        </w:rPr>
        <w:footnoteRef/>
      </w:r>
      <w:r>
        <w:t xml:space="preserve"> Více detailů o datasetu v kapitole 4.1.1.</w:t>
      </w:r>
    </w:p>
  </w:footnote>
  <w:footnote w:id="292">
    <w:p w14:paraId="2EC431E5" w14:textId="2D9870E0" w:rsidR="00B82931" w:rsidRDefault="00B82931" w:rsidP="006C1769">
      <w:pPr>
        <w:pStyle w:val="Textpoznpodarou"/>
      </w:pPr>
      <w:r>
        <w:rPr>
          <w:rStyle w:val="Znakapoznpodarou"/>
        </w:rPr>
        <w:footnoteRef/>
      </w:r>
      <w:r>
        <w:t xml:space="preserve"> </w:t>
      </w:r>
      <w:r w:rsidR="006C1769" w:rsidRPr="006C1769">
        <w:t xml:space="preserve">Schweighofer, E., Winiwarter, W., Merkl, D. Information filtering: the computation of similarities in large corpora of legal texts. In: </w:t>
      </w:r>
      <w:r w:rsidR="006C1769" w:rsidRPr="006C1769">
        <w:rPr>
          <w:i/>
          <w:iCs/>
        </w:rPr>
        <w:t>Proceedings of the fifth international conference on Artificial intelligence and law  - ICAIL ’95</w:t>
      </w:r>
      <w:r w:rsidR="006C1769" w:rsidRPr="006C1769">
        <w:t xml:space="preserve">. College Park, Maryland, United States: ACM Press, 1995, s. 119–126. </w:t>
      </w:r>
    </w:p>
  </w:footnote>
  <w:footnote w:id="293">
    <w:p w14:paraId="37BADDA8" w14:textId="1B7FCE3C" w:rsidR="00B82931" w:rsidRDefault="00B82931" w:rsidP="006C1769">
      <w:pPr>
        <w:pStyle w:val="Textpoznpodarou"/>
      </w:pPr>
      <w:r>
        <w:rPr>
          <w:rStyle w:val="Znakapoznpodarou"/>
        </w:rPr>
        <w:footnoteRef/>
      </w:r>
      <w:r>
        <w:t xml:space="preserve"> </w:t>
      </w:r>
      <w:r w:rsidR="006C1769" w:rsidRPr="006C1769">
        <w:t xml:space="preserve">Hrala, M., Král, P. Evaluation of the Document Classification Approaches. In: Burduk, R. et al. (eds). </w:t>
      </w:r>
      <w:r w:rsidR="006C1769" w:rsidRPr="006C1769">
        <w:rPr>
          <w:i/>
          <w:iCs/>
        </w:rPr>
        <w:t>Proceedings of the 8th International Conference on Computer Recognition Systems CORES 2013</w:t>
      </w:r>
      <w:r w:rsidR="006C1769" w:rsidRPr="006C1769">
        <w:t>. Heidelberg: Springer International Publishing, 2013, s. 877–885. Advances in Intelligent Systems and Computing.</w:t>
      </w:r>
    </w:p>
  </w:footnote>
  <w:footnote w:id="294">
    <w:p w14:paraId="35E599A5" w14:textId="77777777" w:rsidR="00B82931" w:rsidRDefault="00B82931" w:rsidP="00B82931">
      <w:pPr>
        <w:pStyle w:val="Textpoznpodarou"/>
      </w:pPr>
      <w:r>
        <w:rPr>
          <w:rStyle w:val="Znakapoznpodarou"/>
        </w:rPr>
        <w:footnoteRef/>
      </w:r>
      <w:r>
        <w:t xml:space="preserve"> Knihovna dostupná z: https://pypi.org/project/stop-words/</w:t>
      </w:r>
    </w:p>
  </w:footnote>
  <w:footnote w:id="295">
    <w:p w14:paraId="44440C62" w14:textId="61E7FA80" w:rsidR="00B82931" w:rsidRDefault="00B82931" w:rsidP="00B82931">
      <w:pPr>
        <w:pStyle w:val="Textpoznpodarou"/>
      </w:pPr>
      <w:r>
        <w:rPr>
          <w:rStyle w:val="Znakapoznpodarou"/>
        </w:rPr>
        <w:footnoteRef/>
      </w:r>
      <w:r>
        <w:t xml:space="preserve"> </w:t>
      </w:r>
      <w:r w:rsidR="00B228D8" w:rsidRPr="00B228D8">
        <w:rPr>
          <w:i/>
          <w:iCs/>
        </w:rPr>
        <w:t>Gensim.</w:t>
      </w:r>
      <w:r w:rsidR="00B228D8">
        <w:t xml:space="preserve"> </w:t>
      </w:r>
      <w:r>
        <w:t>https://radimrehurek.com/gensim/</w:t>
      </w:r>
    </w:p>
  </w:footnote>
  <w:footnote w:id="296">
    <w:p w14:paraId="019BE359" w14:textId="55654A24" w:rsidR="00B82931" w:rsidRDefault="00B82931" w:rsidP="00DA70C7">
      <w:pPr>
        <w:pStyle w:val="Textpoznpodarou"/>
      </w:pPr>
      <w:r>
        <w:rPr>
          <w:rStyle w:val="Znakapoznpodarou"/>
        </w:rPr>
        <w:footnoteRef/>
      </w:r>
      <w:r>
        <w:t xml:space="preserve"> </w:t>
      </w:r>
      <w:r w:rsidR="00DA70C7" w:rsidRPr="00DA70C7">
        <w:t xml:space="preserve">H. Gomaa, W., A. Fahmy, A. A Survey of Text Similarity Approaches. </w:t>
      </w:r>
      <w:r w:rsidR="00DA70C7" w:rsidRPr="00DA70C7">
        <w:rPr>
          <w:i/>
          <w:iCs/>
        </w:rPr>
        <w:t>International Journal of Computer Applications</w:t>
      </w:r>
      <w:r w:rsidR="00DA70C7" w:rsidRPr="00DA70C7">
        <w:t>. 2013, s. 13–18.</w:t>
      </w:r>
      <w:r w:rsidR="00DA70C7">
        <w:t xml:space="preserve"> </w:t>
      </w:r>
      <w:r w:rsidR="00DA70C7" w:rsidRPr="00DA70C7">
        <w:t xml:space="preserve">Wagh, R., Anand, D. Application of citation network analysis for improved similarity index estimation of legal case documents : A study. In: </w:t>
      </w:r>
      <w:r w:rsidR="00DA70C7" w:rsidRPr="00DA70C7">
        <w:rPr>
          <w:i/>
          <w:iCs/>
        </w:rPr>
        <w:t>2017 IEEE International Conference on Current Trends in Advanced Computing (ICCTAC)</w:t>
      </w:r>
      <w:r w:rsidR="00DA70C7" w:rsidRPr="00DA70C7">
        <w:t>. 2017, s. 1–5.</w:t>
      </w:r>
    </w:p>
  </w:footnote>
  <w:footnote w:id="297">
    <w:p w14:paraId="546D7558" w14:textId="1A8319CA" w:rsidR="00B82931" w:rsidRDefault="00B82931" w:rsidP="00666071">
      <w:pPr>
        <w:pStyle w:val="Textpoznpodarou"/>
      </w:pPr>
      <w:r>
        <w:rPr>
          <w:rStyle w:val="Znakapoznpodarou"/>
        </w:rPr>
        <w:footnoteRef/>
      </w:r>
      <w:r>
        <w:t xml:space="preserve"> </w:t>
      </w:r>
      <w:r w:rsidR="00666071" w:rsidRPr="00666071">
        <w:t xml:space="preserve">Van Opijnen, M., Santos, C. On the concept of relevance in legal information retrieval. </w:t>
      </w:r>
      <w:r w:rsidR="00666071" w:rsidRPr="00666071">
        <w:rPr>
          <w:i/>
          <w:iCs/>
        </w:rPr>
        <w:t>Artificial Intelligence and Law</w:t>
      </w:r>
      <w:r w:rsidR="00666071" w:rsidRPr="00666071">
        <w:t>. 2017, č. 1, s. 65–87.</w:t>
      </w:r>
    </w:p>
  </w:footnote>
  <w:footnote w:id="298">
    <w:p w14:paraId="063B8AAA" w14:textId="77777777" w:rsidR="00B82931" w:rsidRDefault="00B82931" w:rsidP="00B82931">
      <w:pPr>
        <w:pStyle w:val="Textpoznpodarou"/>
      </w:pPr>
      <w:r>
        <w:rPr>
          <w:rStyle w:val="Znakapoznpodarou"/>
        </w:rPr>
        <w:footnoteRef/>
      </w:r>
      <w:r>
        <w:t xml:space="preserve"> Volný překlad autorky.</w:t>
      </w:r>
    </w:p>
  </w:footnote>
  <w:footnote w:id="299">
    <w:p w14:paraId="447B86B4" w14:textId="726F9844" w:rsidR="00A97444" w:rsidRDefault="00A97444" w:rsidP="00A97444">
      <w:pPr>
        <w:pStyle w:val="Textpoznpodarou"/>
      </w:pPr>
      <w:r>
        <w:rPr>
          <w:rStyle w:val="Znakapoznpodarou"/>
        </w:rPr>
        <w:footnoteRef/>
      </w:r>
      <w:r>
        <w:t xml:space="preserve"> Metodologie tohoto experimentu byla publikována jako: </w:t>
      </w:r>
      <w:r w:rsidRPr="00A97444">
        <w:t xml:space="preserve">Novotná, T., Harašta, J., Kól, J. Topic Modelling of the Czech Supreme Court Decisions. In: Ashley, K. D. et al. (eds). </w:t>
      </w:r>
      <w:r w:rsidRPr="00A97444">
        <w:rPr>
          <w:i/>
          <w:iCs/>
        </w:rPr>
        <w:t>Proceedings of the Fourth Workshop on Automated Semantic Analysis of Information in Legal Text</w:t>
      </w:r>
      <w:r w:rsidRPr="00A97444">
        <w:t xml:space="preserve">. 2764. December: CEUR, 2020. CEUR Workshop Proceedings. </w:t>
      </w:r>
    </w:p>
  </w:footnote>
  <w:footnote w:id="300">
    <w:p w14:paraId="108ED0A0" w14:textId="0B076463" w:rsidR="00B82931" w:rsidRDefault="00B82931" w:rsidP="00D06617">
      <w:pPr>
        <w:pStyle w:val="Textpoznpodarou"/>
      </w:pPr>
      <w:r>
        <w:rPr>
          <w:rStyle w:val="Znakapoznpodarou"/>
        </w:rPr>
        <w:footnoteRef/>
      </w:r>
      <w:r>
        <w:t xml:space="preserve"> Algoritmus představen v:</w:t>
      </w:r>
      <w:r w:rsidR="00D06617">
        <w:t xml:space="preserve"> </w:t>
      </w:r>
      <w:r w:rsidR="00D06617" w:rsidRPr="00D06617">
        <w:t xml:space="preserve">Blei, D. M., Ng, A. Y., Jordan, M. I. Latent dirichlet allocation. In: </w:t>
      </w:r>
      <w:r w:rsidR="00D06617" w:rsidRPr="00D06617">
        <w:rPr>
          <w:i/>
          <w:iCs/>
        </w:rPr>
        <w:t>Proceedings of the 14th International Conference on Neural Information Processing Systems: Natural and Synthetic</w:t>
      </w:r>
      <w:r w:rsidR="00D06617" w:rsidRPr="00D06617">
        <w:t>. Cambridge, MA, USA: MIT Press, 2001, s. 601–608. NIPS’01</w:t>
      </w:r>
      <w:r w:rsidR="00D06617">
        <w:t>.</w:t>
      </w:r>
    </w:p>
  </w:footnote>
  <w:footnote w:id="301">
    <w:p w14:paraId="51E647A4" w14:textId="362FD6BF" w:rsidR="00B82931" w:rsidRDefault="00B82931" w:rsidP="00D06617">
      <w:pPr>
        <w:pStyle w:val="Textpoznpodarou"/>
      </w:pPr>
      <w:r>
        <w:rPr>
          <w:rStyle w:val="Znakapoznpodarou"/>
        </w:rPr>
        <w:footnoteRef/>
      </w:r>
      <w:r>
        <w:t xml:space="preserve"> Algoritmus představen v:</w:t>
      </w:r>
      <w:r w:rsidR="00D06617">
        <w:t xml:space="preserve"> </w:t>
      </w:r>
      <w:r w:rsidR="00D06617" w:rsidRPr="00D06617">
        <w:t>Paatero, P., Tapper, U. Positive matrix factorization: A non-negative factor model with optimal utilization of error estimates of data values. 1994</w:t>
      </w:r>
      <w:r w:rsidR="00D06617">
        <w:t>.</w:t>
      </w:r>
    </w:p>
  </w:footnote>
  <w:footnote w:id="302">
    <w:p w14:paraId="0A573D4B" w14:textId="77777777" w:rsidR="00B82931" w:rsidRDefault="00B82931" w:rsidP="00B82931">
      <w:pPr>
        <w:pStyle w:val="Textpoznpodarou"/>
      </w:pPr>
      <w:r>
        <w:rPr>
          <w:rStyle w:val="Znakapoznpodarou"/>
        </w:rPr>
        <w:footnoteRef/>
      </w:r>
      <w:r>
        <w:t xml:space="preserve"> Důvod této volby je čistě praktický - neexistují datasety manuálně anotovaných soudních rozhodnutí českých soudů, které by bylo možné využít, a jejich získání by bylo vzhledem k této práci příliš časově náročné.</w:t>
      </w:r>
    </w:p>
  </w:footnote>
  <w:footnote w:id="303">
    <w:p w14:paraId="4EC3BEE1" w14:textId="0FED5C26" w:rsidR="00B82931" w:rsidRDefault="00B82931" w:rsidP="007707D1">
      <w:pPr>
        <w:pStyle w:val="Textpoznpodarou"/>
      </w:pPr>
      <w:r>
        <w:rPr>
          <w:rStyle w:val="Znakapoznpodarou"/>
        </w:rPr>
        <w:footnoteRef/>
      </w:r>
      <w:r>
        <w:t xml:space="preserve"> </w:t>
      </w:r>
      <w:r w:rsidR="007707D1" w:rsidRPr="007707D1">
        <w:t xml:space="preserve">Blei, D. M., Ng, A. Y., Jordan, M. I. Latent dirichlet allocation. In: </w:t>
      </w:r>
      <w:r w:rsidR="007707D1" w:rsidRPr="007707D1">
        <w:rPr>
          <w:i/>
          <w:iCs/>
        </w:rPr>
        <w:t>Proceedings of the 14th International Conference on Neural Information Processing Systems: Natural and Synthetic</w:t>
      </w:r>
      <w:r w:rsidR="007707D1" w:rsidRPr="007707D1">
        <w:t>. Cambridge, MA, USA: MIT Press, 2001, s. 601–608. NIPS’01.</w:t>
      </w:r>
    </w:p>
  </w:footnote>
  <w:footnote w:id="304">
    <w:p w14:paraId="467E9122" w14:textId="726A04EA" w:rsidR="00B82931" w:rsidRDefault="00B82931" w:rsidP="00B82931">
      <w:pPr>
        <w:pStyle w:val="Textpoznpodarou"/>
      </w:pPr>
      <w:r>
        <w:rPr>
          <w:rStyle w:val="Znakapoznpodarou"/>
        </w:rPr>
        <w:footnoteRef/>
      </w:r>
      <w:r>
        <w:t xml:space="preserve"> V</w:t>
      </w:r>
      <w:r w:rsidR="007707D1">
        <w:t xml:space="preserve"> angl. </w:t>
      </w:r>
      <w:r>
        <w:t>orig</w:t>
      </w:r>
      <w:r w:rsidR="007707D1">
        <w:t>inálu</w:t>
      </w:r>
      <w:r>
        <w:t xml:space="preserve"> “</w:t>
      </w:r>
      <w:r w:rsidRPr="007707D1">
        <w:rPr>
          <w:i/>
          <w:iCs/>
        </w:rPr>
        <w:t>unsupervised learning</w:t>
      </w:r>
      <w:r>
        <w:t>”.</w:t>
      </w:r>
    </w:p>
  </w:footnote>
  <w:footnote w:id="305">
    <w:p w14:paraId="0092A590" w14:textId="57BE8DB4" w:rsidR="00B82931" w:rsidRDefault="00B82931" w:rsidP="007707D1">
      <w:pPr>
        <w:pStyle w:val="Textpoznpodarou"/>
      </w:pPr>
      <w:r>
        <w:rPr>
          <w:rStyle w:val="Znakapoznpodarou"/>
        </w:rPr>
        <w:footnoteRef/>
      </w:r>
      <w:r>
        <w:t xml:space="preserve"> </w:t>
      </w:r>
      <w:r w:rsidR="007707D1" w:rsidRPr="007707D1">
        <w:t xml:space="preserve">Jacobi, C., Atteveldt, W. van, Welbers, K. Quantitative analysis of large amounts of journalistic texts using topic modelling. </w:t>
      </w:r>
      <w:r w:rsidR="007707D1" w:rsidRPr="007707D1">
        <w:rPr>
          <w:i/>
          <w:iCs/>
        </w:rPr>
        <w:t>Digital Journalism</w:t>
      </w:r>
      <w:r w:rsidR="007707D1" w:rsidRPr="007707D1">
        <w:t>. 2016, č. 1, s. 89–106.</w:t>
      </w:r>
      <w:r>
        <w:t xml:space="preserve"> </w:t>
      </w:r>
      <w:r w:rsidR="007707D1" w:rsidRPr="007707D1">
        <w:t xml:space="preserve">Nikolenko, S. I., Koltcov, S., Koltsova, O. Topic modelling for qualitative studies. </w:t>
      </w:r>
      <w:r w:rsidR="007707D1" w:rsidRPr="007707D1">
        <w:rPr>
          <w:i/>
          <w:iCs/>
        </w:rPr>
        <w:t>Journal of Information Science</w:t>
      </w:r>
      <w:r w:rsidR="007707D1" w:rsidRPr="007707D1">
        <w:t>. 2017, č. 1, s. 88–102.</w:t>
      </w:r>
    </w:p>
  </w:footnote>
  <w:footnote w:id="306">
    <w:p w14:paraId="14E6417C" w14:textId="36200816" w:rsidR="00B82931" w:rsidRDefault="00B82931" w:rsidP="00277174">
      <w:pPr>
        <w:pStyle w:val="Textpoznpodarou"/>
      </w:pPr>
      <w:r>
        <w:rPr>
          <w:rStyle w:val="Znakapoznpodarou"/>
        </w:rPr>
        <w:footnoteRef/>
      </w:r>
      <w:r w:rsidR="00277174">
        <w:t xml:space="preserve"> </w:t>
      </w:r>
      <w:r w:rsidR="00277174" w:rsidRPr="00277174">
        <w:t xml:space="preserve">He, L., Li, W., Zhuge, H. Exploring Differential Topic Models for Comparative Summarization of Scientific Papers. In: </w:t>
      </w:r>
      <w:r w:rsidR="00277174" w:rsidRPr="00277174">
        <w:rPr>
          <w:i/>
          <w:iCs/>
        </w:rPr>
        <w:t>Proceedings of COLING 2016, the 26th International Conference on Computational Linguistics: Technical Papers</w:t>
      </w:r>
      <w:r w:rsidR="00277174" w:rsidRPr="00277174">
        <w:t>. Osaka, Japan: The COLING 2016 Organizing Committee, 2016, s. 1028–1038.</w:t>
      </w:r>
    </w:p>
  </w:footnote>
  <w:footnote w:id="307">
    <w:p w14:paraId="606AE00D" w14:textId="6FD3A327" w:rsidR="00B82931" w:rsidRDefault="00B82931" w:rsidP="00AF5177">
      <w:pPr>
        <w:pStyle w:val="Textpoznpodarou"/>
      </w:pPr>
      <w:r>
        <w:rPr>
          <w:rStyle w:val="Znakapoznpodarou"/>
        </w:rPr>
        <w:footnoteRef/>
      </w:r>
      <w:r w:rsidR="00AF5177">
        <w:t xml:space="preserve"> </w:t>
      </w:r>
      <w:r w:rsidR="00AF5177" w:rsidRPr="00AF5177">
        <w:t xml:space="preserve">Mo, Y., Kontonatsios, G., Ananiadou, S. Supporting systematic reviews using LDA-based document representations. </w:t>
      </w:r>
      <w:r w:rsidR="00AF5177" w:rsidRPr="00AF5177">
        <w:rPr>
          <w:i/>
          <w:iCs/>
        </w:rPr>
        <w:t>Systematic Reviews</w:t>
      </w:r>
      <w:r w:rsidR="00AF5177" w:rsidRPr="00AF5177">
        <w:t>. 2015, č. 1, s. 172.</w:t>
      </w:r>
    </w:p>
  </w:footnote>
  <w:footnote w:id="308">
    <w:p w14:paraId="7F224C4A" w14:textId="12ED3AE4" w:rsidR="00B82931" w:rsidRDefault="00B82931" w:rsidP="00AF5177">
      <w:pPr>
        <w:pStyle w:val="Textpoznpodarou"/>
      </w:pPr>
      <w:r>
        <w:rPr>
          <w:rStyle w:val="Znakapoznpodarou"/>
        </w:rPr>
        <w:footnoteRef/>
      </w:r>
      <w:r>
        <w:t xml:space="preserve"> </w:t>
      </w:r>
      <w:r w:rsidR="00AF5177" w:rsidRPr="00AF5177">
        <w:t xml:space="preserve">Venkatesh, R. K. Legal Documents Clustering and Summarization using Hierarchical Latent Dirichlet Allocation. </w:t>
      </w:r>
      <w:r w:rsidR="00AF5177" w:rsidRPr="00AF5177">
        <w:rPr>
          <w:i/>
          <w:iCs/>
        </w:rPr>
        <w:t>IAES International Journal of Artificial Intelligence (IJ-AI)</w:t>
      </w:r>
      <w:r w:rsidR="00AF5177" w:rsidRPr="00AF5177">
        <w:t>. 2013, č. 1, s. 27–35</w:t>
      </w:r>
      <w:r w:rsidR="00AF5177">
        <w:t xml:space="preserve">. </w:t>
      </w:r>
      <w:r w:rsidR="00AF5177" w:rsidRPr="00AF5177">
        <w:t xml:space="preserve">Lu, Q. et al. Legal document clustering with built-in topic segmentation. In: </w:t>
      </w:r>
      <w:r w:rsidR="00AF5177" w:rsidRPr="00AF5177">
        <w:rPr>
          <w:i/>
          <w:iCs/>
        </w:rPr>
        <w:t>Proceedings of the 20th ACM international conference on Information and knowledge management - CIKM ’11</w:t>
      </w:r>
      <w:r w:rsidR="00AF5177" w:rsidRPr="00AF5177">
        <w:t xml:space="preserve">. Glasgow, Scotland, UK: ACM Press, 2011, s. 383. Hachey, B., Grover, C. Sequence modelling for sentence classification in a legal summarisation system. In: </w:t>
      </w:r>
      <w:r w:rsidR="00AF5177" w:rsidRPr="00AF5177">
        <w:rPr>
          <w:i/>
          <w:iCs/>
        </w:rPr>
        <w:t>Proceedings of the 2005 ACM symposium on Applied computing</w:t>
      </w:r>
      <w:r w:rsidR="00AF5177" w:rsidRPr="00AF5177">
        <w:t>. New York, NY, USA: Association for Computing Machinery, 2005, s. 292–296. SAC ’05.</w:t>
      </w:r>
    </w:p>
  </w:footnote>
  <w:footnote w:id="309">
    <w:p w14:paraId="61D5BB40" w14:textId="22442A93" w:rsidR="00B82931" w:rsidRDefault="00B82931" w:rsidP="004B26B6">
      <w:pPr>
        <w:pStyle w:val="Textpoznpodarou"/>
      </w:pPr>
      <w:r>
        <w:rPr>
          <w:rStyle w:val="Znakapoznpodarou"/>
        </w:rPr>
        <w:footnoteRef/>
      </w:r>
      <w:r>
        <w:t xml:space="preserve"> </w:t>
      </w:r>
      <w:r w:rsidR="004B26B6" w:rsidRPr="004B26B6">
        <w:t xml:space="preserve">Hao, Z., Wei, X., Hu, H. A Comparative Method of Legal Documents Based on LDA. In: </w:t>
      </w:r>
      <w:r w:rsidR="004B26B6" w:rsidRPr="004B26B6">
        <w:rPr>
          <w:i/>
          <w:iCs/>
        </w:rPr>
        <w:t>International Conference on Applications and Techniques in Cyber Security and Intelligence ATCI 2018</w:t>
      </w:r>
      <w:r w:rsidR="004B26B6" w:rsidRPr="004B26B6">
        <w:t xml:space="preserve">. Springer, Cham, 2018, s. 271–280. </w:t>
      </w:r>
    </w:p>
  </w:footnote>
  <w:footnote w:id="310">
    <w:p w14:paraId="5F7D7691" w14:textId="0FF0CCE2" w:rsidR="00B82931" w:rsidRDefault="00B82931" w:rsidP="004B26B6">
      <w:pPr>
        <w:pStyle w:val="Textpoznpodarou"/>
      </w:pPr>
      <w:r>
        <w:rPr>
          <w:rStyle w:val="Znakapoznpodarou"/>
        </w:rPr>
        <w:footnoteRef/>
      </w:r>
      <w:r>
        <w:t xml:space="preserve"> </w:t>
      </w:r>
      <w:r w:rsidR="004B26B6" w:rsidRPr="004B26B6">
        <w:t xml:space="preserve">Boer, A., Winkels, R. Making a Cold Start in Legal Recommendation: An Experiment. </w:t>
      </w:r>
      <w:r w:rsidR="004B26B6" w:rsidRPr="004B26B6">
        <w:rPr>
          <w:i/>
          <w:iCs/>
        </w:rPr>
        <w:t>Legal Knowledge and Information Systems</w:t>
      </w:r>
      <w:r w:rsidR="004B26B6" w:rsidRPr="004B26B6">
        <w:t>. 2016, s. 131–136.</w:t>
      </w:r>
    </w:p>
  </w:footnote>
  <w:footnote w:id="311">
    <w:p w14:paraId="6B3A7D3A" w14:textId="0537594B" w:rsidR="00B82931" w:rsidRDefault="00B82931" w:rsidP="004B26B6">
      <w:pPr>
        <w:pStyle w:val="Textpoznpodarou"/>
      </w:pPr>
      <w:r>
        <w:rPr>
          <w:rStyle w:val="Znakapoznpodarou"/>
        </w:rPr>
        <w:footnoteRef/>
      </w:r>
      <w:r>
        <w:t xml:space="preserve"> </w:t>
      </w:r>
      <w:r w:rsidR="004B26B6" w:rsidRPr="004B26B6">
        <w:t>Paatero, P., Tapper, U. Positive matrix factorization: A non-negative factor model with optimal utilization of error estimates of data values. 1994</w:t>
      </w:r>
      <w:r w:rsidR="004B26B6">
        <w:t>.</w:t>
      </w:r>
    </w:p>
  </w:footnote>
  <w:footnote w:id="312">
    <w:p w14:paraId="3DE31122" w14:textId="4426B81D" w:rsidR="00B82931" w:rsidRDefault="00B82931" w:rsidP="00E3477A">
      <w:pPr>
        <w:pStyle w:val="Textpoznpodarou"/>
      </w:pPr>
      <w:r>
        <w:rPr>
          <w:rStyle w:val="Znakapoznpodarou"/>
        </w:rPr>
        <w:footnoteRef/>
      </w:r>
      <w:r>
        <w:t xml:space="preserve"> </w:t>
      </w:r>
      <w:r w:rsidR="00E3477A" w:rsidRPr="00E3477A">
        <w:t xml:space="preserve">Lee, D. D., Seung, H. S. Algorithms for Non-negative Matrix Factorization. In: Leen, T. K., Dietterich, T. G., Tresp, V. (eds). </w:t>
      </w:r>
      <w:r w:rsidR="00E3477A" w:rsidRPr="00E3477A">
        <w:rPr>
          <w:i/>
          <w:iCs/>
        </w:rPr>
        <w:t>Advances in Neural Information Processing Systems 13</w:t>
      </w:r>
      <w:r w:rsidR="00E3477A" w:rsidRPr="00E3477A">
        <w:t>. MIT Press, 2001, s. 556–562.</w:t>
      </w:r>
    </w:p>
  </w:footnote>
  <w:footnote w:id="313">
    <w:p w14:paraId="4B1510F4" w14:textId="770256FF" w:rsidR="00B82931" w:rsidRDefault="00B82931" w:rsidP="00F118D4">
      <w:pPr>
        <w:pStyle w:val="Textpoznpodarou"/>
      </w:pPr>
      <w:r>
        <w:rPr>
          <w:rStyle w:val="Znakapoznpodarou"/>
        </w:rPr>
        <w:footnoteRef/>
      </w:r>
      <w:r w:rsidR="00F118D4">
        <w:t xml:space="preserve"> </w:t>
      </w:r>
      <w:r w:rsidR="00F118D4" w:rsidRPr="00F118D4">
        <w:t xml:space="preserve">Berry, M. W. et al. Algorithms and applications for approximate nonnegative matrix factorization. </w:t>
      </w:r>
      <w:r w:rsidR="00F118D4" w:rsidRPr="00F118D4">
        <w:rPr>
          <w:i/>
          <w:iCs/>
        </w:rPr>
        <w:t>Computational Statistics &amp; Data Analysis</w:t>
      </w:r>
      <w:r w:rsidR="00F118D4" w:rsidRPr="00F118D4">
        <w:t>. 2007, č. 1, s. 155–173.</w:t>
      </w:r>
    </w:p>
  </w:footnote>
  <w:footnote w:id="314">
    <w:p w14:paraId="0238450C" w14:textId="78911949" w:rsidR="00B82931" w:rsidRDefault="00B82931" w:rsidP="00D606C2">
      <w:pPr>
        <w:pStyle w:val="Textpoznpodarou"/>
      </w:pPr>
      <w:r>
        <w:rPr>
          <w:rStyle w:val="Znakapoznpodarou"/>
        </w:rPr>
        <w:footnoteRef/>
      </w:r>
      <w:r>
        <w:t xml:space="preserve"> </w:t>
      </w:r>
      <w:r w:rsidR="00D606C2" w:rsidRPr="00D606C2">
        <w:t xml:space="preserve">Smaragdis, P., Brown, J. C. Non-negative matrix factorization for polyphonic music transcription. In: </w:t>
      </w:r>
      <w:r w:rsidR="00D606C2" w:rsidRPr="00D606C2">
        <w:rPr>
          <w:i/>
          <w:iCs/>
        </w:rPr>
        <w:t>2003 IEEE Workshop on Applications of Signal Processing to Audio and Acoustics (IEEE Cat. No.03TH8684)</w:t>
      </w:r>
      <w:r w:rsidR="00D606C2" w:rsidRPr="00D606C2">
        <w:t>. 2003, s. 177–180.</w:t>
      </w:r>
    </w:p>
  </w:footnote>
  <w:footnote w:id="315">
    <w:p w14:paraId="43BDA01F" w14:textId="08B67988" w:rsidR="00B82931" w:rsidRDefault="00B82931" w:rsidP="00D606C2">
      <w:pPr>
        <w:pStyle w:val="Textpoznpodarou"/>
      </w:pPr>
      <w:r>
        <w:rPr>
          <w:rStyle w:val="Znakapoznpodarou"/>
        </w:rPr>
        <w:footnoteRef/>
      </w:r>
      <w:r>
        <w:t xml:space="preserve"> </w:t>
      </w:r>
      <w:r w:rsidR="00D606C2" w:rsidRPr="00D606C2">
        <w:t xml:space="preserve">Kuang, D., Choo, J., Park, H. Nonnegative Matrix Factorization for Interactive Topic Modeling and Document Clustering. In: Celebi, M. E. (ed.). </w:t>
      </w:r>
      <w:r w:rsidR="00D606C2" w:rsidRPr="00D606C2">
        <w:rPr>
          <w:i/>
          <w:iCs/>
        </w:rPr>
        <w:t>Partitional Clustering Algorithms</w:t>
      </w:r>
      <w:r w:rsidR="00D606C2" w:rsidRPr="00D606C2">
        <w:t xml:space="preserve">. Cham: Springer International Publishing, 2015, s. 215–243. Laxmi Lydia, E. et al. Charismatic Document Clustering Through Novel K-Means Non-negative Matrix Factorization (KNMF) Algorithm Using Key Phrase Extraction. </w:t>
      </w:r>
      <w:r w:rsidR="00D606C2" w:rsidRPr="00D606C2">
        <w:rPr>
          <w:i/>
          <w:iCs/>
        </w:rPr>
        <w:t>International Journal of Parallel Programming</w:t>
      </w:r>
      <w:r w:rsidR="00D606C2" w:rsidRPr="00D606C2">
        <w:t>. 2020, č. 3, s. 496–514.</w:t>
      </w:r>
      <w:r>
        <w:t xml:space="preserve"> </w:t>
      </w:r>
      <w:r w:rsidR="00D606C2" w:rsidRPr="00D606C2">
        <w:t xml:space="preserve">Xu, W., Liu, X., Gong, Y. Document clustering based on non-negative matrix factorization. In: </w:t>
      </w:r>
      <w:r w:rsidR="00D606C2" w:rsidRPr="00D606C2">
        <w:rPr>
          <w:i/>
          <w:iCs/>
        </w:rPr>
        <w:t>Proceedings of the 26th annual international ACM SIGIR conference on Research and development in informaion retrieval</w:t>
      </w:r>
      <w:r w:rsidR="00D606C2" w:rsidRPr="00D606C2">
        <w:t>. New York, NY, USA: Association for Computing Machinery, 2003, s. 267–273. SIGIR ’03.</w:t>
      </w:r>
    </w:p>
  </w:footnote>
  <w:footnote w:id="316">
    <w:p w14:paraId="5CB49908" w14:textId="0C400F26" w:rsidR="00B82931" w:rsidRDefault="00B82931" w:rsidP="00B82931">
      <w:pPr>
        <w:pStyle w:val="Textpoznpodarou"/>
      </w:pPr>
      <w:r>
        <w:rPr>
          <w:rStyle w:val="Znakapoznpodarou"/>
        </w:rPr>
        <w:footnoteRef/>
      </w:r>
      <w:r>
        <w:t xml:space="preserve"> V ang</w:t>
      </w:r>
      <w:r w:rsidR="007B5588">
        <w:t>l</w:t>
      </w:r>
      <w:r>
        <w:t>. originálu se užívá termín “</w:t>
      </w:r>
      <w:r w:rsidRPr="007B5588">
        <w:rPr>
          <w:i/>
          <w:iCs/>
        </w:rPr>
        <w:t>human evaluation</w:t>
      </w:r>
      <w:r>
        <w:t>” nebo “</w:t>
      </w:r>
      <w:r w:rsidRPr="007B5588">
        <w:rPr>
          <w:i/>
          <w:iCs/>
        </w:rPr>
        <w:t>manual evaluation</w:t>
      </w:r>
      <w:r>
        <w:t>”.</w:t>
      </w:r>
    </w:p>
  </w:footnote>
  <w:footnote w:id="317">
    <w:p w14:paraId="175FBB99" w14:textId="2F3E3E68" w:rsidR="00B82931" w:rsidRDefault="00B82931" w:rsidP="00B82931">
      <w:pPr>
        <w:pStyle w:val="Textpoznpodarou"/>
      </w:pPr>
      <w:r>
        <w:rPr>
          <w:rStyle w:val="Znakapoznpodarou"/>
        </w:rPr>
        <w:footnoteRef/>
      </w:r>
      <w:r>
        <w:t xml:space="preserve"> V ang</w:t>
      </w:r>
      <w:r w:rsidR="007B5588">
        <w:t>l</w:t>
      </w:r>
      <w:r>
        <w:t>. originále “</w:t>
      </w:r>
      <w:r w:rsidRPr="007B5588">
        <w:rPr>
          <w:i/>
          <w:iCs/>
        </w:rPr>
        <w:t>intrinsic evaluation metrics</w:t>
      </w:r>
      <w:r>
        <w:t>”.</w:t>
      </w:r>
    </w:p>
  </w:footnote>
  <w:footnote w:id="318">
    <w:p w14:paraId="4EACA171" w14:textId="3B90A474" w:rsidR="00B82931" w:rsidRDefault="00B82931" w:rsidP="00B82931">
      <w:pPr>
        <w:pStyle w:val="Textpoznpodarou"/>
      </w:pPr>
      <w:r>
        <w:rPr>
          <w:rStyle w:val="Znakapoznpodarou"/>
        </w:rPr>
        <w:footnoteRef/>
      </w:r>
      <w:r>
        <w:t xml:space="preserve"> V ang</w:t>
      </w:r>
      <w:r w:rsidR="007B5588">
        <w:t>l</w:t>
      </w:r>
      <w:r>
        <w:t>. originále “</w:t>
      </w:r>
      <w:r w:rsidRPr="007B5588">
        <w:rPr>
          <w:i/>
          <w:iCs/>
        </w:rPr>
        <w:t>extrinsic evaluation metric</w:t>
      </w:r>
      <w:r>
        <w:t>”.</w:t>
      </w:r>
    </w:p>
  </w:footnote>
  <w:footnote w:id="319">
    <w:p w14:paraId="4FBA431E" w14:textId="5E0793DA" w:rsidR="00B82931" w:rsidRDefault="00B82931" w:rsidP="00B82931">
      <w:pPr>
        <w:pStyle w:val="Textpoznpodarou"/>
      </w:pPr>
      <w:r>
        <w:rPr>
          <w:rStyle w:val="Znakapoznpodarou"/>
        </w:rPr>
        <w:footnoteRef/>
      </w:r>
      <w:r>
        <w:t xml:space="preserve"> V ang</w:t>
      </w:r>
      <w:r w:rsidR="007B5588">
        <w:t>l</w:t>
      </w:r>
      <w:r>
        <w:t>. originále jako “</w:t>
      </w:r>
      <w:r w:rsidRPr="007B5588">
        <w:rPr>
          <w:i/>
          <w:iCs/>
        </w:rPr>
        <w:t>topic-based evaluation</w:t>
      </w:r>
      <w:r>
        <w:t>”.</w:t>
      </w:r>
    </w:p>
  </w:footnote>
  <w:footnote w:id="320">
    <w:p w14:paraId="37ADB249" w14:textId="2C471BC0" w:rsidR="00B82931" w:rsidRDefault="00B82931" w:rsidP="00B82931">
      <w:pPr>
        <w:pStyle w:val="Textpoznpodarou"/>
      </w:pPr>
      <w:r>
        <w:rPr>
          <w:rStyle w:val="Znakapoznpodarou"/>
        </w:rPr>
        <w:footnoteRef/>
      </w:r>
      <w:r>
        <w:t xml:space="preserve"> V ang</w:t>
      </w:r>
      <w:r w:rsidR="007B5588">
        <w:t>l</w:t>
      </w:r>
      <w:r>
        <w:t>. originále jako “</w:t>
      </w:r>
      <w:r w:rsidRPr="007B5588">
        <w:rPr>
          <w:i/>
          <w:iCs/>
        </w:rPr>
        <w:t>document-based evaluation</w:t>
      </w:r>
      <w:r>
        <w:t>”.</w:t>
      </w:r>
    </w:p>
  </w:footnote>
  <w:footnote w:id="321">
    <w:p w14:paraId="1D9D72F0" w14:textId="1C664962" w:rsidR="00B82931" w:rsidRDefault="00B82931" w:rsidP="007B5588">
      <w:pPr>
        <w:pStyle w:val="Textpoznpodarou"/>
      </w:pPr>
      <w:r>
        <w:rPr>
          <w:rStyle w:val="Znakapoznpodarou"/>
        </w:rPr>
        <w:footnoteRef/>
      </w:r>
      <w:r>
        <w:t xml:space="preserve"> </w:t>
      </w:r>
      <w:r w:rsidR="007B5588" w:rsidRPr="007B5588">
        <w:t xml:space="preserve">Bhatia, S., Lau, J. H., Baldwin, T. An Automatic Approach for Document-level Topic Model Evaluation. </w:t>
      </w:r>
      <w:r w:rsidR="007B5588" w:rsidRPr="007B5588">
        <w:rPr>
          <w:i/>
          <w:iCs/>
        </w:rPr>
        <w:t>arXiv:1706.05140 [cs]</w:t>
      </w:r>
      <w:r w:rsidR="007B5588" w:rsidRPr="007B5588">
        <w:t>. 2017.</w:t>
      </w:r>
    </w:p>
  </w:footnote>
  <w:footnote w:id="322">
    <w:p w14:paraId="3C4F218D" w14:textId="713E0FC1" w:rsidR="00B82931" w:rsidRDefault="00B82931" w:rsidP="00B82931">
      <w:pPr>
        <w:pStyle w:val="Textpoznpodarou"/>
      </w:pPr>
      <w:r>
        <w:rPr>
          <w:rStyle w:val="Znakapoznpodarou"/>
        </w:rPr>
        <w:footnoteRef/>
      </w:r>
      <w:r>
        <w:t xml:space="preserve"> V ang</w:t>
      </w:r>
      <w:r w:rsidR="007B5588">
        <w:t>l</w:t>
      </w:r>
      <w:r>
        <w:t>. originále “</w:t>
      </w:r>
      <w:r w:rsidRPr="007B5588">
        <w:rPr>
          <w:i/>
          <w:iCs/>
        </w:rPr>
        <w:t>coherence score</w:t>
      </w:r>
      <w:r>
        <w:t>”.</w:t>
      </w:r>
    </w:p>
  </w:footnote>
  <w:footnote w:id="323">
    <w:p w14:paraId="42C6F930" w14:textId="77777777" w:rsidR="00B82931" w:rsidRDefault="00B82931" w:rsidP="00B82931">
      <w:pPr>
        <w:pStyle w:val="Textpoznpodarou"/>
      </w:pPr>
      <w:r>
        <w:rPr>
          <w:rStyle w:val="Znakapoznpodarou"/>
        </w:rPr>
        <w:footnoteRef/>
      </w:r>
      <w:r>
        <w:t xml:space="preserve"> Označováno také jako “</w:t>
      </w:r>
      <w:r w:rsidRPr="007B5588">
        <w:rPr>
          <w:i/>
          <w:iCs/>
        </w:rPr>
        <w:t>c_v</w:t>
      </w:r>
      <w:r>
        <w:t>”.</w:t>
      </w:r>
    </w:p>
  </w:footnote>
  <w:footnote w:id="324">
    <w:p w14:paraId="66526D8B" w14:textId="76771225" w:rsidR="00B82931" w:rsidRDefault="00B82931" w:rsidP="009D3D0F">
      <w:pPr>
        <w:pStyle w:val="Textpoznpodarou"/>
      </w:pPr>
      <w:r>
        <w:rPr>
          <w:rStyle w:val="Znakapoznpodarou"/>
        </w:rPr>
        <w:footnoteRef/>
      </w:r>
      <w:r>
        <w:t xml:space="preserve"> </w:t>
      </w:r>
      <w:r w:rsidR="009D3D0F" w:rsidRPr="009D3D0F">
        <w:t xml:space="preserve">Röder, M., Both, A., Hinneburg, A. Exploring the Space of Topic Coherence Measures. In: </w:t>
      </w:r>
      <w:r w:rsidR="009D3D0F" w:rsidRPr="009D3D0F">
        <w:rPr>
          <w:i/>
          <w:iCs/>
        </w:rPr>
        <w:t>Proceedings of the Eighth ACM International Conference on Web Search and Data Mining - WSDM ’15</w:t>
      </w:r>
      <w:r w:rsidR="009D3D0F" w:rsidRPr="009D3D0F">
        <w:t xml:space="preserve">. Shanghai, China: ACM Press, 2015, s. 399–408. </w:t>
      </w:r>
    </w:p>
  </w:footnote>
  <w:footnote w:id="325">
    <w:p w14:paraId="034155CD" w14:textId="35736330" w:rsidR="00B82931" w:rsidRDefault="00B82931" w:rsidP="00B82931">
      <w:pPr>
        <w:pStyle w:val="Textpoznpodarou"/>
      </w:pPr>
      <w:r>
        <w:rPr>
          <w:rStyle w:val="Znakapoznpodarou"/>
        </w:rPr>
        <w:footnoteRef/>
      </w:r>
      <w:r>
        <w:t xml:space="preserve"> V ang</w:t>
      </w:r>
      <w:r w:rsidR="009D3D0F">
        <w:t>l</w:t>
      </w:r>
      <w:r>
        <w:t>. originále “</w:t>
      </w:r>
      <w:r w:rsidRPr="009D3D0F">
        <w:rPr>
          <w:i/>
          <w:iCs/>
        </w:rPr>
        <w:t>indirect confirmation measure</w:t>
      </w:r>
      <w:r>
        <w:t>”.</w:t>
      </w:r>
    </w:p>
  </w:footnote>
  <w:footnote w:id="326">
    <w:p w14:paraId="79DE78F8" w14:textId="7ECA1A92" w:rsidR="00106E8C" w:rsidRPr="00106E8C" w:rsidRDefault="00106E8C">
      <w:pPr>
        <w:pStyle w:val="Textpoznpodarou"/>
      </w:pPr>
      <w:r>
        <w:rPr>
          <w:rStyle w:val="Znakapoznpodarou"/>
        </w:rPr>
        <w:footnoteRef/>
      </w:r>
      <w:r>
        <w:t xml:space="preserve"> V ang</w:t>
      </w:r>
      <w:r w:rsidR="009D3D0F">
        <w:t>l</w:t>
      </w:r>
      <w:r>
        <w:t>. originále „</w:t>
      </w:r>
      <w:r w:rsidRPr="00106E8C">
        <w:rPr>
          <w:i/>
          <w:iCs/>
        </w:rPr>
        <w:t>normalized pointwise mutual informatio</w:t>
      </w:r>
      <w:r>
        <w:rPr>
          <w:i/>
          <w:iCs/>
        </w:rPr>
        <w:t xml:space="preserve">n“ </w:t>
      </w:r>
      <w:r w:rsidRPr="00106E8C">
        <w:t>zjednodušeně jako míra vzájemné závislosti proměnných.</w:t>
      </w:r>
    </w:p>
  </w:footnote>
  <w:footnote w:id="327">
    <w:p w14:paraId="7C8546F3" w14:textId="0788E732" w:rsidR="00B82931" w:rsidRDefault="00B82931" w:rsidP="009D3D0F">
      <w:pPr>
        <w:pStyle w:val="Textpoznpodarou"/>
      </w:pPr>
      <w:r>
        <w:rPr>
          <w:rStyle w:val="Znakapoznpodarou"/>
        </w:rPr>
        <w:footnoteRef/>
      </w:r>
      <w:r>
        <w:t xml:space="preserve"> </w:t>
      </w:r>
      <w:r w:rsidR="009D3D0F" w:rsidRPr="009D3D0F">
        <w:t xml:space="preserve">Mifrah, S. Topic Modeling Coherence: A Comparative Study between LDA and NMF Models using COVID’19 Corpus. </w:t>
      </w:r>
      <w:r w:rsidR="009D3D0F" w:rsidRPr="009D3D0F">
        <w:rPr>
          <w:i/>
          <w:iCs/>
        </w:rPr>
        <w:t>International Journal of Advanced Trends in Computer Science and Engineering</w:t>
      </w:r>
      <w:r w:rsidR="009D3D0F" w:rsidRPr="009D3D0F">
        <w:t>. 2020, č. 4, s. 5756–5761.</w:t>
      </w:r>
    </w:p>
  </w:footnote>
  <w:footnote w:id="328">
    <w:p w14:paraId="1FFFE24D" w14:textId="1EB3F1FE" w:rsidR="00B82931" w:rsidRDefault="00B82931" w:rsidP="006B539B">
      <w:pPr>
        <w:pStyle w:val="Textpoznpodarou"/>
      </w:pPr>
      <w:r>
        <w:rPr>
          <w:rStyle w:val="Znakapoznpodarou"/>
        </w:rPr>
        <w:footnoteRef/>
      </w:r>
      <w:r>
        <w:t xml:space="preserve"> </w:t>
      </w:r>
      <w:r w:rsidR="006B539B" w:rsidRPr="006B539B">
        <w:t xml:space="preserve">Chen, Y. et al. Experimental explorations on short text topic mining between LDA and NMF based Schemes. </w:t>
      </w:r>
      <w:r w:rsidR="006B539B" w:rsidRPr="006B539B">
        <w:rPr>
          <w:i/>
          <w:iCs/>
        </w:rPr>
        <w:t>Knowledge-Based Systems</w:t>
      </w:r>
      <w:r w:rsidR="006B539B" w:rsidRPr="006B539B">
        <w:t>. 2019, s. 1–13.</w:t>
      </w:r>
      <w:r>
        <w:t xml:space="preserve"> (</w:t>
      </w:r>
      <w:r w:rsidR="006B539B" w:rsidRPr="006B539B">
        <w:t xml:space="preserve">O’Callaghan, D. et al. An analysis of the coherence of descriptors in topic modeling. </w:t>
      </w:r>
      <w:r w:rsidR="006B539B" w:rsidRPr="006B539B">
        <w:rPr>
          <w:i/>
          <w:iCs/>
        </w:rPr>
        <w:t>Expert Systems with Applications</w:t>
      </w:r>
      <w:r w:rsidR="006B539B" w:rsidRPr="006B539B">
        <w:t>. 2015, č. 13, s. 5645–5657.</w:t>
      </w:r>
    </w:p>
  </w:footnote>
  <w:footnote w:id="329">
    <w:p w14:paraId="36995E7E" w14:textId="4DC1E96F" w:rsidR="00B82931" w:rsidRDefault="00B82931" w:rsidP="006B539B">
      <w:pPr>
        <w:pStyle w:val="Textpoznpodarou"/>
      </w:pPr>
      <w:r>
        <w:rPr>
          <w:rStyle w:val="Znakapoznpodarou"/>
        </w:rPr>
        <w:footnoteRef/>
      </w:r>
      <w:r>
        <w:t xml:space="preserve"> </w:t>
      </w:r>
      <w:r w:rsidR="006B539B" w:rsidRPr="006B539B">
        <w:t xml:space="preserve">Mifrah, S. Topic Modeling Coherence: A Comparative Study between LDA and NMF Models using COVID’19 Corpus. </w:t>
      </w:r>
      <w:r w:rsidR="006B539B" w:rsidRPr="006B539B">
        <w:rPr>
          <w:i/>
          <w:iCs/>
        </w:rPr>
        <w:t>International Journal of Advanced Trends in Computer Science and Engineering</w:t>
      </w:r>
      <w:r w:rsidR="006B539B" w:rsidRPr="006B539B">
        <w:t>. 2020, č. 4, s. 5756–5761.</w:t>
      </w:r>
      <w:r w:rsidR="006B539B" w:rsidRPr="006B539B">
        <w:rPr>
          <w:rFonts w:ascii="Times New Roman" w:hAnsi="Times New Roman"/>
        </w:rPr>
        <w:t xml:space="preserve"> </w:t>
      </w:r>
      <w:r w:rsidR="006B539B" w:rsidRPr="006B539B">
        <w:t xml:space="preserve">Suri, P., Roy, N. R. Comparison between LDA NMF for event-detection from large text stream data. In: </w:t>
      </w:r>
      <w:r w:rsidR="006B539B" w:rsidRPr="006B539B">
        <w:rPr>
          <w:i/>
          <w:iCs/>
        </w:rPr>
        <w:t>2017 3rd International Conference on Computational Intelligence Communication Technology (CICT)</w:t>
      </w:r>
      <w:r w:rsidR="006B539B" w:rsidRPr="006B539B">
        <w:t>. 2017, s. 1–5.</w:t>
      </w:r>
    </w:p>
  </w:footnote>
  <w:footnote w:id="330">
    <w:p w14:paraId="34CADC4B" w14:textId="6F6661E8" w:rsidR="00B82931" w:rsidRDefault="00B82931" w:rsidP="00B82931">
      <w:pPr>
        <w:pStyle w:val="Textpoznpodarou"/>
      </w:pPr>
      <w:r>
        <w:rPr>
          <w:rStyle w:val="Znakapoznpodarou"/>
        </w:rPr>
        <w:footnoteRef/>
      </w:r>
      <w:r>
        <w:t xml:space="preserve"> Výzkumná otázka </w:t>
      </w:r>
      <w:r w:rsidR="006B539B">
        <w:t>3. v kapitole 2.</w:t>
      </w:r>
    </w:p>
  </w:footnote>
  <w:footnote w:id="331">
    <w:p w14:paraId="03F99633" w14:textId="77777777" w:rsidR="00535F44" w:rsidRDefault="00535F44" w:rsidP="00535F44">
      <w:pPr>
        <w:pStyle w:val="Textpoznpodarou"/>
      </w:pPr>
      <w:r>
        <w:rPr>
          <w:rStyle w:val="Znakapoznpodarou"/>
        </w:rPr>
        <w:footnoteRef/>
      </w:r>
      <w:r>
        <w:t xml:space="preserve"> Využili jsme opět obecný seznam českých stop slov jako v případě doc2vec modelu.</w:t>
      </w:r>
    </w:p>
  </w:footnote>
  <w:footnote w:id="332">
    <w:p w14:paraId="1903C4EC" w14:textId="63486708" w:rsidR="00535F44" w:rsidRDefault="00535F44" w:rsidP="00535F44">
      <w:pPr>
        <w:pStyle w:val="Textpoznpodarou"/>
      </w:pPr>
      <w:r>
        <w:rPr>
          <w:rStyle w:val="Znakapoznpodarou"/>
        </w:rPr>
        <w:footnoteRef/>
      </w:r>
      <w:r>
        <w:t xml:space="preserve"> V ang</w:t>
      </w:r>
      <w:r w:rsidR="006B539B">
        <w:t>l</w:t>
      </w:r>
      <w:r>
        <w:t>. originálu “</w:t>
      </w:r>
      <w:r w:rsidRPr="006B539B">
        <w:rPr>
          <w:i/>
          <w:iCs/>
        </w:rPr>
        <w:t>part-of-speech tagging</w:t>
      </w:r>
      <w:r>
        <w:t>”, někdy bývá užíváno i morfologické anotování.</w:t>
      </w:r>
    </w:p>
  </w:footnote>
  <w:footnote w:id="333">
    <w:p w14:paraId="40A65386" w14:textId="010650CD" w:rsidR="00535F44" w:rsidRDefault="00535F44" w:rsidP="00535F44">
      <w:pPr>
        <w:pStyle w:val="Textpoznpodarou"/>
      </w:pPr>
      <w:r>
        <w:rPr>
          <w:rStyle w:val="Znakapoznpodarou"/>
        </w:rPr>
        <w:footnoteRef/>
      </w:r>
      <w:r>
        <w:t xml:space="preserve"> </w:t>
      </w:r>
      <w:r w:rsidR="006B539B" w:rsidRPr="006B539B">
        <w:rPr>
          <w:i/>
          <w:iCs/>
        </w:rPr>
        <w:t>SpaCy ud-pipe</w:t>
      </w:r>
      <w:r w:rsidR="006B539B">
        <w:t xml:space="preserve">. </w:t>
      </w:r>
      <w:r>
        <w:t>https://pypi.org/project/spacy-udpipe/.</w:t>
      </w:r>
    </w:p>
  </w:footnote>
  <w:footnote w:id="334">
    <w:p w14:paraId="425D5A41" w14:textId="2FB9F39A" w:rsidR="00535F44" w:rsidRDefault="00535F44" w:rsidP="00535F44">
      <w:pPr>
        <w:pStyle w:val="Textpoznpodarou"/>
      </w:pPr>
      <w:r>
        <w:rPr>
          <w:rStyle w:val="Znakapoznpodarou"/>
        </w:rPr>
        <w:footnoteRef/>
      </w:r>
      <w:r>
        <w:t xml:space="preserve"> </w:t>
      </w:r>
      <w:r w:rsidR="00DC0F5C" w:rsidRPr="00DC0F5C">
        <w:rPr>
          <w:i/>
          <w:iCs/>
        </w:rPr>
        <w:t>Gensim</w:t>
      </w:r>
      <w:r w:rsidR="00DC0F5C">
        <w:t xml:space="preserve">. </w:t>
      </w:r>
      <w:r>
        <w:t>https://radimrehurek.com/gensim/.</w:t>
      </w:r>
    </w:p>
  </w:footnote>
  <w:footnote w:id="335">
    <w:p w14:paraId="00BB12A4" w14:textId="7B818D0A" w:rsidR="00535F44" w:rsidRDefault="00535F44" w:rsidP="00535F44">
      <w:pPr>
        <w:pStyle w:val="Textpoznpodarou"/>
      </w:pPr>
      <w:r>
        <w:rPr>
          <w:rStyle w:val="Znakapoznpodarou"/>
        </w:rPr>
        <w:footnoteRef/>
      </w:r>
      <w:r>
        <w:t xml:space="preserve"> </w:t>
      </w:r>
      <w:r w:rsidR="00DC0F5C" w:rsidRPr="00DC0F5C">
        <w:rPr>
          <w:i/>
          <w:iCs/>
        </w:rPr>
        <w:t>pyLDAvis</w:t>
      </w:r>
      <w:r w:rsidR="00DC0F5C">
        <w:t xml:space="preserve">. </w:t>
      </w:r>
      <w:r>
        <w:t>https://pyldavis.readthedocs.io/en/latest/readme.html</w:t>
      </w:r>
    </w:p>
  </w:footnote>
  <w:footnote w:id="336">
    <w:p w14:paraId="23C6D6FA" w14:textId="3211C0AE" w:rsidR="00535F44" w:rsidRDefault="00535F44" w:rsidP="00535F44">
      <w:pPr>
        <w:pStyle w:val="Textpoznpodarou"/>
      </w:pPr>
      <w:r>
        <w:rPr>
          <w:rStyle w:val="Znakapoznpodarou"/>
        </w:rPr>
        <w:footnoteRef/>
      </w:r>
      <w:r>
        <w:t xml:space="preserve"> </w:t>
      </w:r>
      <w:r w:rsidR="00DC0F5C" w:rsidRPr="00DC0F5C">
        <w:rPr>
          <w:i/>
          <w:iCs/>
        </w:rPr>
        <w:t>LDA and MNF models</w:t>
      </w:r>
      <w:r w:rsidR="00DC0F5C">
        <w:t xml:space="preserve">. </w:t>
      </w:r>
      <w:r w:rsidR="00DC0F5C" w:rsidRPr="00DC0F5C">
        <w:t>https://github.com/tm-czech-supreme-court/lda-nmf-models</w:t>
      </w:r>
      <w:r w:rsidR="00DC0F5C">
        <w:t xml:space="preserve">. </w:t>
      </w:r>
      <w:r w:rsidR="00030E52">
        <w:t>Veškerý kód</w:t>
      </w:r>
      <w:r w:rsidR="00DC0F5C">
        <w:t xml:space="preserve"> jako open source Jupyter notebook: </w:t>
      </w:r>
      <w:r w:rsidR="00DC0F5C" w:rsidRPr="00DC0F5C">
        <w:t>https://github.com/tm-czech-supreme-court/lda-nmf-models</w:t>
      </w:r>
    </w:p>
  </w:footnote>
  <w:footnote w:id="337">
    <w:p w14:paraId="7C72BFBA" w14:textId="3B449301" w:rsidR="00535F44" w:rsidRDefault="00535F44" w:rsidP="00535F44">
      <w:pPr>
        <w:pStyle w:val="Textpoznpodarou"/>
      </w:pPr>
      <w:r>
        <w:rPr>
          <w:rStyle w:val="Znakapoznpodarou"/>
        </w:rPr>
        <w:footnoteRef/>
      </w:r>
      <w:r>
        <w:t xml:space="preserve"> </w:t>
      </w:r>
      <w:r w:rsidR="00314FC4" w:rsidRPr="00314FC4">
        <w:t xml:space="preserve">Röder, M., Both, A., Hinneburg, A. Exploring the Space of Topic Coherence Measures. In: </w:t>
      </w:r>
      <w:r w:rsidR="00314FC4" w:rsidRPr="00314FC4">
        <w:rPr>
          <w:i/>
          <w:iCs/>
        </w:rPr>
        <w:t>Proceedings of the Eighth ACM International Conference on Web Search and Data Mining - WSDM ’15</w:t>
      </w:r>
      <w:r w:rsidR="00314FC4" w:rsidRPr="00314FC4">
        <w:t>. Shanghai, China: ACM Press, 2015, s. 399–408.</w:t>
      </w:r>
    </w:p>
  </w:footnote>
  <w:footnote w:id="338">
    <w:p w14:paraId="59323D0A" w14:textId="1B0DC9EF" w:rsidR="00535F44" w:rsidRDefault="00535F44" w:rsidP="00314FC4">
      <w:pPr>
        <w:pStyle w:val="Textpoznpodarou"/>
      </w:pPr>
      <w:r>
        <w:rPr>
          <w:rStyle w:val="Znakapoznpodarou"/>
        </w:rPr>
        <w:footnoteRef/>
      </w:r>
      <w:r>
        <w:t xml:space="preserve"> </w:t>
      </w:r>
      <w:r w:rsidR="00314FC4" w:rsidRPr="00314FC4">
        <w:t xml:space="preserve">Nikolenko, S. I., Koltcov, S., Koltsova, O. Topic modelling for qualitative studies. </w:t>
      </w:r>
      <w:r w:rsidR="00314FC4" w:rsidRPr="00314FC4">
        <w:rPr>
          <w:i/>
          <w:iCs/>
        </w:rPr>
        <w:t>Journal of Information Science</w:t>
      </w:r>
      <w:r w:rsidR="00314FC4" w:rsidRPr="00314FC4">
        <w:t>. 2017, č. 1, s. 88–102.</w:t>
      </w:r>
      <w:r>
        <w:t xml:space="preserve"> </w:t>
      </w:r>
      <w:r w:rsidR="00314FC4" w:rsidRPr="00314FC4">
        <w:t xml:space="preserve">Röder, M., Both, A., Hinneburg, A. Exploring the Space of Topic Coherence Measures. In: </w:t>
      </w:r>
      <w:r w:rsidR="00314FC4" w:rsidRPr="00314FC4">
        <w:rPr>
          <w:i/>
          <w:iCs/>
        </w:rPr>
        <w:t>Proceedings of the Eighth ACM International Conference on Web Search and Data Mining - WSDM ’15</w:t>
      </w:r>
      <w:r w:rsidR="00314FC4" w:rsidRPr="00314FC4">
        <w:t>. Shanghai, China: ACM Press, 2015, s. 399–408.</w:t>
      </w:r>
    </w:p>
  </w:footnote>
  <w:footnote w:id="339">
    <w:p w14:paraId="775C919B" w14:textId="33901102" w:rsidR="00535F44" w:rsidRDefault="00535F44" w:rsidP="006C78DE">
      <w:pPr>
        <w:pStyle w:val="Textpoznpodarou"/>
      </w:pPr>
      <w:r>
        <w:rPr>
          <w:rStyle w:val="Znakapoznpodarou"/>
        </w:rPr>
        <w:footnoteRef/>
      </w:r>
      <w:r>
        <w:t xml:space="preserve"> </w:t>
      </w:r>
      <w:r w:rsidR="006C78DE" w:rsidRPr="006C78DE">
        <w:t xml:space="preserve">Van Opijnen, M., Santos, C. On the concept of relevance in legal information retrieval. </w:t>
      </w:r>
      <w:r w:rsidR="006C78DE" w:rsidRPr="006C78DE">
        <w:rPr>
          <w:i/>
          <w:iCs/>
        </w:rPr>
        <w:t>Artificial Intelligence and Law</w:t>
      </w:r>
      <w:r w:rsidR="006C78DE" w:rsidRPr="006C78DE">
        <w:t>. 2017, č. 1, s. 65–87.</w:t>
      </w:r>
    </w:p>
  </w:footnote>
  <w:footnote w:id="340">
    <w:p w14:paraId="354AD382" w14:textId="17A4FBED" w:rsidR="00535F44" w:rsidRDefault="00535F44" w:rsidP="00535F44">
      <w:pPr>
        <w:pStyle w:val="Textpoznpodarou"/>
      </w:pPr>
      <w:r>
        <w:rPr>
          <w:rStyle w:val="Znakapoznpodarou"/>
        </w:rPr>
        <w:footnoteRef/>
      </w:r>
      <w:r>
        <w:t xml:space="preserve"> </w:t>
      </w:r>
      <w:r w:rsidR="0054748D">
        <w:t>Můj volný překlad</w:t>
      </w:r>
      <w:r>
        <w:t>.</w:t>
      </w:r>
    </w:p>
  </w:footnote>
  <w:footnote w:id="341">
    <w:p w14:paraId="52E5808C" w14:textId="5D58134B" w:rsidR="00535F44" w:rsidRDefault="00535F44" w:rsidP="006C78DE">
      <w:pPr>
        <w:pStyle w:val="Textpoznpodarou"/>
      </w:pPr>
      <w:r>
        <w:rPr>
          <w:rStyle w:val="Znakapoznpodarou"/>
        </w:rPr>
        <w:footnoteRef/>
      </w:r>
      <w:r>
        <w:t xml:space="preserve"> V angl. originále “</w:t>
      </w:r>
      <w:r w:rsidRPr="006C78DE">
        <w:rPr>
          <w:i/>
          <w:iCs/>
        </w:rPr>
        <w:t>labelling</w:t>
      </w:r>
      <w:r>
        <w:t xml:space="preserve">”. Užito např. v: </w:t>
      </w:r>
      <w:r w:rsidR="006C78DE" w:rsidRPr="006C78DE">
        <w:t xml:space="preserve">Grimmer, J., Stewart, B. M. Text as Data: The Promise and Pitfalls of Automatic Content Analysis Methods for Political Texts. </w:t>
      </w:r>
      <w:r w:rsidR="006C78DE" w:rsidRPr="006C78DE">
        <w:rPr>
          <w:i/>
          <w:iCs/>
        </w:rPr>
        <w:t>Political Analysis</w:t>
      </w:r>
      <w:r w:rsidR="006C78DE" w:rsidRPr="006C78DE">
        <w:t>. 2013, č. 3, s. 267–297.</w:t>
      </w:r>
      <w:r w:rsidR="006C78DE">
        <w:t xml:space="preserve"> </w:t>
      </w:r>
      <w:r w:rsidR="006C78DE" w:rsidRPr="006C78DE">
        <w:t xml:space="preserve">Quinn, K. M. et al. How to Analyze Political Attention with Minimal Assumptions and Costs. </w:t>
      </w:r>
      <w:r w:rsidR="006C78DE" w:rsidRPr="006C78DE">
        <w:rPr>
          <w:i/>
          <w:iCs/>
        </w:rPr>
        <w:t>American Journal of Political Science</w:t>
      </w:r>
      <w:r w:rsidR="006C78DE" w:rsidRPr="006C78DE">
        <w:t>. 2010, č. 1, s. 209–228.</w:t>
      </w:r>
    </w:p>
  </w:footnote>
  <w:footnote w:id="342">
    <w:p w14:paraId="49815FB6" w14:textId="77777777" w:rsidR="00535F44" w:rsidRDefault="00535F44" w:rsidP="00535F44">
      <w:pPr>
        <w:pStyle w:val="Textpoznpodarou"/>
      </w:pPr>
      <w:r>
        <w:rPr>
          <w:rStyle w:val="Znakapoznpodarou"/>
        </w:rPr>
        <w:footnoteRef/>
      </w:r>
      <w:r>
        <w:t xml:space="preserve"> V angl. originálu se jedná o “</w:t>
      </w:r>
      <w:r w:rsidRPr="006C78DE">
        <w:rPr>
          <w:i/>
          <w:iCs/>
        </w:rPr>
        <w:t>intruding word</w:t>
      </w:r>
      <w:r>
        <w:t>” nebo “</w:t>
      </w:r>
      <w:r w:rsidRPr="006C78DE">
        <w:rPr>
          <w:i/>
          <w:iCs/>
        </w:rPr>
        <w:t>intruding topic</w:t>
      </w:r>
      <w:r>
        <w:t>”.</w:t>
      </w:r>
    </w:p>
  </w:footnote>
  <w:footnote w:id="343">
    <w:p w14:paraId="0341B5B1" w14:textId="2FEDF254" w:rsidR="00535F44" w:rsidRDefault="00535F44" w:rsidP="006C78DE">
      <w:pPr>
        <w:pStyle w:val="Textpoznpodarou"/>
      </w:pPr>
      <w:r>
        <w:rPr>
          <w:rStyle w:val="Znakapoznpodarou"/>
        </w:rPr>
        <w:footnoteRef/>
      </w:r>
      <w:r>
        <w:t xml:space="preserve"> </w:t>
      </w:r>
      <w:r w:rsidRPr="00526B0F">
        <w:t>Chang et al., “Reading Tea Leaves: How Humans Interpret Topic Models”</w:t>
      </w:r>
      <w:r>
        <w:t>.</w:t>
      </w:r>
      <w:r w:rsidR="006C78DE" w:rsidRPr="006C78DE">
        <w:rPr>
          <w:rFonts w:ascii="Times New Roman" w:hAnsi="Times New Roman"/>
        </w:rPr>
        <w:t xml:space="preserve"> </w:t>
      </w:r>
      <w:r w:rsidR="006C78DE" w:rsidRPr="006C78DE">
        <w:t xml:space="preserve">Chang, J. et al. Reading Tea Leaves: How Humans Interpret Topic Models. In: </w:t>
      </w:r>
      <w:r w:rsidR="006C78DE" w:rsidRPr="006C78DE">
        <w:rPr>
          <w:i/>
          <w:iCs/>
        </w:rPr>
        <w:t>Advances in Neural Information Processing Systems</w:t>
      </w:r>
      <w:r w:rsidR="006C78DE" w:rsidRPr="006C78DE">
        <w:t>. 22. Curran Associates, Inc., 2009.</w:t>
      </w:r>
    </w:p>
  </w:footnote>
  <w:footnote w:id="344">
    <w:p w14:paraId="0AE40259" w14:textId="3C24E7EF" w:rsidR="00535F44" w:rsidRDefault="00535F44" w:rsidP="006C78DE">
      <w:pPr>
        <w:pStyle w:val="Textpoznpodarou"/>
      </w:pPr>
      <w:r>
        <w:rPr>
          <w:rStyle w:val="Znakapoznpodarou"/>
        </w:rPr>
        <w:footnoteRef/>
      </w:r>
      <w:r>
        <w:t xml:space="preserve"> </w:t>
      </w:r>
      <w:r w:rsidR="006C78DE" w:rsidRPr="006C78DE">
        <w:t xml:space="preserve">Remmits, Y. </w:t>
      </w:r>
      <w:r w:rsidR="006C78DE" w:rsidRPr="006C78DE">
        <w:rPr>
          <w:i/>
          <w:iCs/>
        </w:rPr>
        <w:t>Finding the Topics of Case Law: Latent Dirichlet Allocation on Supreme Court Decisions</w:t>
      </w:r>
      <w:r w:rsidR="006C78DE" w:rsidRPr="006C78DE">
        <w:t xml:space="preserve">, </w:t>
      </w:r>
      <w:r w:rsidR="00BD4E00">
        <w:t>Master</w:t>
      </w:r>
      <w:r w:rsidR="006C78DE" w:rsidRPr="006C78DE">
        <w:t xml:space="preserve"> thesis, Radboud University</w:t>
      </w:r>
      <w:r w:rsidR="006C78DE">
        <w:t>, 2017.</w:t>
      </w:r>
    </w:p>
  </w:footnote>
  <w:footnote w:id="345">
    <w:p w14:paraId="2F315F2E" w14:textId="7D54D625" w:rsidR="00526B0F" w:rsidRDefault="00526B0F" w:rsidP="00163648">
      <w:pPr>
        <w:pStyle w:val="Textpoznpodarou"/>
      </w:pPr>
      <w:r>
        <w:rPr>
          <w:rStyle w:val="Znakapoznpodarou"/>
        </w:rPr>
        <w:footnoteRef/>
      </w:r>
      <w:r>
        <w:t xml:space="preserve"> </w:t>
      </w:r>
      <w:r w:rsidR="00163648" w:rsidRPr="00163648">
        <w:t xml:space="preserve">Thompson, P. A combination of expert opinion approach to probabilistic information retrieval, part 1: The conceptual model. </w:t>
      </w:r>
      <w:r w:rsidR="00163648" w:rsidRPr="00163648">
        <w:rPr>
          <w:i/>
          <w:iCs/>
        </w:rPr>
        <w:t>Information Processing &amp; Management</w:t>
      </w:r>
      <w:r w:rsidR="00163648" w:rsidRPr="00163648">
        <w:t>. 1990, č. 3, s. 371–382.</w:t>
      </w:r>
      <w:r w:rsidR="00163648">
        <w:t xml:space="preserve"> </w:t>
      </w:r>
      <w:r w:rsidR="00163648" w:rsidRPr="00163648">
        <w:t xml:space="preserve">Croft, W. B. Combining Approaches to Information Retrieval. In: Croft, W. B. (ed.). </w:t>
      </w:r>
      <w:r w:rsidR="00163648" w:rsidRPr="00163648">
        <w:rPr>
          <w:i/>
          <w:iCs/>
        </w:rPr>
        <w:t>Advances in Information Retrieval: Recent Research from the Center for Intelligent Information Retrieval</w:t>
      </w:r>
      <w:r w:rsidR="00163648" w:rsidRPr="00163648">
        <w:t xml:space="preserve">. Boston, MA: Springer US, 2000, s. 1–36. The Information Retrieval Series. Zouaghi, A., Merhbene, L., Zrigui, M. Combination of information retrieval methods with LESK algorithm for Arabic word sense disambiguation. </w:t>
      </w:r>
      <w:r w:rsidR="00163648" w:rsidRPr="00163648">
        <w:rPr>
          <w:i/>
          <w:iCs/>
        </w:rPr>
        <w:t>Artificial Intelligence Review</w:t>
      </w:r>
      <w:r w:rsidR="00163648" w:rsidRPr="00163648">
        <w:t>. 2012, č. 4, s. 257–269.</w:t>
      </w:r>
    </w:p>
  </w:footnote>
  <w:footnote w:id="346">
    <w:p w14:paraId="141D4407" w14:textId="3070D2F4" w:rsidR="00526B0F" w:rsidRDefault="00526B0F" w:rsidP="00163648">
      <w:pPr>
        <w:pStyle w:val="Textpoznpodarou"/>
      </w:pPr>
      <w:r>
        <w:rPr>
          <w:rStyle w:val="Znakapoznpodarou"/>
        </w:rPr>
        <w:footnoteRef/>
      </w:r>
      <w:r>
        <w:t xml:space="preserve"> </w:t>
      </w:r>
      <w:r w:rsidR="00163648" w:rsidRPr="00163648">
        <w:t xml:space="preserve">Wagh, R., Anand, D. Application of citation network analysis for improved similarity index estimation of legal case documents : A study. In: </w:t>
      </w:r>
      <w:r w:rsidR="00163648" w:rsidRPr="00163648">
        <w:rPr>
          <w:i/>
          <w:iCs/>
        </w:rPr>
        <w:t>2017 IEEE International Conference on Current Trends in Advanced Computing (ICCTAC)</w:t>
      </w:r>
      <w:r w:rsidR="00163648" w:rsidRPr="00163648">
        <w:t>. 2017, s. 1–5.</w:t>
      </w:r>
      <w:r w:rsidR="00163648">
        <w:t xml:space="preserve"> </w:t>
      </w:r>
      <w:r w:rsidR="00163648" w:rsidRPr="00163648">
        <w:t xml:space="preserve">Ranera, L. T. B., Solano, G. A., Oco, N. Retrieval of Semantically Similar Philippine Supreme Court Case Decisions using Doc2Vec. In: </w:t>
      </w:r>
      <w:r w:rsidR="00163648" w:rsidRPr="00163648">
        <w:rPr>
          <w:i/>
          <w:iCs/>
        </w:rPr>
        <w:t>2019 International Symposium on Multimedia and Communication Technology (ISMAC)</w:t>
      </w:r>
      <w:r w:rsidR="00163648" w:rsidRPr="00163648">
        <w:t>. 2019, s. 1–6.</w:t>
      </w:r>
      <w:r w:rsidR="00163648">
        <w:t xml:space="preserve"> </w:t>
      </w:r>
      <w:r w:rsidR="00163648" w:rsidRPr="00163648">
        <w:t>Renjit, S., Idicula, S. M. CUSAT NLP@AILA-FIRE2019: Similarity in Legal Texts using Document Level Embeddings. s. 6.</w:t>
      </w:r>
    </w:p>
  </w:footnote>
  <w:footnote w:id="347">
    <w:p w14:paraId="333AD107" w14:textId="659E1550" w:rsidR="00526B0F" w:rsidRDefault="00526B0F" w:rsidP="008559EC">
      <w:pPr>
        <w:pStyle w:val="Textpoznpodarou"/>
      </w:pPr>
      <w:r>
        <w:rPr>
          <w:rStyle w:val="Znakapoznpodarou"/>
        </w:rPr>
        <w:footnoteRef/>
      </w:r>
      <w:r>
        <w:t xml:space="preserve"> </w:t>
      </w:r>
      <w:r w:rsidR="008559EC" w:rsidRPr="008559EC">
        <w:t xml:space="preserve">Van Opijnen, M., Santos, C. On the concept of relevance in legal information retrieval. </w:t>
      </w:r>
      <w:r w:rsidR="008559EC" w:rsidRPr="008559EC">
        <w:rPr>
          <w:i/>
          <w:iCs/>
        </w:rPr>
        <w:t>Artificial Intelligence and Law</w:t>
      </w:r>
      <w:r w:rsidR="008559EC" w:rsidRPr="008559EC">
        <w:t>. 2017, č. 1, s. 65–87.</w:t>
      </w:r>
    </w:p>
  </w:footnote>
  <w:footnote w:id="348">
    <w:p w14:paraId="21BDBDF8" w14:textId="5397345F" w:rsidR="00526B0F" w:rsidRDefault="00526B0F" w:rsidP="00526B0F">
      <w:pPr>
        <w:pStyle w:val="Textpoznpodarou"/>
      </w:pPr>
      <w:r>
        <w:rPr>
          <w:rStyle w:val="Znakapoznpodarou"/>
        </w:rPr>
        <w:footnoteRef/>
      </w:r>
      <w:r>
        <w:t xml:space="preserve"> </w:t>
      </w:r>
      <w:r w:rsidR="005D2094">
        <w:t>Doc2vec m</w:t>
      </w:r>
      <w:r>
        <w:t>odel podrobněji popsán v kapitole 7</w:t>
      </w:r>
      <w:r w:rsidR="005D2094">
        <w:t>.</w:t>
      </w:r>
    </w:p>
  </w:footnote>
  <w:footnote w:id="349">
    <w:p w14:paraId="072D981B" w14:textId="2D14B524" w:rsidR="00526B0F" w:rsidRDefault="00526B0F" w:rsidP="00526B0F">
      <w:pPr>
        <w:pStyle w:val="Textpoznpodarou"/>
      </w:pPr>
      <w:r>
        <w:rPr>
          <w:rStyle w:val="Znakapoznpodarou"/>
        </w:rPr>
        <w:footnoteRef/>
      </w:r>
      <w:r>
        <w:t xml:space="preserve"> Podrobně popsán v</w:t>
      </w:r>
      <w:r w:rsidR="005D2094">
        <w:t> podkapitole 4.1.1.</w:t>
      </w:r>
    </w:p>
  </w:footnote>
  <w:footnote w:id="350">
    <w:p w14:paraId="7B310272" w14:textId="79E1B975" w:rsidR="00526B0F" w:rsidRDefault="00526B0F" w:rsidP="00526B0F">
      <w:pPr>
        <w:pStyle w:val="Textpoznpodarou"/>
      </w:pPr>
      <w:r>
        <w:rPr>
          <w:rStyle w:val="Znakapoznpodarou"/>
        </w:rPr>
        <w:footnoteRef/>
      </w:r>
      <w:r>
        <w:t xml:space="preserve"> LDA model podrobně popsán v kapitole </w:t>
      </w:r>
      <w:r w:rsidR="005D2094">
        <w:t>8.</w:t>
      </w:r>
    </w:p>
  </w:footnote>
  <w:footnote w:id="351">
    <w:p w14:paraId="207B9D10" w14:textId="366D2968" w:rsidR="00232DE7" w:rsidRDefault="00232DE7" w:rsidP="00232DE7">
      <w:pPr>
        <w:pStyle w:val="Textpoznpodarou"/>
      </w:pPr>
      <w:r>
        <w:rPr>
          <w:rStyle w:val="Znakapoznpodarou"/>
        </w:rPr>
        <w:footnoteRef/>
      </w:r>
      <w:r>
        <w:t xml:space="preserve"> Popis metodologie experimentů a zejména komparace výsledků a jejich diskuze uvedená v této kapitole byla publikována v: </w:t>
      </w:r>
      <w:r w:rsidRPr="00232DE7">
        <w:t>Novotn</w:t>
      </w:r>
      <w:r>
        <w:t>á</w:t>
      </w:r>
      <w:r w:rsidRPr="00232DE7">
        <w:t xml:space="preserve">, T. Human Evaluation Experiment of Legal Information Retrieval Methods. </w:t>
      </w:r>
      <w:r w:rsidRPr="00232DE7">
        <w:rPr>
          <w:i/>
          <w:iCs/>
        </w:rPr>
        <w:t>Legal Knowledge and Information Systems</w:t>
      </w:r>
      <w:r w:rsidRPr="00232DE7">
        <w:t>. 2021, s. 131–137.</w:t>
      </w:r>
    </w:p>
  </w:footnote>
  <w:footnote w:id="352">
    <w:p w14:paraId="2BC7F592" w14:textId="77777777" w:rsidR="00526B0F" w:rsidRDefault="00526B0F" w:rsidP="00526B0F">
      <w:pPr>
        <w:pStyle w:val="Textpoznpodarou"/>
      </w:pPr>
      <w:r>
        <w:rPr>
          <w:rStyle w:val="Znakapoznpodarou"/>
        </w:rPr>
        <w:footnoteRef/>
      </w:r>
      <w:r>
        <w:t xml:space="preserve"> V první fázi se evaluace zúčastnilo 26 právních expertů, ve druhé fázi 20.</w:t>
      </w:r>
    </w:p>
  </w:footnote>
  <w:footnote w:id="353">
    <w:p w14:paraId="10F4CE9E" w14:textId="098073D6" w:rsidR="00DE2579" w:rsidRDefault="00DE2579">
      <w:pPr>
        <w:pStyle w:val="Textpoznpodarou"/>
      </w:pPr>
      <w:r>
        <w:rPr>
          <w:rStyle w:val="Znakapoznpodarou"/>
        </w:rPr>
        <w:footnoteRef/>
      </w:r>
      <w:r>
        <w:t xml:space="preserve"> V kapitole 11.</w:t>
      </w:r>
    </w:p>
  </w:footnote>
  <w:footnote w:id="354">
    <w:p w14:paraId="5B023030" w14:textId="51191CB3" w:rsidR="000B5DCC" w:rsidRDefault="000B5DCC" w:rsidP="007C687B">
      <w:pPr>
        <w:pStyle w:val="Textpoznpodarou"/>
      </w:pPr>
      <w:r>
        <w:rPr>
          <w:rStyle w:val="Znakapoznpodarou"/>
        </w:rPr>
        <w:footnoteRef/>
      </w:r>
      <w:r>
        <w:t xml:space="preserve"> </w:t>
      </w:r>
      <w:r w:rsidR="007C687B" w:rsidRPr="007C687B">
        <w:t xml:space="preserve">Harašta, J. et al. </w:t>
      </w:r>
      <w:r w:rsidR="007C687B" w:rsidRPr="007C687B">
        <w:rPr>
          <w:i/>
          <w:iCs/>
        </w:rPr>
        <w:t>Citační analýza judikatury</w:t>
      </w:r>
      <w:r w:rsidR="007C687B" w:rsidRPr="007C687B">
        <w:t xml:space="preserve">. Wolters Kluwer, 2021. </w:t>
      </w:r>
      <w:r w:rsidR="007C687B">
        <w:t>s. 213.</w:t>
      </w:r>
    </w:p>
  </w:footnote>
  <w:footnote w:id="355">
    <w:p w14:paraId="548AD4D1" w14:textId="454B8905" w:rsidR="000B5DCC" w:rsidRDefault="000B5DCC" w:rsidP="00432A0E">
      <w:pPr>
        <w:pStyle w:val="Textpoznpodarou"/>
      </w:pPr>
      <w:r>
        <w:rPr>
          <w:rStyle w:val="Znakapoznpodarou"/>
        </w:rPr>
        <w:footnoteRef/>
      </w:r>
      <w:r>
        <w:t xml:space="preserve"> </w:t>
      </w:r>
      <w:r w:rsidR="00432A0E" w:rsidRPr="00432A0E">
        <w:t xml:space="preserve">Ranera, L. T. B., Solano, G. A., Oco, N. Retrieval of Semantically Similar Philippine Supreme Court Case Decisions using Doc2Vec. In: </w:t>
      </w:r>
      <w:r w:rsidR="00432A0E" w:rsidRPr="00432A0E">
        <w:rPr>
          <w:i/>
          <w:iCs/>
        </w:rPr>
        <w:t>2019 International Symposium on Multimedia and Communication Technology (ISMAC)</w:t>
      </w:r>
      <w:r w:rsidR="00432A0E" w:rsidRPr="00432A0E">
        <w:t>. 2019, s. 1–6.</w:t>
      </w:r>
    </w:p>
  </w:footnote>
  <w:footnote w:id="356">
    <w:p w14:paraId="6D1331EF" w14:textId="0D9CF22D" w:rsidR="000B5DCC" w:rsidRDefault="000B5DCC" w:rsidP="000B5DCC">
      <w:pPr>
        <w:pStyle w:val="Textpoznpodarou"/>
      </w:pPr>
      <w:r>
        <w:rPr>
          <w:rStyle w:val="Znakapoznpodarou"/>
        </w:rPr>
        <w:footnoteRef/>
      </w:r>
      <w:r>
        <w:t xml:space="preserve"> </w:t>
      </w:r>
      <w:r w:rsidR="009331C0" w:rsidRPr="009331C0">
        <w:t xml:space="preserve">Ranera, L. T. B., Solano, G. A., Oco, N. Retrieval of Semantically Similar Philippine Supreme Court Case Decisions using Doc2Vec. In: </w:t>
      </w:r>
      <w:r w:rsidR="009331C0" w:rsidRPr="009331C0">
        <w:rPr>
          <w:i/>
          <w:iCs/>
        </w:rPr>
        <w:t>2019 International Symposium on Multimedia and Communication Technology (ISMAC)</w:t>
      </w:r>
      <w:r w:rsidR="009331C0" w:rsidRPr="009331C0">
        <w:t>. 2019, s. 1–6.</w:t>
      </w:r>
    </w:p>
  </w:footnote>
  <w:footnote w:id="357">
    <w:p w14:paraId="77309D75" w14:textId="7C3807CD" w:rsidR="000B5DCC" w:rsidRDefault="000B5DCC" w:rsidP="00BB1A94">
      <w:pPr>
        <w:pStyle w:val="Textpoznpodarou"/>
      </w:pPr>
      <w:r>
        <w:rPr>
          <w:rStyle w:val="Znakapoznpodarou"/>
        </w:rPr>
        <w:footnoteRef/>
      </w:r>
      <w:r>
        <w:t xml:space="preserve"> </w:t>
      </w:r>
      <w:r w:rsidR="00BB1A94" w:rsidRPr="00BB1A94">
        <w:t xml:space="preserve">Bhatia, S., Lau, J. H., Baldwin, T. An Automatic Approach for Document-level Topic Model Evaluation. </w:t>
      </w:r>
      <w:r w:rsidR="00BB1A94" w:rsidRPr="00BB1A94">
        <w:rPr>
          <w:i/>
          <w:iCs/>
        </w:rPr>
        <w:t>arXiv:1706.05140 [cs]</w:t>
      </w:r>
      <w:r w:rsidR="00BB1A94" w:rsidRPr="00BB1A94">
        <w:t>. 2017.</w:t>
      </w:r>
    </w:p>
  </w:footnote>
  <w:footnote w:id="358">
    <w:p w14:paraId="5FBE9A9A" w14:textId="6DC002B3" w:rsidR="000B5DCC" w:rsidRDefault="000B5DCC" w:rsidP="00187C6F">
      <w:pPr>
        <w:pStyle w:val="Textpoznpodarou"/>
      </w:pPr>
      <w:r>
        <w:rPr>
          <w:rStyle w:val="Znakapoznpodarou"/>
        </w:rPr>
        <w:footnoteRef/>
      </w:r>
      <w:r>
        <w:t xml:space="preserve"> </w:t>
      </w:r>
      <w:r w:rsidR="00187C6F" w:rsidRPr="00187C6F">
        <w:t xml:space="preserve">Remmits, Y. </w:t>
      </w:r>
      <w:r w:rsidR="00187C6F" w:rsidRPr="00187C6F">
        <w:rPr>
          <w:i/>
          <w:iCs/>
        </w:rPr>
        <w:t>Finding the Topics of Case Law: Latent Dirichlet Allocation on Supreme Court Decisions</w:t>
      </w:r>
      <w:r w:rsidR="00187C6F" w:rsidRPr="00187C6F">
        <w:t>. 2017, Graduate thesis, Radboud University.</w:t>
      </w:r>
    </w:p>
  </w:footnote>
  <w:footnote w:id="359">
    <w:p w14:paraId="3D7D89D7" w14:textId="3D18868C" w:rsidR="000B5DCC" w:rsidRDefault="000B5DCC" w:rsidP="000B5DCC">
      <w:pPr>
        <w:pStyle w:val="Textpoznpodarou"/>
      </w:pPr>
      <w:r>
        <w:rPr>
          <w:rStyle w:val="Znakapoznpodarou"/>
        </w:rPr>
        <w:footnoteRef/>
      </w:r>
      <w:r>
        <w:t xml:space="preserve"> Tamtéž.</w:t>
      </w:r>
    </w:p>
  </w:footnote>
  <w:footnote w:id="360">
    <w:p w14:paraId="141DCF28" w14:textId="6FCAACDC" w:rsidR="000B5DCC" w:rsidRDefault="000B5DCC" w:rsidP="000B5DCC">
      <w:pPr>
        <w:pStyle w:val="Textpoznpodarou"/>
      </w:pPr>
      <w:r>
        <w:rPr>
          <w:rStyle w:val="Znakapoznpodarou"/>
        </w:rPr>
        <w:footnoteRef/>
      </w:r>
      <w:r>
        <w:t xml:space="preserve"> </w:t>
      </w:r>
      <w:r w:rsidR="00EF32AB" w:rsidRPr="00EF32AB">
        <w:t xml:space="preserve">Bhatia, S., Lau, J. H., Baldwin, T. An Automatic Approach for Document-level Topic Model Evaluation. </w:t>
      </w:r>
      <w:r w:rsidR="00EF32AB" w:rsidRPr="00EF32AB">
        <w:rPr>
          <w:i/>
          <w:iCs/>
        </w:rPr>
        <w:t>arXiv:1706.05140 [cs]</w:t>
      </w:r>
      <w:r w:rsidR="00EF32AB" w:rsidRPr="00EF32AB">
        <w:t>. 2017</w:t>
      </w:r>
      <w:r w:rsidR="00EF32AB">
        <w:t>.</w:t>
      </w:r>
    </w:p>
  </w:footnote>
  <w:footnote w:id="361">
    <w:p w14:paraId="56A0E109" w14:textId="60707963" w:rsidR="000B5DCC" w:rsidRDefault="000B5DCC" w:rsidP="00187C6F">
      <w:pPr>
        <w:pStyle w:val="Textpoznpodarou"/>
      </w:pPr>
      <w:r>
        <w:rPr>
          <w:rStyle w:val="Znakapoznpodarou"/>
        </w:rPr>
        <w:footnoteRef/>
      </w:r>
      <w:r w:rsidR="00187C6F">
        <w:t xml:space="preserve"> </w:t>
      </w:r>
      <w:r w:rsidR="00187C6F" w:rsidRPr="00187C6F">
        <w:t xml:space="preserve">Novotná, T., Harašta, J., Kól, J. Topic Modelling of the Czech Supreme Court Decisions. In: Ashley, K. D. et al. (eds). </w:t>
      </w:r>
      <w:r w:rsidR="00187C6F" w:rsidRPr="00187C6F">
        <w:rPr>
          <w:i/>
          <w:iCs/>
        </w:rPr>
        <w:t>Proceedings of the Fourth Workshop on Automated Semantic Analysis of Information in Legal Text</w:t>
      </w:r>
      <w:r w:rsidR="00187C6F" w:rsidRPr="00187C6F">
        <w:t xml:space="preserve">. 2764. December: CEUR, 2020. CEUR Workshop Proceedings. </w:t>
      </w:r>
    </w:p>
  </w:footnote>
  <w:footnote w:id="362">
    <w:p w14:paraId="769CD931" w14:textId="3EFBD147" w:rsidR="00B9675F" w:rsidRDefault="00B9675F" w:rsidP="00B9675F">
      <w:pPr>
        <w:pStyle w:val="Textpoznpodarou"/>
      </w:pPr>
      <w:r>
        <w:rPr>
          <w:rStyle w:val="Znakapoznpodarou"/>
        </w:rPr>
        <w:footnoteRef/>
      </w:r>
      <w:r>
        <w:t xml:space="preserve"> V dílčích experimentech </w:t>
      </w:r>
      <w:r w:rsidR="007A2681">
        <w:t>s citační síťovou analýzou, doc2vec modelem a metodami modelování témat LDA a NMF.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AE85" w14:textId="097245B1" w:rsidR="00013C69" w:rsidRDefault="00000000" w:rsidP="00013C69">
    <w:pPr>
      <w:pStyle w:val="ZPZhlavvlevo"/>
    </w:pPr>
    <w:sdt>
      <w:sdtPr>
        <w:alias w:val="Název"/>
        <w:tag w:val=""/>
        <w:id w:val="-1020700601"/>
        <w:placeholder>
          <w:docPart w:val="3BF812584C074465A38779038489EA30"/>
        </w:placeholder>
        <w:dataBinding w:prefixMappings="xmlns:ns0='http://purl.org/dc/elements/1.1/' xmlns:ns1='http://schemas.openxmlformats.org/package/2006/metadata/core-properties' " w:xpath="/ns1:coreProperties[1]/ns0:title[1]" w:storeItemID="{6C3C8BC8-F283-45AE-878A-BAB7291924A1}"/>
        <w:text/>
      </w:sdtPr>
      <w:sdtContent>
        <w:r w:rsidR="00A17BD8">
          <w:t>Síťová analýza v právu</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11DA1" w14:textId="1C6B1D01" w:rsidR="00747FF7" w:rsidRPr="009951BF" w:rsidRDefault="006F7B25" w:rsidP="00C612F9">
    <w:pPr>
      <w:pStyle w:val="ZPZhlavvpravo"/>
    </w:pPr>
    <w:r>
      <w:rPr>
        <w:noProof/>
      </w:rPr>
      <w:fldChar w:fldCharType="begin"/>
    </w:r>
    <w:r>
      <w:rPr>
        <w:noProof/>
      </w:rPr>
      <w:instrText xml:space="preserve"> STYLEREF  "Nadpis 1"  \* MERGEFORMAT </w:instrText>
    </w:r>
    <w:r>
      <w:rPr>
        <w:noProof/>
      </w:rPr>
      <w:fldChar w:fldCharType="separate"/>
    </w:r>
    <w:r w:rsidR="008C24F5">
      <w:rPr>
        <w:noProof/>
      </w:rPr>
      <w:t>Úvod a motivace</w:t>
    </w:r>
    <w:r>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D8CA" w14:textId="7003FD82" w:rsidR="00083FB7" w:rsidRPr="00083FB7" w:rsidRDefault="00362604" w:rsidP="00BD0360">
    <w:pPr>
      <w:pStyle w:val="ZPZhlavvlevo"/>
    </w:pPr>
    <w:r>
      <w:rPr>
        <w:noProof/>
      </w:rPr>
      <w:fldChar w:fldCharType="begin"/>
    </w:r>
    <w:r>
      <w:rPr>
        <w:noProof/>
      </w:rPr>
      <w:instrText xml:space="preserve"> STYLEREF  "Příloha 1"  \* MERGEFORMAT </w:instrText>
    </w:r>
    <w:r>
      <w:rPr>
        <w:noProof/>
      </w:rPr>
      <w:fldChar w:fldCharType="separate"/>
    </w:r>
    <w:r w:rsidR="00F72341">
      <w:rPr>
        <w:noProof/>
      </w:rPr>
      <w:t>[Název přílohy]</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642B" w14:textId="7577E6F0" w:rsidR="003B6227" w:rsidRPr="009951BF" w:rsidRDefault="00362604" w:rsidP="00C612F9">
    <w:pPr>
      <w:pStyle w:val="ZPZhlavvpravo"/>
    </w:pPr>
    <w:r>
      <w:rPr>
        <w:noProof/>
      </w:rPr>
      <w:fldChar w:fldCharType="begin"/>
    </w:r>
    <w:r>
      <w:rPr>
        <w:noProof/>
      </w:rPr>
      <w:instrText xml:space="preserve"> STYLEREF  "Příloha 1"  \* MERGEFORMAT </w:instrTex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E42F" w14:textId="3969A355" w:rsidR="00FE1A2F" w:rsidRPr="00083FB7" w:rsidRDefault="00FE1A2F" w:rsidP="00380E1B">
    <w:pPr>
      <w:pStyle w:val="ZPZhlavvlevo"/>
      <w:rPr>
        <w:noProof/>
      </w:rPr>
    </w:pPr>
    <w:r>
      <w:rPr>
        <w:noProof/>
      </w:rPr>
      <w:fldChar w:fldCharType="begin"/>
    </w:r>
    <w:r>
      <w:rPr>
        <w:noProof/>
      </w:rPr>
      <w:instrText xml:space="preserve"> STYLEREF  "Nadpis 1*"  \* MERGEFORMAT </w:instrText>
    </w:r>
    <w:r>
      <w:rPr>
        <w:noProof/>
      </w:rPr>
      <w:fldChar w:fldCharType="separate"/>
    </w:r>
    <w:r w:rsidR="00724227">
      <w:rPr>
        <w:noProof/>
      </w:rPr>
      <w:t>Použité zdroje</w: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4F7E5" w14:textId="33329BDF" w:rsidR="00362604" w:rsidRPr="009951BF" w:rsidRDefault="00362604" w:rsidP="00C612F9">
    <w:pPr>
      <w:pStyle w:val="ZPZhlavvpravo"/>
    </w:pPr>
    <w:r>
      <w:rPr>
        <w:noProof/>
      </w:rPr>
      <w:fldChar w:fldCharType="begin"/>
    </w:r>
    <w:r>
      <w:rPr>
        <w:noProof/>
      </w:rPr>
      <w:instrText xml:space="preserve"> STYLEREF  "Nadpis 1*"  \* MERGEFORMAT </w:instrText>
    </w:r>
    <w:r>
      <w:rPr>
        <w:noProof/>
      </w:rPr>
      <w:fldChar w:fldCharType="separate"/>
    </w:r>
    <w:r w:rsidR="000E093E" w:rsidRPr="000E093E">
      <w:rPr>
        <w:b/>
        <w:bCs/>
        <w:noProof/>
      </w:rPr>
      <w:t>Použité</w:t>
    </w:r>
    <w:r w:rsidR="000E093E">
      <w:rPr>
        <w:noProof/>
      </w:rPr>
      <w:t xml:space="preserve"> zdroje</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2DA9" w14:textId="77777777" w:rsidR="00685DD9" w:rsidRPr="00CE1A04" w:rsidRDefault="00685DD9"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A90A" w14:textId="77777777" w:rsidR="00387B07" w:rsidRPr="00825B26" w:rsidRDefault="00387B07"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95C5" w14:textId="3888BAD8" w:rsidR="00CE1A04" w:rsidRPr="00533A95" w:rsidRDefault="00000000" w:rsidP="00685DD9">
    <w:pPr>
      <w:pStyle w:val="ZPZhlavvpravo"/>
    </w:pPr>
    <w:sdt>
      <w:sdtPr>
        <w:alias w:val="Název"/>
        <w:tag w:val=""/>
        <w:id w:val="1468394446"/>
        <w:placeholder>
          <w:docPart w:val="0DA6E6A1300C46E8BBE8BEE2F53BF28A"/>
        </w:placeholder>
        <w:dataBinding w:prefixMappings="xmlns:ns0='http://purl.org/dc/elements/1.1/' xmlns:ns1='http://schemas.openxmlformats.org/package/2006/metadata/core-properties' " w:xpath="/ns1:coreProperties[1]/ns0:title[1]" w:storeItemID="{6C3C8BC8-F283-45AE-878A-BAB7291924A1}"/>
        <w:text/>
      </w:sdtPr>
      <w:sdtContent>
        <w:r w:rsidR="00A17BD8">
          <w:t>Síťová analýza v právu</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9C18" w14:textId="77777777" w:rsidR="00A639A6" w:rsidRPr="009951BF" w:rsidRDefault="00A639A6" w:rsidP="00C612F9">
    <w:pPr>
      <w:pStyle w:val="ZPZhlavvlevo"/>
    </w:pPr>
    <w:r>
      <w:t>Obsah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EBA0" w14:textId="77777777" w:rsidR="00A639A6" w:rsidRPr="009951BF" w:rsidRDefault="00A639A6" w:rsidP="00C612F9">
    <w:pPr>
      <w:pStyle w:val="ZPZhlavvpravo"/>
    </w:pPr>
    <w:r>
      <w:t>Obsah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CB97" w14:textId="1AAFBFCD" w:rsidR="00387B07" w:rsidRPr="009951BF" w:rsidRDefault="007B4235" w:rsidP="00C612F9">
    <w:pPr>
      <w:pStyle w:val="ZPZhlavvlevo"/>
    </w:pPr>
    <w:r>
      <w:fldChar w:fldCharType="begin"/>
    </w:r>
    <w:r>
      <w:instrText xml:space="preserve"> STYLEREF  "Nadpis 1</w:instrText>
    </w:r>
    <w:r w:rsidR="00A639A6">
      <w:instrText>*</w:instrText>
    </w:r>
    <w:r>
      <w:instrText xml:space="preserve">"  \* MERGEFORMAT </w:instrText>
    </w:r>
    <w:r>
      <w:fldChar w:fldCharType="separate"/>
    </w:r>
    <w:r w:rsidR="008C24F5">
      <w:rPr>
        <w:noProof/>
      </w:rPr>
      <w:t>Seznam obrázků</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95AE" w14:textId="6473E182" w:rsidR="00387B07" w:rsidRPr="009951BF" w:rsidRDefault="00181CDB" w:rsidP="00C612F9">
    <w:pPr>
      <w:pStyle w:val="ZPZhlavvpravo"/>
    </w:pPr>
    <w:r>
      <w:rPr>
        <w:noProof/>
      </w:rPr>
      <w:fldChar w:fldCharType="begin"/>
    </w:r>
    <w:r>
      <w:rPr>
        <w:noProof/>
      </w:rPr>
      <w:instrText xml:space="preserve"> STYLEREF  "Nadpis 1*"  \* MERGEFORMAT </w:instrText>
    </w:r>
    <w:r>
      <w:rPr>
        <w:noProof/>
      </w:rPr>
      <w:fldChar w:fldCharType="separate"/>
    </w:r>
    <w:r w:rsidR="008C24F5">
      <w:rPr>
        <w:noProof/>
      </w:rPr>
      <w:t>Seznam tabulek</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945C" w14:textId="637E8B00" w:rsidR="00B04FEC" w:rsidRPr="009951BF" w:rsidRDefault="00684499" w:rsidP="00D063DA">
    <w:pPr>
      <w:pStyle w:val="ZPZhlavvlevo"/>
      <w:tabs>
        <w:tab w:val="left" w:pos="4740"/>
      </w:tabs>
    </w:pPr>
    <w:r>
      <w:rPr>
        <w:noProof/>
      </w:rPr>
      <w:fldChar w:fldCharType="begin"/>
    </w:r>
    <w:r>
      <w:rPr>
        <w:noProof/>
      </w:rPr>
      <w:instrText xml:space="preserve"> STYLEREF  "Nadpis 1"  \* MERGEFORMAT </w:instrText>
    </w:r>
    <w:r>
      <w:rPr>
        <w:noProof/>
      </w:rPr>
      <w:fldChar w:fldCharType="separate"/>
    </w:r>
    <w:r w:rsidR="008C24F5">
      <w:rPr>
        <w:noProof/>
      </w:rPr>
      <w:t>Výzkumné otázky</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39FAB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482D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32C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8E61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9"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10" w15:restartNumberingAfterBreak="0">
    <w:nsid w:val="00A99411"/>
    <w:multiLevelType w:val="multilevel"/>
    <w:tmpl w:val="C088D2C2"/>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1" w15:restartNumberingAfterBreak="0">
    <w:nsid w:val="00A99412"/>
    <w:multiLevelType w:val="multilevel"/>
    <w:tmpl w:val="71040E3E"/>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12" w15:restartNumberingAfterBreak="0">
    <w:nsid w:val="00A99413"/>
    <w:multiLevelType w:val="multilevel"/>
    <w:tmpl w:val="436CD4EA"/>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13" w15:restartNumberingAfterBreak="0">
    <w:nsid w:val="06616E0E"/>
    <w:multiLevelType w:val="multilevel"/>
    <w:tmpl w:val="AEBA885E"/>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90C37B8"/>
    <w:multiLevelType w:val="multilevel"/>
    <w:tmpl w:val="CE424708"/>
    <w:styleLink w:val="Ptirovovsmenseznam"/>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15" w15:restartNumberingAfterBreak="0">
    <w:nsid w:val="19911404"/>
    <w:multiLevelType w:val="hybridMultilevel"/>
    <w:tmpl w:val="00B441D8"/>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16"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EE25AD7"/>
    <w:multiLevelType w:val="multilevel"/>
    <w:tmpl w:val="0632F87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DA114E5"/>
    <w:multiLevelType w:val="hybridMultilevel"/>
    <w:tmpl w:val="B16E6DFC"/>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20" w15:restartNumberingAfterBreak="0">
    <w:nsid w:val="3EA16F3B"/>
    <w:multiLevelType w:val="multilevel"/>
    <w:tmpl w:val="748A675E"/>
    <w:numStyleLink w:val="slovnploh"/>
  </w:abstractNum>
  <w:abstractNum w:abstractNumId="21" w15:restartNumberingAfterBreak="0">
    <w:nsid w:val="400A11CE"/>
    <w:multiLevelType w:val="multilevel"/>
    <w:tmpl w:val="748A675E"/>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A364E4"/>
    <w:multiLevelType w:val="multilevel"/>
    <w:tmpl w:val="3034A504"/>
    <w:styleLink w:val="Decimlnslovn"/>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23" w15:restartNumberingAfterBreak="0">
    <w:nsid w:val="4A932CB3"/>
    <w:multiLevelType w:val="hybridMultilevel"/>
    <w:tmpl w:val="03F2C93E"/>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24" w15:restartNumberingAfterBreak="0">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BA2222F"/>
    <w:multiLevelType w:val="multilevel"/>
    <w:tmpl w:val="AEBA885E"/>
    <w:numStyleLink w:val="slovnkapitol"/>
  </w:abstractNum>
  <w:abstractNum w:abstractNumId="27" w15:restartNumberingAfterBreak="0">
    <w:nsid w:val="64AD1D4C"/>
    <w:multiLevelType w:val="multilevel"/>
    <w:tmpl w:val="188893A0"/>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28" w15:restartNumberingAfterBreak="0">
    <w:nsid w:val="66CE335F"/>
    <w:multiLevelType w:val="hybridMultilevel"/>
    <w:tmpl w:val="02AA74E0"/>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29" w15:restartNumberingAfterBreak="0">
    <w:nsid w:val="682D62B0"/>
    <w:multiLevelType w:val="hybridMultilevel"/>
    <w:tmpl w:val="17649AD4"/>
    <w:lvl w:ilvl="0" w:tplc="FFFFFFFF">
      <w:start w:val="1"/>
      <w:numFmt w:val="decimal"/>
      <w:lvlText w:val="%1."/>
      <w:lvlJc w:val="left"/>
      <w:pPr>
        <w:ind w:left="1202" w:hanging="360"/>
      </w:pPr>
    </w:lvl>
    <w:lvl w:ilvl="1" w:tplc="FFFFFFFF" w:tentative="1">
      <w:start w:val="1"/>
      <w:numFmt w:val="lowerLetter"/>
      <w:lvlText w:val="%2."/>
      <w:lvlJc w:val="left"/>
      <w:pPr>
        <w:ind w:left="1922" w:hanging="360"/>
      </w:pPr>
    </w:lvl>
    <w:lvl w:ilvl="2" w:tplc="FFFFFFFF" w:tentative="1">
      <w:start w:val="1"/>
      <w:numFmt w:val="lowerRoman"/>
      <w:lvlText w:val="%3."/>
      <w:lvlJc w:val="right"/>
      <w:pPr>
        <w:ind w:left="2642" w:hanging="180"/>
      </w:pPr>
    </w:lvl>
    <w:lvl w:ilvl="3" w:tplc="FFFFFFFF" w:tentative="1">
      <w:start w:val="1"/>
      <w:numFmt w:val="decimal"/>
      <w:lvlText w:val="%4."/>
      <w:lvlJc w:val="left"/>
      <w:pPr>
        <w:ind w:left="3362" w:hanging="360"/>
      </w:pPr>
    </w:lvl>
    <w:lvl w:ilvl="4" w:tplc="FFFFFFFF" w:tentative="1">
      <w:start w:val="1"/>
      <w:numFmt w:val="lowerLetter"/>
      <w:lvlText w:val="%5."/>
      <w:lvlJc w:val="left"/>
      <w:pPr>
        <w:ind w:left="4082" w:hanging="360"/>
      </w:pPr>
    </w:lvl>
    <w:lvl w:ilvl="5" w:tplc="FFFFFFFF" w:tentative="1">
      <w:start w:val="1"/>
      <w:numFmt w:val="lowerRoman"/>
      <w:lvlText w:val="%6."/>
      <w:lvlJc w:val="right"/>
      <w:pPr>
        <w:ind w:left="4802" w:hanging="180"/>
      </w:pPr>
    </w:lvl>
    <w:lvl w:ilvl="6" w:tplc="0405000F">
      <w:start w:val="1"/>
      <w:numFmt w:val="decimal"/>
      <w:lvlText w:val="%7."/>
      <w:lvlJc w:val="left"/>
      <w:pPr>
        <w:ind w:left="1202" w:hanging="360"/>
      </w:pPr>
    </w:lvl>
    <w:lvl w:ilvl="7" w:tplc="FFFFFFFF" w:tentative="1">
      <w:start w:val="1"/>
      <w:numFmt w:val="lowerLetter"/>
      <w:lvlText w:val="%8."/>
      <w:lvlJc w:val="left"/>
      <w:pPr>
        <w:ind w:left="6242" w:hanging="360"/>
      </w:pPr>
    </w:lvl>
    <w:lvl w:ilvl="8" w:tplc="FFFFFFFF" w:tentative="1">
      <w:start w:val="1"/>
      <w:numFmt w:val="lowerRoman"/>
      <w:lvlText w:val="%9."/>
      <w:lvlJc w:val="right"/>
      <w:pPr>
        <w:ind w:left="6962" w:hanging="180"/>
      </w:pPr>
    </w:lvl>
  </w:abstractNum>
  <w:abstractNum w:abstractNumId="30"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31" w15:restartNumberingAfterBreak="0">
    <w:nsid w:val="75AB6741"/>
    <w:multiLevelType w:val="multilevel"/>
    <w:tmpl w:val="AEBA885E"/>
    <w:numStyleLink w:val="slovnkapitol"/>
  </w:abstractNum>
  <w:num w:numId="1" w16cid:durableId="1221940932">
    <w:abstractNumId w:val="16"/>
  </w:num>
  <w:num w:numId="2" w16cid:durableId="95488479">
    <w:abstractNumId w:val="30"/>
  </w:num>
  <w:num w:numId="3" w16cid:durableId="1270822492">
    <w:abstractNumId w:val="24"/>
  </w:num>
  <w:num w:numId="4" w16cid:durableId="1564874112">
    <w:abstractNumId w:val="18"/>
  </w:num>
  <w:num w:numId="5" w16cid:durableId="771819479">
    <w:abstractNumId w:val="13"/>
  </w:num>
  <w:num w:numId="6" w16cid:durableId="413822840">
    <w:abstractNumId w:val="21"/>
  </w:num>
  <w:num w:numId="7" w16cid:durableId="490952619">
    <w:abstractNumId w:val="8"/>
  </w:num>
  <w:num w:numId="8" w16cid:durableId="176583997">
    <w:abstractNumId w:val="3"/>
  </w:num>
  <w:num w:numId="9" w16cid:durableId="705061655">
    <w:abstractNumId w:val="2"/>
  </w:num>
  <w:num w:numId="10" w16cid:durableId="317004363">
    <w:abstractNumId w:val="1"/>
  </w:num>
  <w:num w:numId="11" w16cid:durableId="132673412">
    <w:abstractNumId w:val="0"/>
  </w:num>
  <w:num w:numId="12" w16cid:durableId="251740617">
    <w:abstractNumId w:val="9"/>
  </w:num>
  <w:num w:numId="13" w16cid:durableId="1497720074">
    <w:abstractNumId w:val="27"/>
  </w:num>
  <w:num w:numId="14" w16cid:durableId="1307589462">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1080" w:hanging="1080"/>
        </w:pPr>
        <w:rPr>
          <w:rFonts w:hint="default"/>
        </w:rPr>
      </w:lvl>
    </w:lvlOverride>
    <w:lvlOverride w:ilvl="3">
      <w:lvl w:ilvl="3">
        <w:start w:val="1"/>
        <w:numFmt w:val="decimal"/>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16cid:durableId="563874632">
    <w:abstractNumId w:val="25"/>
  </w:num>
  <w:num w:numId="16" w16cid:durableId="1163008344">
    <w:abstractNumId w:val="20"/>
  </w:num>
  <w:num w:numId="17" w16cid:durableId="1134761226">
    <w:abstractNumId w:val="14"/>
  </w:num>
  <w:num w:numId="18" w16cid:durableId="1609854304">
    <w:abstractNumId w:val="22"/>
  </w:num>
  <w:num w:numId="19" w16cid:durableId="292366651">
    <w:abstractNumId w:val="26"/>
  </w:num>
  <w:num w:numId="20" w16cid:durableId="11893003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1999327">
    <w:abstractNumId w:val="15"/>
  </w:num>
  <w:num w:numId="22" w16cid:durableId="2139179791">
    <w:abstractNumId w:val="23"/>
  </w:num>
  <w:num w:numId="23" w16cid:durableId="1087963709">
    <w:abstractNumId w:val="17"/>
  </w:num>
  <w:num w:numId="24" w16cid:durableId="307787310">
    <w:abstractNumId w:val="1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5" w16cid:durableId="531112293">
    <w:abstractNumId w:val="1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6" w16cid:durableId="1695765595">
    <w:abstractNumId w:val="28"/>
  </w:num>
  <w:num w:numId="27" w16cid:durableId="1013797501">
    <w:abstractNumId w:val="19"/>
  </w:num>
  <w:num w:numId="28" w16cid:durableId="995494188">
    <w:abstractNumId w:val="29"/>
  </w:num>
  <w:num w:numId="29" w16cid:durableId="1567492005">
    <w:abstractNumId w:val="7"/>
  </w:num>
  <w:num w:numId="30" w16cid:durableId="155531782">
    <w:abstractNumId w:val="6"/>
  </w:num>
  <w:num w:numId="31" w16cid:durableId="311257889">
    <w:abstractNumId w:val="5"/>
  </w:num>
  <w:num w:numId="32" w16cid:durableId="770516744">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0A"/>
    <w:rsid w:val="00001CAB"/>
    <w:rsid w:val="000033B3"/>
    <w:rsid w:val="000046C4"/>
    <w:rsid w:val="00004D6F"/>
    <w:rsid w:val="00006358"/>
    <w:rsid w:val="00006912"/>
    <w:rsid w:val="00006A66"/>
    <w:rsid w:val="000121E9"/>
    <w:rsid w:val="0001265C"/>
    <w:rsid w:val="00013C69"/>
    <w:rsid w:val="0001581E"/>
    <w:rsid w:val="00016DE6"/>
    <w:rsid w:val="00021CED"/>
    <w:rsid w:val="00023322"/>
    <w:rsid w:val="00025271"/>
    <w:rsid w:val="000266D5"/>
    <w:rsid w:val="000278C8"/>
    <w:rsid w:val="00027983"/>
    <w:rsid w:val="00027D69"/>
    <w:rsid w:val="00030347"/>
    <w:rsid w:val="00030C4F"/>
    <w:rsid w:val="00030E52"/>
    <w:rsid w:val="0003139D"/>
    <w:rsid w:val="00031BA6"/>
    <w:rsid w:val="00031DF1"/>
    <w:rsid w:val="0003276D"/>
    <w:rsid w:val="00032EBD"/>
    <w:rsid w:val="00033887"/>
    <w:rsid w:val="00033D24"/>
    <w:rsid w:val="000348AD"/>
    <w:rsid w:val="0003501B"/>
    <w:rsid w:val="0003637E"/>
    <w:rsid w:val="0004183D"/>
    <w:rsid w:val="000425FC"/>
    <w:rsid w:val="00042640"/>
    <w:rsid w:val="00042887"/>
    <w:rsid w:val="000446A5"/>
    <w:rsid w:val="00045288"/>
    <w:rsid w:val="000511CB"/>
    <w:rsid w:val="000519CB"/>
    <w:rsid w:val="000541EB"/>
    <w:rsid w:val="0005476E"/>
    <w:rsid w:val="0005583E"/>
    <w:rsid w:val="00056287"/>
    <w:rsid w:val="00056687"/>
    <w:rsid w:val="00057E3B"/>
    <w:rsid w:val="00061EC6"/>
    <w:rsid w:val="00062E26"/>
    <w:rsid w:val="00064C6E"/>
    <w:rsid w:val="0006632C"/>
    <w:rsid w:val="00067C23"/>
    <w:rsid w:val="0007195B"/>
    <w:rsid w:val="0007427B"/>
    <w:rsid w:val="00075A58"/>
    <w:rsid w:val="00076120"/>
    <w:rsid w:val="00076173"/>
    <w:rsid w:val="00083FB7"/>
    <w:rsid w:val="000871D8"/>
    <w:rsid w:val="00090A62"/>
    <w:rsid w:val="00091C6A"/>
    <w:rsid w:val="00091FDC"/>
    <w:rsid w:val="000947C3"/>
    <w:rsid w:val="0009487E"/>
    <w:rsid w:val="0009529A"/>
    <w:rsid w:val="00095544"/>
    <w:rsid w:val="000957CD"/>
    <w:rsid w:val="00095EBD"/>
    <w:rsid w:val="000966A1"/>
    <w:rsid w:val="000969A7"/>
    <w:rsid w:val="000A0556"/>
    <w:rsid w:val="000A3137"/>
    <w:rsid w:val="000A7F6F"/>
    <w:rsid w:val="000B06E2"/>
    <w:rsid w:val="000B073E"/>
    <w:rsid w:val="000B113E"/>
    <w:rsid w:val="000B1384"/>
    <w:rsid w:val="000B1FA5"/>
    <w:rsid w:val="000B205F"/>
    <w:rsid w:val="000B2830"/>
    <w:rsid w:val="000B2873"/>
    <w:rsid w:val="000B2FE1"/>
    <w:rsid w:val="000B3030"/>
    <w:rsid w:val="000B35CE"/>
    <w:rsid w:val="000B380B"/>
    <w:rsid w:val="000B3CD4"/>
    <w:rsid w:val="000B4C7F"/>
    <w:rsid w:val="000B5697"/>
    <w:rsid w:val="000B5A44"/>
    <w:rsid w:val="000B5DCC"/>
    <w:rsid w:val="000B754C"/>
    <w:rsid w:val="000B7594"/>
    <w:rsid w:val="000C1D6A"/>
    <w:rsid w:val="000C1EEA"/>
    <w:rsid w:val="000C2A54"/>
    <w:rsid w:val="000C34B8"/>
    <w:rsid w:val="000C35E6"/>
    <w:rsid w:val="000C482E"/>
    <w:rsid w:val="000C50F3"/>
    <w:rsid w:val="000C6F81"/>
    <w:rsid w:val="000C726C"/>
    <w:rsid w:val="000D26C0"/>
    <w:rsid w:val="000D314B"/>
    <w:rsid w:val="000D37A1"/>
    <w:rsid w:val="000D42A9"/>
    <w:rsid w:val="000D4483"/>
    <w:rsid w:val="000D4DCD"/>
    <w:rsid w:val="000D6BE1"/>
    <w:rsid w:val="000D7A70"/>
    <w:rsid w:val="000E093E"/>
    <w:rsid w:val="000E0DD5"/>
    <w:rsid w:val="000E17C7"/>
    <w:rsid w:val="000E1807"/>
    <w:rsid w:val="000E2574"/>
    <w:rsid w:val="000E30AF"/>
    <w:rsid w:val="000E3253"/>
    <w:rsid w:val="000E3336"/>
    <w:rsid w:val="000E490F"/>
    <w:rsid w:val="000E6185"/>
    <w:rsid w:val="000E680F"/>
    <w:rsid w:val="000E751F"/>
    <w:rsid w:val="000F1756"/>
    <w:rsid w:val="000F183A"/>
    <w:rsid w:val="000F1C94"/>
    <w:rsid w:val="000F3CBF"/>
    <w:rsid w:val="000F4366"/>
    <w:rsid w:val="000F5ED0"/>
    <w:rsid w:val="000F6823"/>
    <w:rsid w:val="000F6CF5"/>
    <w:rsid w:val="00100381"/>
    <w:rsid w:val="001035B3"/>
    <w:rsid w:val="00104CFB"/>
    <w:rsid w:val="001061C1"/>
    <w:rsid w:val="00106540"/>
    <w:rsid w:val="00106C44"/>
    <w:rsid w:val="00106E8C"/>
    <w:rsid w:val="0010714E"/>
    <w:rsid w:val="00107A6D"/>
    <w:rsid w:val="00107AE7"/>
    <w:rsid w:val="00107E23"/>
    <w:rsid w:val="00111DFA"/>
    <w:rsid w:val="0011305D"/>
    <w:rsid w:val="00115804"/>
    <w:rsid w:val="001165B2"/>
    <w:rsid w:val="00120459"/>
    <w:rsid w:val="00120EE5"/>
    <w:rsid w:val="00121296"/>
    <w:rsid w:val="00122F2B"/>
    <w:rsid w:val="00123134"/>
    <w:rsid w:val="001231B9"/>
    <w:rsid w:val="0012325B"/>
    <w:rsid w:val="001234F9"/>
    <w:rsid w:val="001259DA"/>
    <w:rsid w:val="00126261"/>
    <w:rsid w:val="00126EDE"/>
    <w:rsid w:val="00127018"/>
    <w:rsid w:val="00130C24"/>
    <w:rsid w:val="00130CDD"/>
    <w:rsid w:val="00131559"/>
    <w:rsid w:val="0013192E"/>
    <w:rsid w:val="00131E61"/>
    <w:rsid w:val="001334BD"/>
    <w:rsid w:val="00133AA7"/>
    <w:rsid w:val="00137A7E"/>
    <w:rsid w:val="00141984"/>
    <w:rsid w:val="001438A1"/>
    <w:rsid w:val="00143FCA"/>
    <w:rsid w:val="00144D48"/>
    <w:rsid w:val="001474DB"/>
    <w:rsid w:val="00147BC7"/>
    <w:rsid w:val="001504C2"/>
    <w:rsid w:val="00150827"/>
    <w:rsid w:val="00152C03"/>
    <w:rsid w:val="00154884"/>
    <w:rsid w:val="00155C38"/>
    <w:rsid w:val="00157BBE"/>
    <w:rsid w:val="00161E5E"/>
    <w:rsid w:val="00162CE3"/>
    <w:rsid w:val="0016330D"/>
    <w:rsid w:val="00163648"/>
    <w:rsid w:val="001637A0"/>
    <w:rsid w:val="001647B6"/>
    <w:rsid w:val="00165AB0"/>
    <w:rsid w:val="00166437"/>
    <w:rsid w:val="00166709"/>
    <w:rsid w:val="00166809"/>
    <w:rsid w:val="00166BFB"/>
    <w:rsid w:val="00167632"/>
    <w:rsid w:val="00170E55"/>
    <w:rsid w:val="001754A7"/>
    <w:rsid w:val="001757CF"/>
    <w:rsid w:val="0017653E"/>
    <w:rsid w:val="00176D79"/>
    <w:rsid w:val="00177036"/>
    <w:rsid w:val="00177293"/>
    <w:rsid w:val="001775ED"/>
    <w:rsid w:val="0018084B"/>
    <w:rsid w:val="00181534"/>
    <w:rsid w:val="001815E4"/>
    <w:rsid w:val="00181CDB"/>
    <w:rsid w:val="00184F20"/>
    <w:rsid w:val="00186AD8"/>
    <w:rsid w:val="00186BA4"/>
    <w:rsid w:val="00186DF6"/>
    <w:rsid w:val="00187C6F"/>
    <w:rsid w:val="00191875"/>
    <w:rsid w:val="00191A87"/>
    <w:rsid w:val="00191BB3"/>
    <w:rsid w:val="00192F96"/>
    <w:rsid w:val="00193D5F"/>
    <w:rsid w:val="00194596"/>
    <w:rsid w:val="001947AE"/>
    <w:rsid w:val="00195FE1"/>
    <w:rsid w:val="00196CE0"/>
    <w:rsid w:val="001A0806"/>
    <w:rsid w:val="001A219D"/>
    <w:rsid w:val="001A2784"/>
    <w:rsid w:val="001A5AA3"/>
    <w:rsid w:val="001A7664"/>
    <w:rsid w:val="001A7863"/>
    <w:rsid w:val="001B0BBA"/>
    <w:rsid w:val="001B0C7A"/>
    <w:rsid w:val="001B0FAF"/>
    <w:rsid w:val="001B2BCF"/>
    <w:rsid w:val="001B43CD"/>
    <w:rsid w:val="001B7C33"/>
    <w:rsid w:val="001B7D93"/>
    <w:rsid w:val="001C2BE3"/>
    <w:rsid w:val="001C3922"/>
    <w:rsid w:val="001C43D8"/>
    <w:rsid w:val="001C4F51"/>
    <w:rsid w:val="001C53D2"/>
    <w:rsid w:val="001C7095"/>
    <w:rsid w:val="001D0120"/>
    <w:rsid w:val="001D1679"/>
    <w:rsid w:val="001D182B"/>
    <w:rsid w:val="001D2C3B"/>
    <w:rsid w:val="001D463D"/>
    <w:rsid w:val="001D7E60"/>
    <w:rsid w:val="001E07A1"/>
    <w:rsid w:val="001E1714"/>
    <w:rsid w:val="001E176F"/>
    <w:rsid w:val="001E44E4"/>
    <w:rsid w:val="001F099A"/>
    <w:rsid w:val="001F14BE"/>
    <w:rsid w:val="001F1501"/>
    <w:rsid w:val="001F3FB3"/>
    <w:rsid w:val="001F4C13"/>
    <w:rsid w:val="001F5586"/>
    <w:rsid w:val="001F6DB2"/>
    <w:rsid w:val="00200EFC"/>
    <w:rsid w:val="00201946"/>
    <w:rsid w:val="00203419"/>
    <w:rsid w:val="00203AFB"/>
    <w:rsid w:val="002041D3"/>
    <w:rsid w:val="00206160"/>
    <w:rsid w:val="002074EA"/>
    <w:rsid w:val="0021045F"/>
    <w:rsid w:val="00210BCE"/>
    <w:rsid w:val="00210C1C"/>
    <w:rsid w:val="00212137"/>
    <w:rsid w:val="002121D4"/>
    <w:rsid w:val="002125CA"/>
    <w:rsid w:val="002155EC"/>
    <w:rsid w:val="00215F84"/>
    <w:rsid w:val="002164E4"/>
    <w:rsid w:val="00216FC4"/>
    <w:rsid w:val="00217F12"/>
    <w:rsid w:val="002209AF"/>
    <w:rsid w:val="002215A4"/>
    <w:rsid w:val="00221FDA"/>
    <w:rsid w:val="00224A6A"/>
    <w:rsid w:val="002271B6"/>
    <w:rsid w:val="0022788C"/>
    <w:rsid w:val="0023175A"/>
    <w:rsid w:val="0023269E"/>
    <w:rsid w:val="00232DE7"/>
    <w:rsid w:val="002343C4"/>
    <w:rsid w:val="00234AA3"/>
    <w:rsid w:val="0023579F"/>
    <w:rsid w:val="00235F32"/>
    <w:rsid w:val="00236A4F"/>
    <w:rsid w:val="00244547"/>
    <w:rsid w:val="00245C25"/>
    <w:rsid w:val="002537C5"/>
    <w:rsid w:val="002578C6"/>
    <w:rsid w:val="00260772"/>
    <w:rsid w:val="0026081C"/>
    <w:rsid w:val="00260BE0"/>
    <w:rsid w:val="002610F5"/>
    <w:rsid w:val="00261245"/>
    <w:rsid w:val="00262ED4"/>
    <w:rsid w:val="00265B8B"/>
    <w:rsid w:val="00270405"/>
    <w:rsid w:val="00270C8D"/>
    <w:rsid w:val="002726FE"/>
    <w:rsid w:val="00273605"/>
    <w:rsid w:val="00274587"/>
    <w:rsid w:val="00274F8F"/>
    <w:rsid w:val="002752AB"/>
    <w:rsid w:val="00276546"/>
    <w:rsid w:val="002767C1"/>
    <w:rsid w:val="0027700E"/>
    <w:rsid w:val="00277174"/>
    <w:rsid w:val="00280732"/>
    <w:rsid w:val="00280F8B"/>
    <w:rsid w:val="00280F9B"/>
    <w:rsid w:val="0028267F"/>
    <w:rsid w:val="00282A56"/>
    <w:rsid w:val="0028333C"/>
    <w:rsid w:val="002837D3"/>
    <w:rsid w:val="00283847"/>
    <w:rsid w:val="00284D60"/>
    <w:rsid w:val="0028594B"/>
    <w:rsid w:val="00287644"/>
    <w:rsid w:val="00287D5D"/>
    <w:rsid w:val="0029114E"/>
    <w:rsid w:val="00293146"/>
    <w:rsid w:val="00293590"/>
    <w:rsid w:val="00294F35"/>
    <w:rsid w:val="00295C4B"/>
    <w:rsid w:val="00297DF9"/>
    <w:rsid w:val="002A1663"/>
    <w:rsid w:val="002A18FA"/>
    <w:rsid w:val="002A1B59"/>
    <w:rsid w:val="002A200E"/>
    <w:rsid w:val="002A2330"/>
    <w:rsid w:val="002A5A44"/>
    <w:rsid w:val="002B0F57"/>
    <w:rsid w:val="002B31E7"/>
    <w:rsid w:val="002B4DB7"/>
    <w:rsid w:val="002B5A0A"/>
    <w:rsid w:val="002C0686"/>
    <w:rsid w:val="002C168E"/>
    <w:rsid w:val="002C1AA6"/>
    <w:rsid w:val="002C1DDE"/>
    <w:rsid w:val="002C1FB5"/>
    <w:rsid w:val="002C26E8"/>
    <w:rsid w:val="002C45F0"/>
    <w:rsid w:val="002C5EB5"/>
    <w:rsid w:val="002C6420"/>
    <w:rsid w:val="002C66A7"/>
    <w:rsid w:val="002C6A3C"/>
    <w:rsid w:val="002C6AE0"/>
    <w:rsid w:val="002C75B0"/>
    <w:rsid w:val="002D1885"/>
    <w:rsid w:val="002D3E40"/>
    <w:rsid w:val="002D5D66"/>
    <w:rsid w:val="002D5F86"/>
    <w:rsid w:val="002D6DCC"/>
    <w:rsid w:val="002D7200"/>
    <w:rsid w:val="002D78BA"/>
    <w:rsid w:val="002D7929"/>
    <w:rsid w:val="002E2753"/>
    <w:rsid w:val="002E4095"/>
    <w:rsid w:val="002E640F"/>
    <w:rsid w:val="002E6D5A"/>
    <w:rsid w:val="002F109A"/>
    <w:rsid w:val="002F1CAB"/>
    <w:rsid w:val="002F5083"/>
    <w:rsid w:val="002F5D8C"/>
    <w:rsid w:val="002F69B5"/>
    <w:rsid w:val="0030088B"/>
    <w:rsid w:val="00300D63"/>
    <w:rsid w:val="00301793"/>
    <w:rsid w:val="00302287"/>
    <w:rsid w:val="003023B8"/>
    <w:rsid w:val="0030249F"/>
    <w:rsid w:val="003026FA"/>
    <w:rsid w:val="00302D98"/>
    <w:rsid w:val="003033E5"/>
    <w:rsid w:val="0030413B"/>
    <w:rsid w:val="00304E54"/>
    <w:rsid w:val="0030575A"/>
    <w:rsid w:val="00310428"/>
    <w:rsid w:val="00310990"/>
    <w:rsid w:val="003109F5"/>
    <w:rsid w:val="0031178F"/>
    <w:rsid w:val="00311E99"/>
    <w:rsid w:val="00312767"/>
    <w:rsid w:val="003127FD"/>
    <w:rsid w:val="00312B94"/>
    <w:rsid w:val="00314029"/>
    <w:rsid w:val="00314FC4"/>
    <w:rsid w:val="003241F4"/>
    <w:rsid w:val="00324F76"/>
    <w:rsid w:val="00325AA1"/>
    <w:rsid w:val="0032701E"/>
    <w:rsid w:val="00330F77"/>
    <w:rsid w:val="00332D36"/>
    <w:rsid w:val="00332EA6"/>
    <w:rsid w:val="00340921"/>
    <w:rsid w:val="00342068"/>
    <w:rsid w:val="003425F8"/>
    <w:rsid w:val="00342D19"/>
    <w:rsid w:val="00342D42"/>
    <w:rsid w:val="003437DE"/>
    <w:rsid w:val="00344837"/>
    <w:rsid w:val="0034508D"/>
    <w:rsid w:val="003451DC"/>
    <w:rsid w:val="00345341"/>
    <w:rsid w:val="0034553C"/>
    <w:rsid w:val="00345C9D"/>
    <w:rsid w:val="00346382"/>
    <w:rsid w:val="003502C2"/>
    <w:rsid w:val="0035231C"/>
    <w:rsid w:val="00354ECD"/>
    <w:rsid w:val="00355059"/>
    <w:rsid w:val="003610B0"/>
    <w:rsid w:val="00362604"/>
    <w:rsid w:val="00363D8E"/>
    <w:rsid w:val="0036423D"/>
    <w:rsid w:val="00364EA5"/>
    <w:rsid w:val="0036613B"/>
    <w:rsid w:val="00366302"/>
    <w:rsid w:val="0036732B"/>
    <w:rsid w:val="0037037F"/>
    <w:rsid w:val="00371256"/>
    <w:rsid w:val="003733CC"/>
    <w:rsid w:val="003735CB"/>
    <w:rsid w:val="00373624"/>
    <w:rsid w:val="00375119"/>
    <w:rsid w:val="00375AFA"/>
    <w:rsid w:val="00376178"/>
    <w:rsid w:val="00376EFB"/>
    <w:rsid w:val="00377CCB"/>
    <w:rsid w:val="00380E1B"/>
    <w:rsid w:val="00383565"/>
    <w:rsid w:val="00384F48"/>
    <w:rsid w:val="0038541D"/>
    <w:rsid w:val="00385F54"/>
    <w:rsid w:val="00386FD6"/>
    <w:rsid w:val="00387B07"/>
    <w:rsid w:val="00387CB9"/>
    <w:rsid w:val="0039149C"/>
    <w:rsid w:val="00391848"/>
    <w:rsid w:val="00392706"/>
    <w:rsid w:val="00393AF8"/>
    <w:rsid w:val="00394B1E"/>
    <w:rsid w:val="003A0CA6"/>
    <w:rsid w:val="003A2DE8"/>
    <w:rsid w:val="003A4108"/>
    <w:rsid w:val="003A4539"/>
    <w:rsid w:val="003A54DD"/>
    <w:rsid w:val="003A5B77"/>
    <w:rsid w:val="003A7992"/>
    <w:rsid w:val="003B0A9A"/>
    <w:rsid w:val="003B12CF"/>
    <w:rsid w:val="003B242C"/>
    <w:rsid w:val="003B2655"/>
    <w:rsid w:val="003B2FD8"/>
    <w:rsid w:val="003B337D"/>
    <w:rsid w:val="003B40D5"/>
    <w:rsid w:val="003B498F"/>
    <w:rsid w:val="003B4F50"/>
    <w:rsid w:val="003B5FAF"/>
    <w:rsid w:val="003B6227"/>
    <w:rsid w:val="003B7C9B"/>
    <w:rsid w:val="003C053E"/>
    <w:rsid w:val="003C1187"/>
    <w:rsid w:val="003C3B34"/>
    <w:rsid w:val="003C3FD7"/>
    <w:rsid w:val="003C52CA"/>
    <w:rsid w:val="003C55A2"/>
    <w:rsid w:val="003C5ADE"/>
    <w:rsid w:val="003C6B01"/>
    <w:rsid w:val="003C7478"/>
    <w:rsid w:val="003C79B2"/>
    <w:rsid w:val="003C7F88"/>
    <w:rsid w:val="003D0E21"/>
    <w:rsid w:val="003D12A0"/>
    <w:rsid w:val="003D2A7C"/>
    <w:rsid w:val="003D2A99"/>
    <w:rsid w:val="003D2D22"/>
    <w:rsid w:val="003D3882"/>
    <w:rsid w:val="003D3EC4"/>
    <w:rsid w:val="003D4729"/>
    <w:rsid w:val="003D7716"/>
    <w:rsid w:val="003E0C7E"/>
    <w:rsid w:val="003E0DB3"/>
    <w:rsid w:val="003E18AF"/>
    <w:rsid w:val="003E2B59"/>
    <w:rsid w:val="003E3A5B"/>
    <w:rsid w:val="003E42D6"/>
    <w:rsid w:val="003E5411"/>
    <w:rsid w:val="003E6F4C"/>
    <w:rsid w:val="003E6FFC"/>
    <w:rsid w:val="003E7C04"/>
    <w:rsid w:val="003F0388"/>
    <w:rsid w:val="003F5354"/>
    <w:rsid w:val="003F6398"/>
    <w:rsid w:val="003F666A"/>
    <w:rsid w:val="003F6B18"/>
    <w:rsid w:val="003F7D4B"/>
    <w:rsid w:val="00400BB6"/>
    <w:rsid w:val="00401756"/>
    <w:rsid w:val="004017F2"/>
    <w:rsid w:val="00402431"/>
    <w:rsid w:val="00402B80"/>
    <w:rsid w:val="00403581"/>
    <w:rsid w:val="00403B1A"/>
    <w:rsid w:val="00406BD1"/>
    <w:rsid w:val="00406E00"/>
    <w:rsid w:val="00407A0D"/>
    <w:rsid w:val="0041158B"/>
    <w:rsid w:val="00412789"/>
    <w:rsid w:val="00413503"/>
    <w:rsid w:val="0041503D"/>
    <w:rsid w:val="00415108"/>
    <w:rsid w:val="00415B11"/>
    <w:rsid w:val="00416860"/>
    <w:rsid w:val="00416B87"/>
    <w:rsid w:val="00417009"/>
    <w:rsid w:val="004170A8"/>
    <w:rsid w:val="00417CA3"/>
    <w:rsid w:val="00417CCE"/>
    <w:rsid w:val="00421F8F"/>
    <w:rsid w:val="00422A64"/>
    <w:rsid w:val="004235C2"/>
    <w:rsid w:val="00423A18"/>
    <w:rsid w:val="00424963"/>
    <w:rsid w:val="00427DF1"/>
    <w:rsid w:val="00430DBD"/>
    <w:rsid w:val="00432739"/>
    <w:rsid w:val="00432A0E"/>
    <w:rsid w:val="004340B6"/>
    <w:rsid w:val="00434473"/>
    <w:rsid w:val="00434485"/>
    <w:rsid w:val="00434981"/>
    <w:rsid w:val="004363C9"/>
    <w:rsid w:val="004412EB"/>
    <w:rsid w:val="0044231F"/>
    <w:rsid w:val="004432E2"/>
    <w:rsid w:val="004433C7"/>
    <w:rsid w:val="0044577E"/>
    <w:rsid w:val="0045066B"/>
    <w:rsid w:val="00450A4E"/>
    <w:rsid w:val="00453464"/>
    <w:rsid w:val="00454387"/>
    <w:rsid w:val="00454EEA"/>
    <w:rsid w:val="00455139"/>
    <w:rsid w:val="00455C27"/>
    <w:rsid w:val="0045673C"/>
    <w:rsid w:val="00456D17"/>
    <w:rsid w:val="00457454"/>
    <w:rsid w:val="00457906"/>
    <w:rsid w:val="00457A41"/>
    <w:rsid w:val="00457A74"/>
    <w:rsid w:val="004622BA"/>
    <w:rsid w:val="004631F9"/>
    <w:rsid w:val="00464CF0"/>
    <w:rsid w:val="00465207"/>
    <w:rsid w:val="004668F5"/>
    <w:rsid w:val="004674B1"/>
    <w:rsid w:val="00467A5A"/>
    <w:rsid w:val="0047106E"/>
    <w:rsid w:val="0047272D"/>
    <w:rsid w:val="0047325D"/>
    <w:rsid w:val="004743C2"/>
    <w:rsid w:val="004748C4"/>
    <w:rsid w:val="0047570D"/>
    <w:rsid w:val="00476EB7"/>
    <w:rsid w:val="00482CE5"/>
    <w:rsid w:val="00482E80"/>
    <w:rsid w:val="0048509E"/>
    <w:rsid w:val="00485FB6"/>
    <w:rsid w:val="00486A0C"/>
    <w:rsid w:val="0048704E"/>
    <w:rsid w:val="00492088"/>
    <w:rsid w:val="004922F1"/>
    <w:rsid w:val="00492B34"/>
    <w:rsid w:val="004932BC"/>
    <w:rsid w:val="0049372C"/>
    <w:rsid w:val="00493755"/>
    <w:rsid w:val="00495F35"/>
    <w:rsid w:val="00497972"/>
    <w:rsid w:val="004A0E19"/>
    <w:rsid w:val="004A14C7"/>
    <w:rsid w:val="004A15F7"/>
    <w:rsid w:val="004A2453"/>
    <w:rsid w:val="004A2B20"/>
    <w:rsid w:val="004A4934"/>
    <w:rsid w:val="004A4E21"/>
    <w:rsid w:val="004A56A2"/>
    <w:rsid w:val="004A6406"/>
    <w:rsid w:val="004A7B07"/>
    <w:rsid w:val="004B0C2C"/>
    <w:rsid w:val="004B26B6"/>
    <w:rsid w:val="004B37B6"/>
    <w:rsid w:val="004B41A4"/>
    <w:rsid w:val="004B6122"/>
    <w:rsid w:val="004C2120"/>
    <w:rsid w:val="004C37B3"/>
    <w:rsid w:val="004C3A23"/>
    <w:rsid w:val="004C4987"/>
    <w:rsid w:val="004D2467"/>
    <w:rsid w:val="004D35AB"/>
    <w:rsid w:val="004D72F4"/>
    <w:rsid w:val="004D735F"/>
    <w:rsid w:val="004D7F50"/>
    <w:rsid w:val="004E0F2F"/>
    <w:rsid w:val="004E0F8F"/>
    <w:rsid w:val="004E2F00"/>
    <w:rsid w:val="004E3DD4"/>
    <w:rsid w:val="004E3ED9"/>
    <w:rsid w:val="004E4750"/>
    <w:rsid w:val="004E4B9D"/>
    <w:rsid w:val="004E740F"/>
    <w:rsid w:val="004F1C84"/>
    <w:rsid w:val="004F1D63"/>
    <w:rsid w:val="004F2418"/>
    <w:rsid w:val="004F2746"/>
    <w:rsid w:val="004F6DB9"/>
    <w:rsid w:val="0050014C"/>
    <w:rsid w:val="00500638"/>
    <w:rsid w:val="00500DBF"/>
    <w:rsid w:val="00502231"/>
    <w:rsid w:val="005028A3"/>
    <w:rsid w:val="00504943"/>
    <w:rsid w:val="00506DC5"/>
    <w:rsid w:val="00511543"/>
    <w:rsid w:val="00511B08"/>
    <w:rsid w:val="00512363"/>
    <w:rsid w:val="00514024"/>
    <w:rsid w:val="00515F92"/>
    <w:rsid w:val="00516360"/>
    <w:rsid w:val="00516D56"/>
    <w:rsid w:val="0051767E"/>
    <w:rsid w:val="0052043B"/>
    <w:rsid w:val="00521AA8"/>
    <w:rsid w:val="00522BE0"/>
    <w:rsid w:val="00523F5C"/>
    <w:rsid w:val="00524361"/>
    <w:rsid w:val="00524363"/>
    <w:rsid w:val="005253A0"/>
    <w:rsid w:val="00525CD8"/>
    <w:rsid w:val="00526405"/>
    <w:rsid w:val="00526B0F"/>
    <w:rsid w:val="0052762D"/>
    <w:rsid w:val="005306FD"/>
    <w:rsid w:val="00533A95"/>
    <w:rsid w:val="00535F44"/>
    <w:rsid w:val="005362AF"/>
    <w:rsid w:val="00536C4F"/>
    <w:rsid w:val="00537BCE"/>
    <w:rsid w:val="00540215"/>
    <w:rsid w:val="005407A1"/>
    <w:rsid w:val="00541150"/>
    <w:rsid w:val="00541E2B"/>
    <w:rsid w:val="00542C25"/>
    <w:rsid w:val="0054310E"/>
    <w:rsid w:val="0054338A"/>
    <w:rsid w:val="00543751"/>
    <w:rsid w:val="005446D8"/>
    <w:rsid w:val="005448B7"/>
    <w:rsid w:val="00544969"/>
    <w:rsid w:val="005450BF"/>
    <w:rsid w:val="0054748D"/>
    <w:rsid w:val="00551BE4"/>
    <w:rsid w:val="005526FE"/>
    <w:rsid w:val="005543DF"/>
    <w:rsid w:val="005566DB"/>
    <w:rsid w:val="0055672C"/>
    <w:rsid w:val="00556FD7"/>
    <w:rsid w:val="005573A5"/>
    <w:rsid w:val="005616EC"/>
    <w:rsid w:val="005620BF"/>
    <w:rsid w:val="0056312D"/>
    <w:rsid w:val="00564575"/>
    <w:rsid w:val="0056479B"/>
    <w:rsid w:val="005655D5"/>
    <w:rsid w:val="005663F1"/>
    <w:rsid w:val="00567BE1"/>
    <w:rsid w:val="00567CEB"/>
    <w:rsid w:val="00571ED9"/>
    <w:rsid w:val="005720D8"/>
    <w:rsid w:val="00573C64"/>
    <w:rsid w:val="00574E1A"/>
    <w:rsid w:val="00575008"/>
    <w:rsid w:val="00575E7E"/>
    <w:rsid w:val="00576992"/>
    <w:rsid w:val="00576A3C"/>
    <w:rsid w:val="00576A89"/>
    <w:rsid w:val="00576E43"/>
    <w:rsid w:val="0057725C"/>
    <w:rsid w:val="005804F9"/>
    <w:rsid w:val="005804FB"/>
    <w:rsid w:val="005806A4"/>
    <w:rsid w:val="00580B84"/>
    <w:rsid w:val="0058175D"/>
    <w:rsid w:val="00581933"/>
    <w:rsid w:val="00581F80"/>
    <w:rsid w:val="005824B5"/>
    <w:rsid w:val="00583CAF"/>
    <w:rsid w:val="00584045"/>
    <w:rsid w:val="005843DF"/>
    <w:rsid w:val="0058590C"/>
    <w:rsid w:val="005904F8"/>
    <w:rsid w:val="005918B0"/>
    <w:rsid w:val="00592E53"/>
    <w:rsid w:val="00593A2D"/>
    <w:rsid w:val="00593C0C"/>
    <w:rsid w:val="005943D1"/>
    <w:rsid w:val="00596DA3"/>
    <w:rsid w:val="005A15E5"/>
    <w:rsid w:val="005A1C73"/>
    <w:rsid w:val="005A20B0"/>
    <w:rsid w:val="005A2449"/>
    <w:rsid w:val="005A40A7"/>
    <w:rsid w:val="005A513F"/>
    <w:rsid w:val="005A5AD9"/>
    <w:rsid w:val="005A71DF"/>
    <w:rsid w:val="005A77F9"/>
    <w:rsid w:val="005A7FCD"/>
    <w:rsid w:val="005B11FE"/>
    <w:rsid w:val="005B2A2A"/>
    <w:rsid w:val="005B2A35"/>
    <w:rsid w:val="005B2DB8"/>
    <w:rsid w:val="005B452E"/>
    <w:rsid w:val="005C0A82"/>
    <w:rsid w:val="005C114D"/>
    <w:rsid w:val="005C1ED4"/>
    <w:rsid w:val="005C3259"/>
    <w:rsid w:val="005C50F3"/>
    <w:rsid w:val="005C591B"/>
    <w:rsid w:val="005C665F"/>
    <w:rsid w:val="005C6F6E"/>
    <w:rsid w:val="005D16B0"/>
    <w:rsid w:val="005D1F90"/>
    <w:rsid w:val="005D2094"/>
    <w:rsid w:val="005D250C"/>
    <w:rsid w:val="005D346A"/>
    <w:rsid w:val="005D3F47"/>
    <w:rsid w:val="005D41D4"/>
    <w:rsid w:val="005D4F1A"/>
    <w:rsid w:val="005D5356"/>
    <w:rsid w:val="005D625E"/>
    <w:rsid w:val="005D6619"/>
    <w:rsid w:val="005D7100"/>
    <w:rsid w:val="005D752E"/>
    <w:rsid w:val="005E29A0"/>
    <w:rsid w:val="005E4C2C"/>
    <w:rsid w:val="005E5A3A"/>
    <w:rsid w:val="005E5E59"/>
    <w:rsid w:val="005F06C4"/>
    <w:rsid w:val="005F135F"/>
    <w:rsid w:val="005F224B"/>
    <w:rsid w:val="005F23CF"/>
    <w:rsid w:val="005F4661"/>
    <w:rsid w:val="005F58DF"/>
    <w:rsid w:val="005F5ED2"/>
    <w:rsid w:val="005F66CA"/>
    <w:rsid w:val="005F7BA3"/>
    <w:rsid w:val="00600188"/>
    <w:rsid w:val="00600520"/>
    <w:rsid w:val="0060097B"/>
    <w:rsid w:val="00602E26"/>
    <w:rsid w:val="006032BC"/>
    <w:rsid w:val="00603FE4"/>
    <w:rsid w:val="006047EB"/>
    <w:rsid w:val="00606781"/>
    <w:rsid w:val="006072DC"/>
    <w:rsid w:val="00607AE2"/>
    <w:rsid w:val="00610890"/>
    <w:rsid w:val="00611A02"/>
    <w:rsid w:val="00612ED3"/>
    <w:rsid w:val="0061507C"/>
    <w:rsid w:val="00616D8A"/>
    <w:rsid w:val="00617A4D"/>
    <w:rsid w:val="006219B5"/>
    <w:rsid w:val="006235EF"/>
    <w:rsid w:val="00624BA1"/>
    <w:rsid w:val="00625161"/>
    <w:rsid w:val="0062604D"/>
    <w:rsid w:val="006276B9"/>
    <w:rsid w:val="00631EEE"/>
    <w:rsid w:val="00632345"/>
    <w:rsid w:val="00633434"/>
    <w:rsid w:val="00633C14"/>
    <w:rsid w:val="0063456C"/>
    <w:rsid w:val="006400F5"/>
    <w:rsid w:val="006421A9"/>
    <w:rsid w:val="00642E05"/>
    <w:rsid w:val="0064592B"/>
    <w:rsid w:val="006474F7"/>
    <w:rsid w:val="00647C19"/>
    <w:rsid w:val="006511D8"/>
    <w:rsid w:val="0065287F"/>
    <w:rsid w:val="00652BCD"/>
    <w:rsid w:val="00653298"/>
    <w:rsid w:val="00654702"/>
    <w:rsid w:val="00654B0C"/>
    <w:rsid w:val="00655A3C"/>
    <w:rsid w:val="00656B43"/>
    <w:rsid w:val="00656C84"/>
    <w:rsid w:val="00657A0F"/>
    <w:rsid w:val="006608C9"/>
    <w:rsid w:val="006613A2"/>
    <w:rsid w:val="006613D4"/>
    <w:rsid w:val="00661992"/>
    <w:rsid w:val="00663599"/>
    <w:rsid w:val="00663EBC"/>
    <w:rsid w:val="006653B1"/>
    <w:rsid w:val="00665872"/>
    <w:rsid w:val="00666071"/>
    <w:rsid w:val="006668A0"/>
    <w:rsid w:val="006675DE"/>
    <w:rsid w:val="00667A5B"/>
    <w:rsid w:val="00671302"/>
    <w:rsid w:val="00672F97"/>
    <w:rsid w:val="006748F7"/>
    <w:rsid w:val="006753EC"/>
    <w:rsid w:val="00675C96"/>
    <w:rsid w:val="006767CE"/>
    <w:rsid w:val="00676803"/>
    <w:rsid w:val="00676B9F"/>
    <w:rsid w:val="00676F7D"/>
    <w:rsid w:val="00677782"/>
    <w:rsid w:val="006777C4"/>
    <w:rsid w:val="006803AE"/>
    <w:rsid w:val="00682B4D"/>
    <w:rsid w:val="00684499"/>
    <w:rsid w:val="00684D9C"/>
    <w:rsid w:val="00685852"/>
    <w:rsid w:val="00685DD9"/>
    <w:rsid w:val="00686598"/>
    <w:rsid w:val="006921C6"/>
    <w:rsid w:val="00692D32"/>
    <w:rsid w:val="00692D68"/>
    <w:rsid w:val="0069336E"/>
    <w:rsid w:val="00693FCD"/>
    <w:rsid w:val="0069572B"/>
    <w:rsid w:val="006959C8"/>
    <w:rsid w:val="006964D9"/>
    <w:rsid w:val="00697032"/>
    <w:rsid w:val="006A0353"/>
    <w:rsid w:val="006A1389"/>
    <w:rsid w:val="006A25DA"/>
    <w:rsid w:val="006A2A1F"/>
    <w:rsid w:val="006A3938"/>
    <w:rsid w:val="006A3E16"/>
    <w:rsid w:val="006A59D9"/>
    <w:rsid w:val="006A6A13"/>
    <w:rsid w:val="006A6AAC"/>
    <w:rsid w:val="006A6C98"/>
    <w:rsid w:val="006A7D16"/>
    <w:rsid w:val="006B0A96"/>
    <w:rsid w:val="006B15F8"/>
    <w:rsid w:val="006B1E7A"/>
    <w:rsid w:val="006B4580"/>
    <w:rsid w:val="006B4A0B"/>
    <w:rsid w:val="006B50C3"/>
    <w:rsid w:val="006B539B"/>
    <w:rsid w:val="006B5C46"/>
    <w:rsid w:val="006B78A7"/>
    <w:rsid w:val="006B78CF"/>
    <w:rsid w:val="006B7FF0"/>
    <w:rsid w:val="006C0CC8"/>
    <w:rsid w:val="006C1769"/>
    <w:rsid w:val="006C2D7E"/>
    <w:rsid w:val="006C5A42"/>
    <w:rsid w:val="006C62AC"/>
    <w:rsid w:val="006C78DE"/>
    <w:rsid w:val="006D2022"/>
    <w:rsid w:val="006D4F47"/>
    <w:rsid w:val="006D6E24"/>
    <w:rsid w:val="006E01A8"/>
    <w:rsid w:val="006E1910"/>
    <w:rsid w:val="006E2F26"/>
    <w:rsid w:val="006E36ED"/>
    <w:rsid w:val="006E3D06"/>
    <w:rsid w:val="006E46CB"/>
    <w:rsid w:val="006E4E35"/>
    <w:rsid w:val="006E589F"/>
    <w:rsid w:val="006E6D13"/>
    <w:rsid w:val="006E6F66"/>
    <w:rsid w:val="006E770E"/>
    <w:rsid w:val="006E7C8B"/>
    <w:rsid w:val="006F140B"/>
    <w:rsid w:val="006F2973"/>
    <w:rsid w:val="006F378B"/>
    <w:rsid w:val="006F42FA"/>
    <w:rsid w:val="006F5171"/>
    <w:rsid w:val="006F6265"/>
    <w:rsid w:val="006F7134"/>
    <w:rsid w:val="006F74D2"/>
    <w:rsid w:val="006F7B25"/>
    <w:rsid w:val="006F7C39"/>
    <w:rsid w:val="00700D57"/>
    <w:rsid w:val="00700DC1"/>
    <w:rsid w:val="00701DF9"/>
    <w:rsid w:val="00702C97"/>
    <w:rsid w:val="00702E7D"/>
    <w:rsid w:val="007032F3"/>
    <w:rsid w:val="00703FF1"/>
    <w:rsid w:val="00704143"/>
    <w:rsid w:val="00705645"/>
    <w:rsid w:val="00705775"/>
    <w:rsid w:val="00705DB6"/>
    <w:rsid w:val="00706114"/>
    <w:rsid w:val="007066FD"/>
    <w:rsid w:val="00707F24"/>
    <w:rsid w:val="00710C27"/>
    <w:rsid w:val="007128B1"/>
    <w:rsid w:val="00713C76"/>
    <w:rsid w:val="007142B1"/>
    <w:rsid w:val="00714BC2"/>
    <w:rsid w:val="00720955"/>
    <w:rsid w:val="00721D9B"/>
    <w:rsid w:val="00722756"/>
    <w:rsid w:val="00722835"/>
    <w:rsid w:val="007229E6"/>
    <w:rsid w:val="00723E73"/>
    <w:rsid w:val="00724227"/>
    <w:rsid w:val="00726757"/>
    <w:rsid w:val="00726A43"/>
    <w:rsid w:val="007271F0"/>
    <w:rsid w:val="00727972"/>
    <w:rsid w:val="007322A3"/>
    <w:rsid w:val="00732468"/>
    <w:rsid w:val="00733994"/>
    <w:rsid w:val="00740693"/>
    <w:rsid w:val="0074241C"/>
    <w:rsid w:val="00742BF1"/>
    <w:rsid w:val="00742C2C"/>
    <w:rsid w:val="00743616"/>
    <w:rsid w:val="00743F57"/>
    <w:rsid w:val="007442AC"/>
    <w:rsid w:val="007444B7"/>
    <w:rsid w:val="00746392"/>
    <w:rsid w:val="00746487"/>
    <w:rsid w:val="007468F6"/>
    <w:rsid w:val="00747FF7"/>
    <w:rsid w:val="0075091C"/>
    <w:rsid w:val="00750F42"/>
    <w:rsid w:val="007520B4"/>
    <w:rsid w:val="00752DF5"/>
    <w:rsid w:val="00753D8C"/>
    <w:rsid w:val="007555DA"/>
    <w:rsid w:val="00756790"/>
    <w:rsid w:val="00761D2F"/>
    <w:rsid w:val="00761D6B"/>
    <w:rsid w:val="00762881"/>
    <w:rsid w:val="00763D61"/>
    <w:rsid w:val="0076407F"/>
    <w:rsid w:val="007677DD"/>
    <w:rsid w:val="00767987"/>
    <w:rsid w:val="00767FEB"/>
    <w:rsid w:val="007707D1"/>
    <w:rsid w:val="00770C58"/>
    <w:rsid w:val="00770F7B"/>
    <w:rsid w:val="007723D7"/>
    <w:rsid w:val="0077393E"/>
    <w:rsid w:val="00773EFE"/>
    <w:rsid w:val="0077567B"/>
    <w:rsid w:val="00775EDA"/>
    <w:rsid w:val="007766E7"/>
    <w:rsid w:val="00777435"/>
    <w:rsid w:val="007817A2"/>
    <w:rsid w:val="00781B50"/>
    <w:rsid w:val="00782521"/>
    <w:rsid w:val="007837AC"/>
    <w:rsid w:val="00785FE4"/>
    <w:rsid w:val="007863E4"/>
    <w:rsid w:val="00791483"/>
    <w:rsid w:val="0079360C"/>
    <w:rsid w:val="00793F90"/>
    <w:rsid w:val="007945F3"/>
    <w:rsid w:val="00796B20"/>
    <w:rsid w:val="00796B68"/>
    <w:rsid w:val="00797755"/>
    <w:rsid w:val="007A00EC"/>
    <w:rsid w:val="007A16B9"/>
    <w:rsid w:val="007A1F2E"/>
    <w:rsid w:val="007A2681"/>
    <w:rsid w:val="007A26A7"/>
    <w:rsid w:val="007A31FF"/>
    <w:rsid w:val="007A4AB4"/>
    <w:rsid w:val="007A4AF8"/>
    <w:rsid w:val="007A5BA1"/>
    <w:rsid w:val="007A5EE3"/>
    <w:rsid w:val="007A6350"/>
    <w:rsid w:val="007A6F1B"/>
    <w:rsid w:val="007A70C1"/>
    <w:rsid w:val="007B4235"/>
    <w:rsid w:val="007B5588"/>
    <w:rsid w:val="007B63D5"/>
    <w:rsid w:val="007B6991"/>
    <w:rsid w:val="007B7C2D"/>
    <w:rsid w:val="007C050F"/>
    <w:rsid w:val="007C0619"/>
    <w:rsid w:val="007C0D94"/>
    <w:rsid w:val="007C294D"/>
    <w:rsid w:val="007C3BF9"/>
    <w:rsid w:val="007C4A02"/>
    <w:rsid w:val="007C687B"/>
    <w:rsid w:val="007C74CB"/>
    <w:rsid w:val="007C7F96"/>
    <w:rsid w:val="007D08CA"/>
    <w:rsid w:val="007D15C2"/>
    <w:rsid w:val="007D205C"/>
    <w:rsid w:val="007D22BD"/>
    <w:rsid w:val="007D312D"/>
    <w:rsid w:val="007D341B"/>
    <w:rsid w:val="007D3CC7"/>
    <w:rsid w:val="007D50D0"/>
    <w:rsid w:val="007D6325"/>
    <w:rsid w:val="007D7F7F"/>
    <w:rsid w:val="007E16E4"/>
    <w:rsid w:val="007E1ADE"/>
    <w:rsid w:val="007E301D"/>
    <w:rsid w:val="007E3C3E"/>
    <w:rsid w:val="007E4264"/>
    <w:rsid w:val="007E5512"/>
    <w:rsid w:val="007E6199"/>
    <w:rsid w:val="007E63DE"/>
    <w:rsid w:val="007E667D"/>
    <w:rsid w:val="007E681C"/>
    <w:rsid w:val="007E7F97"/>
    <w:rsid w:val="007F00C7"/>
    <w:rsid w:val="007F013D"/>
    <w:rsid w:val="007F048A"/>
    <w:rsid w:val="007F0A70"/>
    <w:rsid w:val="007F0FCC"/>
    <w:rsid w:val="007F12C7"/>
    <w:rsid w:val="007F35E0"/>
    <w:rsid w:val="007F7A82"/>
    <w:rsid w:val="00802CD0"/>
    <w:rsid w:val="00807D5C"/>
    <w:rsid w:val="00807DB4"/>
    <w:rsid w:val="00810B61"/>
    <w:rsid w:val="00811C24"/>
    <w:rsid w:val="008127DE"/>
    <w:rsid w:val="00812EBD"/>
    <w:rsid w:val="00813987"/>
    <w:rsid w:val="0081444D"/>
    <w:rsid w:val="00816D41"/>
    <w:rsid w:val="008178C6"/>
    <w:rsid w:val="00820CF8"/>
    <w:rsid w:val="0082162F"/>
    <w:rsid w:val="00822659"/>
    <w:rsid w:val="00823F93"/>
    <w:rsid w:val="00824749"/>
    <w:rsid w:val="00825A03"/>
    <w:rsid w:val="00825B26"/>
    <w:rsid w:val="008262EF"/>
    <w:rsid w:val="00826EFB"/>
    <w:rsid w:val="0083009B"/>
    <w:rsid w:val="00830CE4"/>
    <w:rsid w:val="0083198F"/>
    <w:rsid w:val="00832CB3"/>
    <w:rsid w:val="00833621"/>
    <w:rsid w:val="00835184"/>
    <w:rsid w:val="00835CB9"/>
    <w:rsid w:val="00837025"/>
    <w:rsid w:val="00837662"/>
    <w:rsid w:val="00840A84"/>
    <w:rsid w:val="00842BAD"/>
    <w:rsid w:val="00843594"/>
    <w:rsid w:val="008442A4"/>
    <w:rsid w:val="0084461E"/>
    <w:rsid w:val="008448B3"/>
    <w:rsid w:val="008458FB"/>
    <w:rsid w:val="00845927"/>
    <w:rsid w:val="00845BB8"/>
    <w:rsid w:val="008470D4"/>
    <w:rsid w:val="008521E3"/>
    <w:rsid w:val="00852F37"/>
    <w:rsid w:val="008537C0"/>
    <w:rsid w:val="00853C55"/>
    <w:rsid w:val="008540FF"/>
    <w:rsid w:val="00854D01"/>
    <w:rsid w:val="00854E09"/>
    <w:rsid w:val="008559EC"/>
    <w:rsid w:val="00856776"/>
    <w:rsid w:val="0085725D"/>
    <w:rsid w:val="0085799A"/>
    <w:rsid w:val="00857D84"/>
    <w:rsid w:val="00860635"/>
    <w:rsid w:val="0086068B"/>
    <w:rsid w:val="0086086B"/>
    <w:rsid w:val="00862821"/>
    <w:rsid w:val="008638F8"/>
    <w:rsid w:val="00870FB4"/>
    <w:rsid w:val="008714D6"/>
    <w:rsid w:val="00871910"/>
    <w:rsid w:val="00872967"/>
    <w:rsid w:val="00874573"/>
    <w:rsid w:val="008813AE"/>
    <w:rsid w:val="008814CE"/>
    <w:rsid w:val="008824F2"/>
    <w:rsid w:val="00882E07"/>
    <w:rsid w:val="00885B92"/>
    <w:rsid w:val="00887877"/>
    <w:rsid w:val="0089154B"/>
    <w:rsid w:val="00891879"/>
    <w:rsid w:val="0089226F"/>
    <w:rsid w:val="008939D0"/>
    <w:rsid w:val="00893C1B"/>
    <w:rsid w:val="00895808"/>
    <w:rsid w:val="00895D0C"/>
    <w:rsid w:val="00895EFD"/>
    <w:rsid w:val="008A0030"/>
    <w:rsid w:val="008A32E3"/>
    <w:rsid w:val="008A384F"/>
    <w:rsid w:val="008A3FFD"/>
    <w:rsid w:val="008A41F0"/>
    <w:rsid w:val="008A7AED"/>
    <w:rsid w:val="008A7F29"/>
    <w:rsid w:val="008B08EA"/>
    <w:rsid w:val="008B1399"/>
    <w:rsid w:val="008B1BE6"/>
    <w:rsid w:val="008B1D86"/>
    <w:rsid w:val="008B3AED"/>
    <w:rsid w:val="008B3D89"/>
    <w:rsid w:val="008B5E98"/>
    <w:rsid w:val="008B6DA2"/>
    <w:rsid w:val="008B726C"/>
    <w:rsid w:val="008B78FE"/>
    <w:rsid w:val="008C0E28"/>
    <w:rsid w:val="008C140F"/>
    <w:rsid w:val="008C227D"/>
    <w:rsid w:val="008C24F5"/>
    <w:rsid w:val="008C2E58"/>
    <w:rsid w:val="008C2F0D"/>
    <w:rsid w:val="008C4EF0"/>
    <w:rsid w:val="008C5E34"/>
    <w:rsid w:val="008C7A93"/>
    <w:rsid w:val="008D074F"/>
    <w:rsid w:val="008D09C9"/>
    <w:rsid w:val="008D1ABC"/>
    <w:rsid w:val="008D3C76"/>
    <w:rsid w:val="008D5E0A"/>
    <w:rsid w:val="008D6441"/>
    <w:rsid w:val="008D69A1"/>
    <w:rsid w:val="008E1A46"/>
    <w:rsid w:val="008E20F0"/>
    <w:rsid w:val="008E22AE"/>
    <w:rsid w:val="008E36E9"/>
    <w:rsid w:val="008E4942"/>
    <w:rsid w:val="008E57D5"/>
    <w:rsid w:val="008E66CA"/>
    <w:rsid w:val="008E67FF"/>
    <w:rsid w:val="008E79A9"/>
    <w:rsid w:val="008F0E87"/>
    <w:rsid w:val="008F129F"/>
    <w:rsid w:val="008F290B"/>
    <w:rsid w:val="008F3091"/>
    <w:rsid w:val="008F3981"/>
    <w:rsid w:val="008F3A0C"/>
    <w:rsid w:val="008F40BF"/>
    <w:rsid w:val="008F456D"/>
    <w:rsid w:val="00901026"/>
    <w:rsid w:val="0090269B"/>
    <w:rsid w:val="00905A6C"/>
    <w:rsid w:val="00906BB7"/>
    <w:rsid w:val="00910590"/>
    <w:rsid w:val="00911554"/>
    <w:rsid w:val="009121CD"/>
    <w:rsid w:val="009124E2"/>
    <w:rsid w:val="00912972"/>
    <w:rsid w:val="00915187"/>
    <w:rsid w:val="0091617E"/>
    <w:rsid w:val="0091711B"/>
    <w:rsid w:val="0092000F"/>
    <w:rsid w:val="00920AB6"/>
    <w:rsid w:val="00920C93"/>
    <w:rsid w:val="00922AB8"/>
    <w:rsid w:val="00923C08"/>
    <w:rsid w:val="009263A5"/>
    <w:rsid w:val="0092775D"/>
    <w:rsid w:val="00930176"/>
    <w:rsid w:val="00930CDA"/>
    <w:rsid w:val="00931066"/>
    <w:rsid w:val="00933110"/>
    <w:rsid w:val="00933180"/>
    <w:rsid w:val="009331C0"/>
    <w:rsid w:val="009334DC"/>
    <w:rsid w:val="00934E96"/>
    <w:rsid w:val="00935D73"/>
    <w:rsid w:val="00936835"/>
    <w:rsid w:val="00937F9A"/>
    <w:rsid w:val="00940DA7"/>
    <w:rsid w:val="00940EE8"/>
    <w:rsid w:val="00943E95"/>
    <w:rsid w:val="00944A50"/>
    <w:rsid w:val="00945452"/>
    <w:rsid w:val="00946C6A"/>
    <w:rsid w:val="00947E41"/>
    <w:rsid w:val="0095002C"/>
    <w:rsid w:val="0095124B"/>
    <w:rsid w:val="00951A7E"/>
    <w:rsid w:val="00953CD9"/>
    <w:rsid w:val="00954FAF"/>
    <w:rsid w:val="009555C8"/>
    <w:rsid w:val="00955E07"/>
    <w:rsid w:val="00956852"/>
    <w:rsid w:val="00957F17"/>
    <w:rsid w:val="00960575"/>
    <w:rsid w:val="00962B93"/>
    <w:rsid w:val="0096580A"/>
    <w:rsid w:val="009679B2"/>
    <w:rsid w:val="009710B8"/>
    <w:rsid w:val="0097129D"/>
    <w:rsid w:val="009722EE"/>
    <w:rsid w:val="00972EAF"/>
    <w:rsid w:val="009733F9"/>
    <w:rsid w:val="00974A40"/>
    <w:rsid w:val="0098060F"/>
    <w:rsid w:val="00980EB4"/>
    <w:rsid w:val="00982664"/>
    <w:rsid w:val="00983E4D"/>
    <w:rsid w:val="009844AC"/>
    <w:rsid w:val="00984ADE"/>
    <w:rsid w:val="00984F82"/>
    <w:rsid w:val="009854B8"/>
    <w:rsid w:val="00986708"/>
    <w:rsid w:val="009903DA"/>
    <w:rsid w:val="00990644"/>
    <w:rsid w:val="0099129B"/>
    <w:rsid w:val="009927E9"/>
    <w:rsid w:val="00992E93"/>
    <w:rsid w:val="0099393C"/>
    <w:rsid w:val="00993E5C"/>
    <w:rsid w:val="009942AA"/>
    <w:rsid w:val="009951BF"/>
    <w:rsid w:val="00995B88"/>
    <w:rsid w:val="009A1895"/>
    <w:rsid w:val="009A3EA3"/>
    <w:rsid w:val="009A4019"/>
    <w:rsid w:val="009A4169"/>
    <w:rsid w:val="009A7274"/>
    <w:rsid w:val="009A7798"/>
    <w:rsid w:val="009A7A9C"/>
    <w:rsid w:val="009B0541"/>
    <w:rsid w:val="009B11C8"/>
    <w:rsid w:val="009B23FC"/>
    <w:rsid w:val="009B2498"/>
    <w:rsid w:val="009B2E5E"/>
    <w:rsid w:val="009B5ADC"/>
    <w:rsid w:val="009B6370"/>
    <w:rsid w:val="009B6D89"/>
    <w:rsid w:val="009B75CC"/>
    <w:rsid w:val="009B7792"/>
    <w:rsid w:val="009B7C56"/>
    <w:rsid w:val="009C0CBA"/>
    <w:rsid w:val="009C10BC"/>
    <w:rsid w:val="009C19A4"/>
    <w:rsid w:val="009C1E78"/>
    <w:rsid w:val="009C3F17"/>
    <w:rsid w:val="009C4DA7"/>
    <w:rsid w:val="009C5916"/>
    <w:rsid w:val="009C6A70"/>
    <w:rsid w:val="009C7165"/>
    <w:rsid w:val="009D01AA"/>
    <w:rsid w:val="009D1A62"/>
    <w:rsid w:val="009D2125"/>
    <w:rsid w:val="009D2A72"/>
    <w:rsid w:val="009D3D0F"/>
    <w:rsid w:val="009D587D"/>
    <w:rsid w:val="009D77D7"/>
    <w:rsid w:val="009E0A48"/>
    <w:rsid w:val="009E15B7"/>
    <w:rsid w:val="009E2412"/>
    <w:rsid w:val="009E31B9"/>
    <w:rsid w:val="009E3D20"/>
    <w:rsid w:val="009E46D8"/>
    <w:rsid w:val="009E515C"/>
    <w:rsid w:val="009E6DD1"/>
    <w:rsid w:val="009F057F"/>
    <w:rsid w:val="009F0813"/>
    <w:rsid w:val="009F0EF0"/>
    <w:rsid w:val="009F2EBA"/>
    <w:rsid w:val="009F2EFC"/>
    <w:rsid w:val="009F5D2C"/>
    <w:rsid w:val="009F64AB"/>
    <w:rsid w:val="009F6E4F"/>
    <w:rsid w:val="00A00233"/>
    <w:rsid w:val="00A00883"/>
    <w:rsid w:val="00A00BBC"/>
    <w:rsid w:val="00A011E6"/>
    <w:rsid w:val="00A0186A"/>
    <w:rsid w:val="00A05FCE"/>
    <w:rsid w:val="00A06954"/>
    <w:rsid w:val="00A07538"/>
    <w:rsid w:val="00A102B3"/>
    <w:rsid w:val="00A1195F"/>
    <w:rsid w:val="00A12970"/>
    <w:rsid w:val="00A13DA0"/>
    <w:rsid w:val="00A13ECE"/>
    <w:rsid w:val="00A13F1F"/>
    <w:rsid w:val="00A15466"/>
    <w:rsid w:val="00A17833"/>
    <w:rsid w:val="00A17BD8"/>
    <w:rsid w:val="00A20B41"/>
    <w:rsid w:val="00A2100A"/>
    <w:rsid w:val="00A21B3C"/>
    <w:rsid w:val="00A221A7"/>
    <w:rsid w:val="00A22654"/>
    <w:rsid w:val="00A22A22"/>
    <w:rsid w:val="00A23324"/>
    <w:rsid w:val="00A23761"/>
    <w:rsid w:val="00A23FB4"/>
    <w:rsid w:val="00A2558D"/>
    <w:rsid w:val="00A25D48"/>
    <w:rsid w:val="00A273C1"/>
    <w:rsid w:val="00A27C27"/>
    <w:rsid w:val="00A3028A"/>
    <w:rsid w:val="00A32DB9"/>
    <w:rsid w:val="00A32F15"/>
    <w:rsid w:val="00A33865"/>
    <w:rsid w:val="00A340F6"/>
    <w:rsid w:val="00A40B26"/>
    <w:rsid w:val="00A423E5"/>
    <w:rsid w:val="00A42DAC"/>
    <w:rsid w:val="00A430BE"/>
    <w:rsid w:val="00A44ABF"/>
    <w:rsid w:val="00A456A0"/>
    <w:rsid w:val="00A464F4"/>
    <w:rsid w:val="00A46636"/>
    <w:rsid w:val="00A5072F"/>
    <w:rsid w:val="00A5101A"/>
    <w:rsid w:val="00A54CA2"/>
    <w:rsid w:val="00A551C5"/>
    <w:rsid w:val="00A56C35"/>
    <w:rsid w:val="00A607A2"/>
    <w:rsid w:val="00A6152E"/>
    <w:rsid w:val="00A6262A"/>
    <w:rsid w:val="00A626BF"/>
    <w:rsid w:val="00A627A1"/>
    <w:rsid w:val="00A639A6"/>
    <w:rsid w:val="00A639E0"/>
    <w:rsid w:val="00A659D3"/>
    <w:rsid w:val="00A65BB4"/>
    <w:rsid w:val="00A701B1"/>
    <w:rsid w:val="00A7060D"/>
    <w:rsid w:val="00A722F5"/>
    <w:rsid w:val="00A72EFF"/>
    <w:rsid w:val="00A81554"/>
    <w:rsid w:val="00A81969"/>
    <w:rsid w:val="00A81B90"/>
    <w:rsid w:val="00A83676"/>
    <w:rsid w:val="00A83F91"/>
    <w:rsid w:val="00A85EF5"/>
    <w:rsid w:val="00A86718"/>
    <w:rsid w:val="00A8698A"/>
    <w:rsid w:val="00A869D1"/>
    <w:rsid w:val="00A941BE"/>
    <w:rsid w:val="00A9459E"/>
    <w:rsid w:val="00A94A34"/>
    <w:rsid w:val="00A953F4"/>
    <w:rsid w:val="00A9666B"/>
    <w:rsid w:val="00A96697"/>
    <w:rsid w:val="00A972FF"/>
    <w:rsid w:val="00A97444"/>
    <w:rsid w:val="00A97C0C"/>
    <w:rsid w:val="00AA0E6C"/>
    <w:rsid w:val="00AA115A"/>
    <w:rsid w:val="00AA208B"/>
    <w:rsid w:val="00AA3BE5"/>
    <w:rsid w:val="00AA3F58"/>
    <w:rsid w:val="00AA4D4E"/>
    <w:rsid w:val="00AA5293"/>
    <w:rsid w:val="00AA52A9"/>
    <w:rsid w:val="00AB0BEE"/>
    <w:rsid w:val="00AB1BC9"/>
    <w:rsid w:val="00AB1E2C"/>
    <w:rsid w:val="00AB2D45"/>
    <w:rsid w:val="00AB3DD5"/>
    <w:rsid w:val="00AB68BC"/>
    <w:rsid w:val="00AB6916"/>
    <w:rsid w:val="00AC2E2E"/>
    <w:rsid w:val="00AC42B9"/>
    <w:rsid w:val="00AC5892"/>
    <w:rsid w:val="00AC5C74"/>
    <w:rsid w:val="00AC6062"/>
    <w:rsid w:val="00AC76F7"/>
    <w:rsid w:val="00AC7AD5"/>
    <w:rsid w:val="00AD0E42"/>
    <w:rsid w:val="00AD2F80"/>
    <w:rsid w:val="00AD3394"/>
    <w:rsid w:val="00AD3A1F"/>
    <w:rsid w:val="00AD4532"/>
    <w:rsid w:val="00AD785D"/>
    <w:rsid w:val="00AE065B"/>
    <w:rsid w:val="00AE1878"/>
    <w:rsid w:val="00AE1AD3"/>
    <w:rsid w:val="00AE2B37"/>
    <w:rsid w:val="00AE2D1F"/>
    <w:rsid w:val="00AE5883"/>
    <w:rsid w:val="00AE5A58"/>
    <w:rsid w:val="00AE7FCC"/>
    <w:rsid w:val="00AF071E"/>
    <w:rsid w:val="00AF09BE"/>
    <w:rsid w:val="00AF09DE"/>
    <w:rsid w:val="00AF324D"/>
    <w:rsid w:val="00AF370C"/>
    <w:rsid w:val="00AF3740"/>
    <w:rsid w:val="00AF3A96"/>
    <w:rsid w:val="00AF4BC6"/>
    <w:rsid w:val="00AF50CE"/>
    <w:rsid w:val="00AF5177"/>
    <w:rsid w:val="00AF5B23"/>
    <w:rsid w:val="00AF6565"/>
    <w:rsid w:val="00B0027E"/>
    <w:rsid w:val="00B007AE"/>
    <w:rsid w:val="00B009CE"/>
    <w:rsid w:val="00B014D9"/>
    <w:rsid w:val="00B015E2"/>
    <w:rsid w:val="00B03359"/>
    <w:rsid w:val="00B04FEC"/>
    <w:rsid w:val="00B05BA8"/>
    <w:rsid w:val="00B06CB3"/>
    <w:rsid w:val="00B0786C"/>
    <w:rsid w:val="00B07AF1"/>
    <w:rsid w:val="00B121FD"/>
    <w:rsid w:val="00B125B0"/>
    <w:rsid w:val="00B1319B"/>
    <w:rsid w:val="00B13249"/>
    <w:rsid w:val="00B158BA"/>
    <w:rsid w:val="00B15BE5"/>
    <w:rsid w:val="00B20176"/>
    <w:rsid w:val="00B21324"/>
    <w:rsid w:val="00B228D8"/>
    <w:rsid w:val="00B23E0D"/>
    <w:rsid w:val="00B24846"/>
    <w:rsid w:val="00B24B0E"/>
    <w:rsid w:val="00B24BEF"/>
    <w:rsid w:val="00B25F18"/>
    <w:rsid w:val="00B27AC5"/>
    <w:rsid w:val="00B27B21"/>
    <w:rsid w:val="00B30622"/>
    <w:rsid w:val="00B30F34"/>
    <w:rsid w:val="00B312A4"/>
    <w:rsid w:val="00B320B6"/>
    <w:rsid w:val="00B33326"/>
    <w:rsid w:val="00B33D0E"/>
    <w:rsid w:val="00B34773"/>
    <w:rsid w:val="00B34B73"/>
    <w:rsid w:val="00B36CAA"/>
    <w:rsid w:val="00B40A7D"/>
    <w:rsid w:val="00B4191B"/>
    <w:rsid w:val="00B43D79"/>
    <w:rsid w:val="00B441E0"/>
    <w:rsid w:val="00B4591A"/>
    <w:rsid w:val="00B47675"/>
    <w:rsid w:val="00B47E34"/>
    <w:rsid w:val="00B5093B"/>
    <w:rsid w:val="00B5169A"/>
    <w:rsid w:val="00B532E8"/>
    <w:rsid w:val="00B54BFE"/>
    <w:rsid w:val="00B55367"/>
    <w:rsid w:val="00B55B6C"/>
    <w:rsid w:val="00B55EFA"/>
    <w:rsid w:val="00B55FCE"/>
    <w:rsid w:val="00B56873"/>
    <w:rsid w:val="00B60093"/>
    <w:rsid w:val="00B63438"/>
    <w:rsid w:val="00B67E52"/>
    <w:rsid w:val="00B72F66"/>
    <w:rsid w:val="00B741AA"/>
    <w:rsid w:val="00B75A1B"/>
    <w:rsid w:val="00B76D13"/>
    <w:rsid w:val="00B76DFD"/>
    <w:rsid w:val="00B77372"/>
    <w:rsid w:val="00B801BD"/>
    <w:rsid w:val="00B8051E"/>
    <w:rsid w:val="00B818CC"/>
    <w:rsid w:val="00B82931"/>
    <w:rsid w:val="00B836A8"/>
    <w:rsid w:val="00B83DF6"/>
    <w:rsid w:val="00B8450C"/>
    <w:rsid w:val="00B85728"/>
    <w:rsid w:val="00B87F3F"/>
    <w:rsid w:val="00B90C89"/>
    <w:rsid w:val="00B91D88"/>
    <w:rsid w:val="00B925BD"/>
    <w:rsid w:val="00B92944"/>
    <w:rsid w:val="00B92D34"/>
    <w:rsid w:val="00B9366C"/>
    <w:rsid w:val="00B9675F"/>
    <w:rsid w:val="00B9713F"/>
    <w:rsid w:val="00B97D43"/>
    <w:rsid w:val="00BA30E6"/>
    <w:rsid w:val="00BA6E9B"/>
    <w:rsid w:val="00BA7F8F"/>
    <w:rsid w:val="00BB15FA"/>
    <w:rsid w:val="00BB189E"/>
    <w:rsid w:val="00BB1A94"/>
    <w:rsid w:val="00BB257F"/>
    <w:rsid w:val="00BB4415"/>
    <w:rsid w:val="00BB6A91"/>
    <w:rsid w:val="00BB6FEC"/>
    <w:rsid w:val="00BC41E8"/>
    <w:rsid w:val="00BC4F5B"/>
    <w:rsid w:val="00BC68ED"/>
    <w:rsid w:val="00BD0360"/>
    <w:rsid w:val="00BD112F"/>
    <w:rsid w:val="00BD14B8"/>
    <w:rsid w:val="00BD4E00"/>
    <w:rsid w:val="00BD50B6"/>
    <w:rsid w:val="00BD5B5B"/>
    <w:rsid w:val="00BD64A7"/>
    <w:rsid w:val="00BD6AEF"/>
    <w:rsid w:val="00BE2E54"/>
    <w:rsid w:val="00BE3DDA"/>
    <w:rsid w:val="00BE410C"/>
    <w:rsid w:val="00BE472A"/>
    <w:rsid w:val="00BE52F2"/>
    <w:rsid w:val="00BE6946"/>
    <w:rsid w:val="00BE701A"/>
    <w:rsid w:val="00BF0406"/>
    <w:rsid w:val="00BF2A85"/>
    <w:rsid w:val="00BF44A2"/>
    <w:rsid w:val="00BF55B5"/>
    <w:rsid w:val="00BF7FC2"/>
    <w:rsid w:val="00C00C03"/>
    <w:rsid w:val="00C03985"/>
    <w:rsid w:val="00C043B7"/>
    <w:rsid w:val="00C1202F"/>
    <w:rsid w:val="00C12128"/>
    <w:rsid w:val="00C12762"/>
    <w:rsid w:val="00C130A6"/>
    <w:rsid w:val="00C2196C"/>
    <w:rsid w:val="00C22E66"/>
    <w:rsid w:val="00C24A4C"/>
    <w:rsid w:val="00C268BE"/>
    <w:rsid w:val="00C276B3"/>
    <w:rsid w:val="00C314EE"/>
    <w:rsid w:val="00C31D0F"/>
    <w:rsid w:val="00C3306A"/>
    <w:rsid w:val="00C333FF"/>
    <w:rsid w:val="00C33471"/>
    <w:rsid w:val="00C35CD5"/>
    <w:rsid w:val="00C35E32"/>
    <w:rsid w:val="00C3604B"/>
    <w:rsid w:val="00C36926"/>
    <w:rsid w:val="00C405EE"/>
    <w:rsid w:val="00C44A10"/>
    <w:rsid w:val="00C45289"/>
    <w:rsid w:val="00C4563A"/>
    <w:rsid w:val="00C46E6A"/>
    <w:rsid w:val="00C50DD7"/>
    <w:rsid w:val="00C51C8C"/>
    <w:rsid w:val="00C55ACA"/>
    <w:rsid w:val="00C5670D"/>
    <w:rsid w:val="00C579A9"/>
    <w:rsid w:val="00C57D42"/>
    <w:rsid w:val="00C60F0A"/>
    <w:rsid w:val="00C612F9"/>
    <w:rsid w:val="00C61754"/>
    <w:rsid w:val="00C63535"/>
    <w:rsid w:val="00C63745"/>
    <w:rsid w:val="00C65354"/>
    <w:rsid w:val="00C656F3"/>
    <w:rsid w:val="00C6575C"/>
    <w:rsid w:val="00C65EB6"/>
    <w:rsid w:val="00C6757A"/>
    <w:rsid w:val="00C717BA"/>
    <w:rsid w:val="00C71AC6"/>
    <w:rsid w:val="00C72D17"/>
    <w:rsid w:val="00C73B94"/>
    <w:rsid w:val="00C75858"/>
    <w:rsid w:val="00C76663"/>
    <w:rsid w:val="00C8003B"/>
    <w:rsid w:val="00C823B0"/>
    <w:rsid w:val="00C8375A"/>
    <w:rsid w:val="00C83FAD"/>
    <w:rsid w:val="00C87178"/>
    <w:rsid w:val="00C9066E"/>
    <w:rsid w:val="00C93263"/>
    <w:rsid w:val="00C94991"/>
    <w:rsid w:val="00C96417"/>
    <w:rsid w:val="00C9670D"/>
    <w:rsid w:val="00C96B30"/>
    <w:rsid w:val="00CA0464"/>
    <w:rsid w:val="00CA2E55"/>
    <w:rsid w:val="00CA3962"/>
    <w:rsid w:val="00CA41B8"/>
    <w:rsid w:val="00CA43BD"/>
    <w:rsid w:val="00CA700C"/>
    <w:rsid w:val="00CA723B"/>
    <w:rsid w:val="00CA7EBE"/>
    <w:rsid w:val="00CB1D51"/>
    <w:rsid w:val="00CB1D5E"/>
    <w:rsid w:val="00CB2C30"/>
    <w:rsid w:val="00CB5A52"/>
    <w:rsid w:val="00CB6188"/>
    <w:rsid w:val="00CB6B44"/>
    <w:rsid w:val="00CB70E5"/>
    <w:rsid w:val="00CC150A"/>
    <w:rsid w:val="00CC1C93"/>
    <w:rsid w:val="00CC23AB"/>
    <w:rsid w:val="00CC2C52"/>
    <w:rsid w:val="00CC32EC"/>
    <w:rsid w:val="00CC4416"/>
    <w:rsid w:val="00CC5FAC"/>
    <w:rsid w:val="00CC60D7"/>
    <w:rsid w:val="00CC73E1"/>
    <w:rsid w:val="00CD073C"/>
    <w:rsid w:val="00CD0D19"/>
    <w:rsid w:val="00CD2B29"/>
    <w:rsid w:val="00CD3ED3"/>
    <w:rsid w:val="00CD4459"/>
    <w:rsid w:val="00CD683B"/>
    <w:rsid w:val="00CD6EEB"/>
    <w:rsid w:val="00CD7E17"/>
    <w:rsid w:val="00CE00E1"/>
    <w:rsid w:val="00CE1408"/>
    <w:rsid w:val="00CE1A04"/>
    <w:rsid w:val="00CE231E"/>
    <w:rsid w:val="00CE3109"/>
    <w:rsid w:val="00CE3A4C"/>
    <w:rsid w:val="00CE3DEB"/>
    <w:rsid w:val="00CE5507"/>
    <w:rsid w:val="00CE6C84"/>
    <w:rsid w:val="00CF0A47"/>
    <w:rsid w:val="00CF11CF"/>
    <w:rsid w:val="00CF18D8"/>
    <w:rsid w:val="00CF4F69"/>
    <w:rsid w:val="00CF5CE9"/>
    <w:rsid w:val="00CF5E0F"/>
    <w:rsid w:val="00CF699C"/>
    <w:rsid w:val="00CF77D9"/>
    <w:rsid w:val="00CF7DBF"/>
    <w:rsid w:val="00D013F0"/>
    <w:rsid w:val="00D01A38"/>
    <w:rsid w:val="00D01FF7"/>
    <w:rsid w:val="00D02AA8"/>
    <w:rsid w:val="00D05048"/>
    <w:rsid w:val="00D054BC"/>
    <w:rsid w:val="00D05574"/>
    <w:rsid w:val="00D05BBC"/>
    <w:rsid w:val="00D063DA"/>
    <w:rsid w:val="00D06617"/>
    <w:rsid w:val="00D06678"/>
    <w:rsid w:val="00D06F1D"/>
    <w:rsid w:val="00D1224E"/>
    <w:rsid w:val="00D1465B"/>
    <w:rsid w:val="00D14984"/>
    <w:rsid w:val="00D15EC5"/>
    <w:rsid w:val="00D16A0A"/>
    <w:rsid w:val="00D2033F"/>
    <w:rsid w:val="00D21229"/>
    <w:rsid w:val="00D21B87"/>
    <w:rsid w:val="00D21BED"/>
    <w:rsid w:val="00D21DA1"/>
    <w:rsid w:val="00D2602C"/>
    <w:rsid w:val="00D26529"/>
    <w:rsid w:val="00D2732D"/>
    <w:rsid w:val="00D30A56"/>
    <w:rsid w:val="00D31B90"/>
    <w:rsid w:val="00D31ED6"/>
    <w:rsid w:val="00D34660"/>
    <w:rsid w:val="00D3639E"/>
    <w:rsid w:val="00D36659"/>
    <w:rsid w:val="00D403FA"/>
    <w:rsid w:val="00D43234"/>
    <w:rsid w:val="00D43DAD"/>
    <w:rsid w:val="00D467E0"/>
    <w:rsid w:val="00D46E0B"/>
    <w:rsid w:val="00D47C43"/>
    <w:rsid w:val="00D50101"/>
    <w:rsid w:val="00D50182"/>
    <w:rsid w:val="00D543F0"/>
    <w:rsid w:val="00D566F3"/>
    <w:rsid w:val="00D601E7"/>
    <w:rsid w:val="00D606C2"/>
    <w:rsid w:val="00D60AFD"/>
    <w:rsid w:val="00D63E35"/>
    <w:rsid w:val="00D64DE6"/>
    <w:rsid w:val="00D64E9B"/>
    <w:rsid w:val="00D65567"/>
    <w:rsid w:val="00D67409"/>
    <w:rsid w:val="00D716C2"/>
    <w:rsid w:val="00D734AE"/>
    <w:rsid w:val="00D73A62"/>
    <w:rsid w:val="00D766A3"/>
    <w:rsid w:val="00D806B2"/>
    <w:rsid w:val="00D80A2A"/>
    <w:rsid w:val="00D818FA"/>
    <w:rsid w:val="00D83658"/>
    <w:rsid w:val="00D83C5E"/>
    <w:rsid w:val="00D83E7E"/>
    <w:rsid w:val="00D83F5E"/>
    <w:rsid w:val="00D842FB"/>
    <w:rsid w:val="00D84535"/>
    <w:rsid w:val="00D8471D"/>
    <w:rsid w:val="00D86378"/>
    <w:rsid w:val="00D871F8"/>
    <w:rsid w:val="00D90FDA"/>
    <w:rsid w:val="00D91E68"/>
    <w:rsid w:val="00D921E1"/>
    <w:rsid w:val="00D92342"/>
    <w:rsid w:val="00D9237B"/>
    <w:rsid w:val="00D94B9F"/>
    <w:rsid w:val="00D95290"/>
    <w:rsid w:val="00D95A1C"/>
    <w:rsid w:val="00D96C54"/>
    <w:rsid w:val="00D96D07"/>
    <w:rsid w:val="00DA3691"/>
    <w:rsid w:val="00DA5D24"/>
    <w:rsid w:val="00DA5D25"/>
    <w:rsid w:val="00DA70C7"/>
    <w:rsid w:val="00DB00F5"/>
    <w:rsid w:val="00DB08E0"/>
    <w:rsid w:val="00DB0F93"/>
    <w:rsid w:val="00DB22A9"/>
    <w:rsid w:val="00DB2C8E"/>
    <w:rsid w:val="00DB3914"/>
    <w:rsid w:val="00DB551C"/>
    <w:rsid w:val="00DB65DC"/>
    <w:rsid w:val="00DC0619"/>
    <w:rsid w:val="00DC0F5C"/>
    <w:rsid w:val="00DC2527"/>
    <w:rsid w:val="00DC4041"/>
    <w:rsid w:val="00DC43F9"/>
    <w:rsid w:val="00DC675D"/>
    <w:rsid w:val="00DC6B73"/>
    <w:rsid w:val="00DC6E8F"/>
    <w:rsid w:val="00DC706F"/>
    <w:rsid w:val="00DD0224"/>
    <w:rsid w:val="00DD05E5"/>
    <w:rsid w:val="00DD1BF2"/>
    <w:rsid w:val="00DD2345"/>
    <w:rsid w:val="00DD2719"/>
    <w:rsid w:val="00DD2EF5"/>
    <w:rsid w:val="00DD2F9D"/>
    <w:rsid w:val="00DD403C"/>
    <w:rsid w:val="00DD58B0"/>
    <w:rsid w:val="00DD5A2A"/>
    <w:rsid w:val="00DD5A53"/>
    <w:rsid w:val="00DD5D2A"/>
    <w:rsid w:val="00DD5F4C"/>
    <w:rsid w:val="00DD61FA"/>
    <w:rsid w:val="00DD6888"/>
    <w:rsid w:val="00DD6B0F"/>
    <w:rsid w:val="00DD6F5F"/>
    <w:rsid w:val="00DE05D3"/>
    <w:rsid w:val="00DE2579"/>
    <w:rsid w:val="00DE6B05"/>
    <w:rsid w:val="00DE7920"/>
    <w:rsid w:val="00DE7B21"/>
    <w:rsid w:val="00DF23AD"/>
    <w:rsid w:val="00DF38FC"/>
    <w:rsid w:val="00DF45A1"/>
    <w:rsid w:val="00DF505D"/>
    <w:rsid w:val="00DF7EBD"/>
    <w:rsid w:val="00E001F1"/>
    <w:rsid w:val="00E007F4"/>
    <w:rsid w:val="00E01354"/>
    <w:rsid w:val="00E0197E"/>
    <w:rsid w:val="00E023CE"/>
    <w:rsid w:val="00E038BD"/>
    <w:rsid w:val="00E04E7F"/>
    <w:rsid w:val="00E10B48"/>
    <w:rsid w:val="00E10E39"/>
    <w:rsid w:val="00E12023"/>
    <w:rsid w:val="00E139C4"/>
    <w:rsid w:val="00E15402"/>
    <w:rsid w:val="00E15857"/>
    <w:rsid w:val="00E16636"/>
    <w:rsid w:val="00E16798"/>
    <w:rsid w:val="00E1706C"/>
    <w:rsid w:val="00E20CE2"/>
    <w:rsid w:val="00E2128F"/>
    <w:rsid w:val="00E21799"/>
    <w:rsid w:val="00E220F2"/>
    <w:rsid w:val="00E24921"/>
    <w:rsid w:val="00E31366"/>
    <w:rsid w:val="00E3477A"/>
    <w:rsid w:val="00E35D18"/>
    <w:rsid w:val="00E37130"/>
    <w:rsid w:val="00E37D8E"/>
    <w:rsid w:val="00E40CA0"/>
    <w:rsid w:val="00E41640"/>
    <w:rsid w:val="00E4208A"/>
    <w:rsid w:val="00E43C54"/>
    <w:rsid w:val="00E44299"/>
    <w:rsid w:val="00E448A9"/>
    <w:rsid w:val="00E457DF"/>
    <w:rsid w:val="00E45900"/>
    <w:rsid w:val="00E507BD"/>
    <w:rsid w:val="00E510C4"/>
    <w:rsid w:val="00E519B5"/>
    <w:rsid w:val="00E532CF"/>
    <w:rsid w:val="00E53ACB"/>
    <w:rsid w:val="00E54463"/>
    <w:rsid w:val="00E5465E"/>
    <w:rsid w:val="00E54B8E"/>
    <w:rsid w:val="00E5597E"/>
    <w:rsid w:val="00E55E19"/>
    <w:rsid w:val="00E57609"/>
    <w:rsid w:val="00E600C2"/>
    <w:rsid w:val="00E60EF8"/>
    <w:rsid w:val="00E6198F"/>
    <w:rsid w:val="00E62A0C"/>
    <w:rsid w:val="00E6393D"/>
    <w:rsid w:val="00E64A10"/>
    <w:rsid w:val="00E64F9D"/>
    <w:rsid w:val="00E6576A"/>
    <w:rsid w:val="00E65FC7"/>
    <w:rsid w:val="00E66387"/>
    <w:rsid w:val="00E666DE"/>
    <w:rsid w:val="00E6679D"/>
    <w:rsid w:val="00E70296"/>
    <w:rsid w:val="00E703C8"/>
    <w:rsid w:val="00E711F9"/>
    <w:rsid w:val="00E7127F"/>
    <w:rsid w:val="00E723C2"/>
    <w:rsid w:val="00E73194"/>
    <w:rsid w:val="00E73BA7"/>
    <w:rsid w:val="00E757C5"/>
    <w:rsid w:val="00E7584F"/>
    <w:rsid w:val="00E75D41"/>
    <w:rsid w:val="00E76694"/>
    <w:rsid w:val="00E77A39"/>
    <w:rsid w:val="00E81D45"/>
    <w:rsid w:val="00E81E7F"/>
    <w:rsid w:val="00E8209A"/>
    <w:rsid w:val="00E8276B"/>
    <w:rsid w:val="00E83006"/>
    <w:rsid w:val="00E83FE4"/>
    <w:rsid w:val="00E8446E"/>
    <w:rsid w:val="00E85B10"/>
    <w:rsid w:val="00E85CD4"/>
    <w:rsid w:val="00E85D3C"/>
    <w:rsid w:val="00E8706F"/>
    <w:rsid w:val="00E91114"/>
    <w:rsid w:val="00E915F2"/>
    <w:rsid w:val="00E91F7A"/>
    <w:rsid w:val="00E922AD"/>
    <w:rsid w:val="00E92DAA"/>
    <w:rsid w:val="00E94BC9"/>
    <w:rsid w:val="00E95744"/>
    <w:rsid w:val="00E971B6"/>
    <w:rsid w:val="00EA096B"/>
    <w:rsid w:val="00EA0B85"/>
    <w:rsid w:val="00EA0B91"/>
    <w:rsid w:val="00EA0E6C"/>
    <w:rsid w:val="00EA1E21"/>
    <w:rsid w:val="00EA4278"/>
    <w:rsid w:val="00EA61BE"/>
    <w:rsid w:val="00EA6C6C"/>
    <w:rsid w:val="00EA7FA3"/>
    <w:rsid w:val="00EB15B6"/>
    <w:rsid w:val="00EB3D62"/>
    <w:rsid w:val="00EB4130"/>
    <w:rsid w:val="00EB61BF"/>
    <w:rsid w:val="00EC04A5"/>
    <w:rsid w:val="00EC090F"/>
    <w:rsid w:val="00EC4ECD"/>
    <w:rsid w:val="00EC5135"/>
    <w:rsid w:val="00ED0799"/>
    <w:rsid w:val="00ED1B1E"/>
    <w:rsid w:val="00ED3C05"/>
    <w:rsid w:val="00ED66F3"/>
    <w:rsid w:val="00ED7592"/>
    <w:rsid w:val="00ED76A0"/>
    <w:rsid w:val="00EE14F6"/>
    <w:rsid w:val="00EE1988"/>
    <w:rsid w:val="00EE1D02"/>
    <w:rsid w:val="00EE1E49"/>
    <w:rsid w:val="00EE22D1"/>
    <w:rsid w:val="00EE252F"/>
    <w:rsid w:val="00EE3EE4"/>
    <w:rsid w:val="00EE49FB"/>
    <w:rsid w:val="00EE5288"/>
    <w:rsid w:val="00EE6CD3"/>
    <w:rsid w:val="00EF006C"/>
    <w:rsid w:val="00EF1BAA"/>
    <w:rsid w:val="00EF32AB"/>
    <w:rsid w:val="00EF33D8"/>
    <w:rsid w:val="00EF3782"/>
    <w:rsid w:val="00EF5D95"/>
    <w:rsid w:val="00EF636D"/>
    <w:rsid w:val="00F025CA"/>
    <w:rsid w:val="00F0276F"/>
    <w:rsid w:val="00F02FCC"/>
    <w:rsid w:val="00F054A5"/>
    <w:rsid w:val="00F102E0"/>
    <w:rsid w:val="00F1044A"/>
    <w:rsid w:val="00F114CA"/>
    <w:rsid w:val="00F118D4"/>
    <w:rsid w:val="00F12C10"/>
    <w:rsid w:val="00F145B1"/>
    <w:rsid w:val="00F14ED0"/>
    <w:rsid w:val="00F15ADC"/>
    <w:rsid w:val="00F1758D"/>
    <w:rsid w:val="00F203F0"/>
    <w:rsid w:val="00F2129E"/>
    <w:rsid w:val="00F21C2F"/>
    <w:rsid w:val="00F221E3"/>
    <w:rsid w:val="00F23AA7"/>
    <w:rsid w:val="00F25542"/>
    <w:rsid w:val="00F25AE5"/>
    <w:rsid w:val="00F30D2A"/>
    <w:rsid w:val="00F30E8D"/>
    <w:rsid w:val="00F312EF"/>
    <w:rsid w:val="00F325EA"/>
    <w:rsid w:val="00F331E7"/>
    <w:rsid w:val="00F333DD"/>
    <w:rsid w:val="00F343E4"/>
    <w:rsid w:val="00F34BC4"/>
    <w:rsid w:val="00F37393"/>
    <w:rsid w:val="00F40517"/>
    <w:rsid w:val="00F40785"/>
    <w:rsid w:val="00F40D0C"/>
    <w:rsid w:val="00F41600"/>
    <w:rsid w:val="00F418C1"/>
    <w:rsid w:val="00F42799"/>
    <w:rsid w:val="00F44450"/>
    <w:rsid w:val="00F44BBE"/>
    <w:rsid w:val="00F44C00"/>
    <w:rsid w:val="00F44C15"/>
    <w:rsid w:val="00F50337"/>
    <w:rsid w:val="00F543B7"/>
    <w:rsid w:val="00F54426"/>
    <w:rsid w:val="00F55CC8"/>
    <w:rsid w:val="00F5609F"/>
    <w:rsid w:val="00F56561"/>
    <w:rsid w:val="00F56712"/>
    <w:rsid w:val="00F57FBB"/>
    <w:rsid w:val="00F603BB"/>
    <w:rsid w:val="00F623EB"/>
    <w:rsid w:val="00F63E78"/>
    <w:rsid w:val="00F645AE"/>
    <w:rsid w:val="00F65A69"/>
    <w:rsid w:val="00F6684B"/>
    <w:rsid w:val="00F672D1"/>
    <w:rsid w:val="00F7111F"/>
    <w:rsid w:val="00F71F85"/>
    <w:rsid w:val="00F72341"/>
    <w:rsid w:val="00F72BD4"/>
    <w:rsid w:val="00F7326B"/>
    <w:rsid w:val="00F73DC3"/>
    <w:rsid w:val="00F7433E"/>
    <w:rsid w:val="00F774D4"/>
    <w:rsid w:val="00F8100A"/>
    <w:rsid w:val="00F81E9A"/>
    <w:rsid w:val="00F83ACE"/>
    <w:rsid w:val="00F84BB4"/>
    <w:rsid w:val="00F85517"/>
    <w:rsid w:val="00F86787"/>
    <w:rsid w:val="00F8678C"/>
    <w:rsid w:val="00F868BC"/>
    <w:rsid w:val="00F90BBB"/>
    <w:rsid w:val="00F91FF3"/>
    <w:rsid w:val="00F92E36"/>
    <w:rsid w:val="00F9536E"/>
    <w:rsid w:val="00F96DDF"/>
    <w:rsid w:val="00F97990"/>
    <w:rsid w:val="00FA32E9"/>
    <w:rsid w:val="00FA4293"/>
    <w:rsid w:val="00FA43A5"/>
    <w:rsid w:val="00FA5857"/>
    <w:rsid w:val="00FA5AB1"/>
    <w:rsid w:val="00FA6BAF"/>
    <w:rsid w:val="00FA6CB4"/>
    <w:rsid w:val="00FA7FE6"/>
    <w:rsid w:val="00FB18F9"/>
    <w:rsid w:val="00FB27CB"/>
    <w:rsid w:val="00FB39C7"/>
    <w:rsid w:val="00FB7AC5"/>
    <w:rsid w:val="00FC10C2"/>
    <w:rsid w:val="00FC2759"/>
    <w:rsid w:val="00FC29C3"/>
    <w:rsid w:val="00FC3577"/>
    <w:rsid w:val="00FC3F50"/>
    <w:rsid w:val="00FC4968"/>
    <w:rsid w:val="00FC53C9"/>
    <w:rsid w:val="00FC57C7"/>
    <w:rsid w:val="00FC5D2F"/>
    <w:rsid w:val="00FC6C95"/>
    <w:rsid w:val="00FC77D7"/>
    <w:rsid w:val="00FD0938"/>
    <w:rsid w:val="00FD44CC"/>
    <w:rsid w:val="00FD4BEC"/>
    <w:rsid w:val="00FD5FB7"/>
    <w:rsid w:val="00FD68D8"/>
    <w:rsid w:val="00FD69DA"/>
    <w:rsid w:val="00FE02C2"/>
    <w:rsid w:val="00FE1039"/>
    <w:rsid w:val="00FE1A2F"/>
    <w:rsid w:val="00FE2133"/>
    <w:rsid w:val="00FE252B"/>
    <w:rsid w:val="00FE5FFA"/>
    <w:rsid w:val="00FF11FE"/>
    <w:rsid w:val="00FF2B7D"/>
    <w:rsid w:val="00FF3438"/>
    <w:rsid w:val="00FF7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32C24"/>
  <w15:chartTrackingRefBased/>
  <w15:docId w15:val="{1309DCEA-94A6-4FC1-9DA6-9F153690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D95A1C"/>
  </w:style>
  <w:style w:type="paragraph" w:styleId="Nadpis1">
    <w:name w:val="heading 1"/>
    <w:basedOn w:val="ZPNadpis1"/>
    <w:next w:val="Odstavec1"/>
    <w:link w:val="Nadpis1Char"/>
    <w:uiPriority w:val="9"/>
    <w:qFormat/>
    <w:rsid w:val="00504943"/>
    <w:pPr>
      <w:numPr>
        <w:numId w:val="19"/>
      </w:numPr>
    </w:pPr>
  </w:style>
  <w:style w:type="paragraph" w:styleId="Nadpis2">
    <w:name w:val="heading 2"/>
    <w:basedOn w:val="ZPNadpis2"/>
    <w:next w:val="Odstavec1"/>
    <w:link w:val="Nadpis2Char"/>
    <w:uiPriority w:val="1"/>
    <w:qFormat/>
    <w:rsid w:val="00504943"/>
    <w:pPr>
      <w:numPr>
        <w:ilvl w:val="1"/>
        <w:numId w:val="19"/>
      </w:numPr>
    </w:pPr>
    <w:rPr>
      <w:bCs w:val="0"/>
      <w:iCs/>
    </w:rPr>
  </w:style>
  <w:style w:type="paragraph" w:styleId="Nadpis3">
    <w:name w:val="heading 3"/>
    <w:basedOn w:val="ZPNadpis3"/>
    <w:next w:val="Odstavec1"/>
    <w:link w:val="Nadpis3Char"/>
    <w:uiPriority w:val="9"/>
    <w:qFormat/>
    <w:rsid w:val="00504943"/>
    <w:pPr>
      <w:numPr>
        <w:ilvl w:val="2"/>
        <w:numId w:val="19"/>
      </w:numPr>
    </w:pPr>
  </w:style>
  <w:style w:type="paragraph" w:styleId="Nadpis4">
    <w:name w:val="heading 4"/>
    <w:basedOn w:val="ZPNadpis4"/>
    <w:next w:val="Normln"/>
    <w:link w:val="Nadpis4Char"/>
    <w:uiPriority w:val="9"/>
    <w:unhideWhenUsed/>
    <w:rsid w:val="00504943"/>
    <w:pPr>
      <w:numPr>
        <w:ilvl w:val="3"/>
        <w:numId w:val="19"/>
      </w:numPr>
      <w:spacing w:before="240" w:after="60"/>
      <w:outlineLvl w:val="3"/>
    </w:pPr>
    <w:rPr>
      <w:rFonts w:ascii="Arial" w:hAnsi="Arial"/>
      <w:bCs/>
      <w:szCs w:val="28"/>
    </w:rPr>
  </w:style>
  <w:style w:type="paragraph" w:styleId="Nadpis5">
    <w:name w:val="heading 5"/>
    <w:basedOn w:val="Nadpis3"/>
    <w:next w:val="Normln"/>
    <w:link w:val="Nadpis5Char"/>
    <w:uiPriority w:val="9"/>
    <w:unhideWhenUsed/>
    <w:rsid w:val="00AB6916"/>
    <w:p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633434"/>
    <w:rPr>
      <w:rFonts w:ascii="Arial" w:hAnsi="Arial"/>
      <w:bCs/>
      <w:color w:val="0000DC"/>
      <w:kern w:val="32"/>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semiHidden/>
    <w:rsid w:val="00743F57"/>
    <w:rPr>
      <w:rFonts w:ascii="Cambria" w:eastAsia="Times New Roman" w:hAnsi="Cambria" w:cs="Times New Roman"/>
      <w:sz w:val="22"/>
      <w:szCs w:val="22"/>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Dalodstavce">
    <w:name w:val="Další odstavce"/>
    <w:basedOn w:val="ZPZklad"/>
    <w:link w:val="DalodstavceChar"/>
    <w:uiPriority w:val="20"/>
    <w:qFormat/>
    <w:rsid w:val="00A2558D"/>
    <w:pPr>
      <w:ind w:firstLine="482"/>
    </w:pPr>
  </w:style>
  <w:style w:type="character" w:customStyle="1" w:styleId="DalodstavceChar">
    <w:name w:val="Další odstavce Char"/>
    <w:basedOn w:val="ZPZkladChar"/>
    <w:link w:val="Dalodstavce"/>
    <w:uiPriority w:val="20"/>
    <w:rsid w:val="00656B43"/>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uiPriority w:val="9"/>
    <w:rsid w:val="00E73194"/>
    <w:pPr>
      <w:ind w:left="300" w:hanging="300"/>
      <w:jc w:val="left"/>
    </w:pPr>
    <w:rPr>
      <w:sz w:val="20"/>
      <w:szCs w:val="20"/>
    </w:rPr>
  </w:style>
  <w:style w:type="character" w:styleId="Znakapoznpodarou">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
    <w:next w:val="Normln"/>
    <w:autoRedefine/>
    <w:uiPriority w:val="39"/>
    <w:rsid w:val="000B205F"/>
    <w:pPr>
      <w:tabs>
        <w:tab w:val="left" w:pos="1871"/>
        <w:tab w:val="right" w:leader="dot" w:pos="8505"/>
      </w:tabs>
      <w:spacing w:before="120" w:line="260" w:lineRule="atLeast"/>
      <w:ind w:left="720"/>
    </w:pPr>
    <w:rPr>
      <w:sz w:val="22"/>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ZPSeznamploh"/>
    <w:uiPriority w:val="39"/>
    <w:rsid w:val="00D06678"/>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link w:val="ZkladntextChar"/>
    <w:rsid w:val="003451DC"/>
    <w:pPr>
      <w:spacing w:after="120"/>
    </w:pPr>
  </w:style>
  <w:style w:type="paragraph" w:styleId="Zkladntext-prvnodsazen">
    <w:name w:val="Body Text First Indent"/>
    <w:basedOn w:val="Zkladntext"/>
    <w:semiHidden/>
    <w:rsid w:val="003451DC"/>
    <w:pPr>
      <w:ind w:firstLine="210"/>
    </w:pPr>
  </w:style>
  <w:style w:type="paragraph" w:styleId="Zkladntextodsazen">
    <w:name w:val="Body Text Indent"/>
    <w:basedOn w:val="Normln"/>
    <w:semiHidden/>
    <w:rsid w:val="003451DC"/>
    <w:pPr>
      <w:spacing w:after="120"/>
      <w:ind w:left="283"/>
    </w:pPr>
  </w:style>
  <w:style w:type="paragraph" w:styleId="Zkladntext-prvnodsazen2">
    <w:name w:val="Body Text First Indent 2"/>
    <w:basedOn w:val="Zkladntextodsazen"/>
    <w:semiHidden/>
    <w:rsid w:val="003451DC"/>
    <w:pPr>
      <w:ind w:firstLine="210"/>
    </w:pPr>
  </w:style>
  <w:style w:type="paragraph" w:styleId="Zkladntext2">
    <w:name w:val="Body Text 2"/>
    <w:basedOn w:val="Normln"/>
    <w:semiHidden/>
    <w:rsid w:val="003451DC"/>
    <w:pPr>
      <w:spacing w:after="120" w:line="480" w:lineRule="auto"/>
    </w:pPr>
  </w:style>
  <w:style w:type="paragraph" w:styleId="Zkladntext3">
    <w:name w:val="Body Text 3"/>
    <w:basedOn w:val="Normln"/>
    <w:semiHidden/>
    <w:rsid w:val="003451DC"/>
    <w:pPr>
      <w:spacing w:after="120"/>
    </w:pPr>
    <w:rPr>
      <w:sz w:val="16"/>
      <w:szCs w:val="16"/>
    </w:rPr>
  </w:style>
  <w:style w:type="paragraph" w:styleId="Zkladntextodsazen2">
    <w:name w:val="Body Text Indent 2"/>
    <w:basedOn w:val="Normln"/>
    <w:semiHidden/>
    <w:rsid w:val="003451DC"/>
    <w:pPr>
      <w:spacing w:after="120" w:line="480" w:lineRule="auto"/>
      <w:ind w:left="283"/>
    </w:pPr>
  </w:style>
  <w:style w:type="paragraph" w:styleId="Zkladntextodsazen3">
    <w:name w:val="Body Text Indent 3"/>
    <w:basedOn w:val="Normln"/>
    <w:semiHidden/>
    <w:rsid w:val="003451DC"/>
    <w:pPr>
      <w:spacing w:after="120"/>
      <w:ind w:left="283"/>
    </w:pPr>
    <w:rPr>
      <w:sz w:val="16"/>
      <w:szCs w:val="16"/>
    </w:rPr>
  </w:style>
  <w:style w:type="paragraph" w:styleId="Zvr">
    <w:name w:val="Closing"/>
    <w:basedOn w:val="Normln"/>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slovnkapitol">
    <w:name w:val="Číslování kapitol"/>
    <w:uiPriority w:val="99"/>
    <w:rsid w:val="00504943"/>
    <w:pPr>
      <w:numPr>
        <w:numId w:val="5"/>
      </w:numPr>
    </w:pPr>
  </w:style>
  <w:style w:type="table" w:styleId="Mkatabulky">
    <w:name w:val="Table Grid"/>
    <w:basedOn w:val="Normlntabulka"/>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940DA7"/>
    <w:pPr>
      <w:numPr>
        <w:numId w:val="16"/>
      </w:numPr>
    </w:pPr>
  </w:style>
  <w:style w:type="paragraph" w:customStyle="1" w:styleId="Ploha2">
    <w:name w:val="Příloha 2"/>
    <w:basedOn w:val="ZPNadpis2"/>
    <w:next w:val="ZPZklad"/>
    <w:link w:val="Ploha2Char"/>
    <w:uiPriority w:val="50"/>
    <w:qFormat/>
    <w:rsid w:val="00940DA7"/>
    <w:pPr>
      <w:numPr>
        <w:ilvl w:val="1"/>
        <w:numId w:val="1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28"/>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Standardnpsmoodstavce"/>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940DA7"/>
    <w:pPr>
      <w:numPr>
        <w:numId w:val="6"/>
      </w:numPr>
    </w:pPr>
  </w:style>
  <w:style w:type="character" w:customStyle="1" w:styleId="TextpoznpodarouChar">
    <w:name w:val="Text pozn. pod čarou Char"/>
    <w:link w:val="Textpoznpodarou"/>
    <w:uiPriority w:val="9"/>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D95A1C"/>
    <w:rPr>
      <w:rFonts w:ascii="Arial" w:hAnsi="Arial"/>
      <w:b/>
      <w:bCs/>
      <w:color w:val="0000DC"/>
      <w:lang w:eastAsia="sk-SK"/>
    </w:rPr>
  </w:style>
  <w:style w:type="character" w:customStyle="1" w:styleId="Nadpis8Char">
    <w:name w:val="Nadpis 8 Char"/>
    <w:link w:val="Nadpis8"/>
    <w:uiPriority w:val="9"/>
    <w:rsid w:val="00AB6916"/>
    <w:rPr>
      <w:rFonts w:ascii="Arial" w:hAnsi="Arial"/>
      <w:b/>
      <w:color w:val="0000DC"/>
      <w:lang w:eastAsia="sk-SK"/>
    </w:rPr>
  </w:style>
  <w:style w:type="character" w:customStyle="1" w:styleId="Ploha2Char">
    <w:name w:val="Příloha 2 Char"/>
    <w:basedOn w:val="Standardnpsmoodstavce"/>
    <w:link w:val="Ploha2"/>
    <w:uiPriority w:val="50"/>
    <w:rsid w:val="000D7A70"/>
    <w:rPr>
      <w:rFonts w:ascii="Arial" w:hAnsi="Arial" w:cs="Arial"/>
      <w:bCs/>
      <w:color w:val="0000DC"/>
      <w:sz w:val="28"/>
      <w:szCs w:val="28"/>
    </w:rPr>
  </w:style>
  <w:style w:type="character" w:customStyle="1" w:styleId="Nadpis1Char">
    <w:name w:val="Nadpis 1 Char"/>
    <w:link w:val="Nadpis1"/>
    <w:uiPriority w:val="9"/>
    <w:rsid w:val="009B2498"/>
    <w:rPr>
      <w:rFonts w:ascii="Arial" w:hAnsi="Arial" w:cs="Arial"/>
      <w:b/>
      <w:bCs/>
      <w:color w:val="0000DC"/>
      <w:sz w:val="34"/>
      <w:szCs w:val="40"/>
    </w:rPr>
  </w:style>
  <w:style w:type="character" w:customStyle="1" w:styleId="Nadpis2Char">
    <w:name w:val="Nadpis 2 Char"/>
    <w:link w:val="Nadpis2"/>
    <w:uiPriority w:val="1"/>
    <w:rsid w:val="00D95A1C"/>
    <w:rPr>
      <w:rFonts w:ascii="Arial" w:hAnsi="Arial" w:cs="Arial"/>
      <w:iCs/>
      <w:color w:val="0000DC"/>
      <w:sz w:val="28"/>
      <w:szCs w:val="28"/>
    </w:rPr>
  </w:style>
  <w:style w:type="character" w:customStyle="1" w:styleId="Nadpis3Char">
    <w:name w:val="Nadpis 3 Char"/>
    <w:link w:val="Nadpis3"/>
    <w:uiPriority w:val="9"/>
    <w:rsid w:val="00656B43"/>
    <w:rPr>
      <w:rFonts w:ascii="Arial" w:hAnsi="Arial" w:cs="Arial"/>
      <w:b/>
      <w:bCs/>
      <w:color w:val="0000DC"/>
    </w:rPr>
  </w:style>
  <w:style w:type="paragraph" w:styleId="Nadpisobsahu">
    <w:name w:val="TOC Heading"/>
    <w:basedOn w:val="Nadpis1"/>
    <w:next w:val="Normln"/>
    <w:uiPriority w:val="39"/>
    <w:rsid w:val="00AB6916"/>
    <w:p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rsid w:val="00AB6916"/>
    <w:rPr>
      <w:b/>
      <w:bCs/>
    </w:rPr>
  </w:style>
  <w:style w:type="paragraph" w:styleId="Nzev">
    <w:name w:val="Title"/>
    <w:basedOn w:val="Nadpis1"/>
    <w:next w:val="Normln"/>
    <w:link w:val="NzevChar"/>
    <w:uiPriority w:val="10"/>
    <w:rsid w:val="00AB6916"/>
    <w:pPr>
      <w:spacing w:before="120" w:after="240" w:line="360" w:lineRule="auto"/>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Odstavec1"/>
    <w:uiPriority w:val="35"/>
    <w:qFormat/>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lang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jstk2">
    <w:name w:val="index 2"/>
    <w:basedOn w:val="Normln"/>
    <w:next w:val="Normln"/>
    <w:autoRedefine/>
    <w:rsid w:val="00930CDA"/>
    <w:pPr>
      <w:ind w:left="480" w:hanging="240"/>
    </w:pPr>
    <w:rPr>
      <w:rFonts w:cstheme="minorHAnsi"/>
      <w:sz w:val="18"/>
      <w:szCs w:val="18"/>
    </w:rPr>
  </w:style>
  <w:style w:type="paragraph" w:styleId="Rejstk1">
    <w:name w:val="index 1"/>
    <w:basedOn w:val="Normln"/>
    <w:next w:val="Normln"/>
    <w:autoRedefine/>
    <w:uiPriority w:val="99"/>
    <w:rsid w:val="00930CDA"/>
    <w:pPr>
      <w:ind w:left="240" w:hanging="240"/>
    </w:pPr>
    <w:rPr>
      <w:rFonts w:cstheme="minorHAnsi"/>
      <w:sz w:val="18"/>
      <w:szCs w:val="18"/>
    </w:rPr>
  </w:style>
  <w:style w:type="paragraph" w:styleId="Rejstk3">
    <w:name w:val="index 3"/>
    <w:basedOn w:val="Normln"/>
    <w:next w:val="Normln"/>
    <w:autoRedefine/>
    <w:rsid w:val="00930CDA"/>
    <w:pPr>
      <w:ind w:left="720" w:hanging="240"/>
    </w:pPr>
    <w:rPr>
      <w:rFonts w:cstheme="minorHAnsi"/>
      <w:sz w:val="18"/>
      <w:szCs w:val="18"/>
    </w:rPr>
  </w:style>
  <w:style w:type="paragraph" w:styleId="Rejstk4">
    <w:name w:val="index 4"/>
    <w:basedOn w:val="Normln"/>
    <w:next w:val="Normln"/>
    <w:autoRedefine/>
    <w:rsid w:val="00930CDA"/>
    <w:pPr>
      <w:ind w:left="960" w:hanging="240"/>
    </w:pPr>
    <w:rPr>
      <w:rFonts w:cstheme="minorHAnsi"/>
      <w:sz w:val="18"/>
      <w:szCs w:val="18"/>
    </w:rPr>
  </w:style>
  <w:style w:type="paragraph" w:styleId="Rejstk5">
    <w:name w:val="index 5"/>
    <w:basedOn w:val="Normln"/>
    <w:next w:val="Normln"/>
    <w:autoRedefine/>
    <w:rsid w:val="00930CDA"/>
    <w:pPr>
      <w:ind w:left="1200" w:hanging="240"/>
    </w:pPr>
    <w:rPr>
      <w:rFonts w:cstheme="minorHAnsi"/>
      <w:sz w:val="18"/>
      <w:szCs w:val="18"/>
    </w:rPr>
  </w:style>
  <w:style w:type="paragraph" w:styleId="Rejstk6">
    <w:name w:val="index 6"/>
    <w:basedOn w:val="Normln"/>
    <w:next w:val="Normln"/>
    <w:autoRedefine/>
    <w:rsid w:val="00930CDA"/>
    <w:pPr>
      <w:ind w:left="1440" w:hanging="240"/>
    </w:pPr>
    <w:rPr>
      <w:rFonts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930CDA"/>
    <w:pPr>
      <w:ind w:left="1920" w:hanging="240"/>
    </w:pPr>
    <w:rPr>
      <w:rFonts w:cstheme="minorHAnsi"/>
      <w:sz w:val="18"/>
      <w:szCs w:val="18"/>
    </w:rPr>
  </w:style>
  <w:style w:type="paragraph" w:styleId="Rejstk9">
    <w:name w:val="index 9"/>
    <w:basedOn w:val="Normln"/>
    <w:next w:val="Normln"/>
    <w:autoRedefine/>
    <w:rsid w:val="00930CDA"/>
    <w:pPr>
      <w:ind w:left="2160" w:hanging="240"/>
    </w:pPr>
    <w:rPr>
      <w:rFonts w:cstheme="minorHAnsi"/>
      <w:sz w:val="18"/>
      <w:szCs w:val="18"/>
    </w:rPr>
  </w:style>
  <w:style w:type="paragraph" w:styleId="Hlavikarejstku">
    <w:name w:val="index heading"/>
    <w:basedOn w:val="Normln"/>
    <w:next w:val="Rejstk1"/>
    <w:uiPriority w:val="99"/>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F92E36"/>
    <w:pPr>
      <w:spacing w:line="280" w:lineRule="atLeast"/>
      <w:ind w:left="482" w:hanging="482"/>
    </w:pPr>
  </w:style>
  <w:style w:type="character" w:styleId="Hypertextovodkaz">
    <w:name w:val="Hyperlink"/>
    <w:basedOn w:val="Standardnpsmoodstavce"/>
    <w:uiPriority w:val="99"/>
    <w:unhideWhenUsed/>
    <w:rsid w:val="008B1BE6"/>
    <w:rPr>
      <w:color w:val="0563C1" w:themeColor="hyperlink"/>
      <w:u w:val="single"/>
    </w:rPr>
  </w:style>
  <w:style w:type="paragraph" w:customStyle="1" w:styleId="Obrzek">
    <w:name w:val="Obrázek"/>
    <w:basedOn w:val="ZPZklad"/>
    <w:rsid w:val="003E7C04"/>
    <w:pPr>
      <w:keepNext/>
      <w:spacing w:before="240" w:line="281" w:lineRule="auto"/>
      <w:jc w:val="center"/>
    </w:pPr>
  </w:style>
  <w:style w:type="paragraph" w:customStyle="1" w:styleId="Odstavec1">
    <w:name w:val="Odstavec 1"/>
    <w:basedOn w:val="ZPZklad"/>
    <w:next w:val="Dalodstavce"/>
    <w:link w:val="Odstavec1Char"/>
    <w:uiPriority w:val="9"/>
    <w:qFormat/>
    <w:rsid w:val="00A2558D"/>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rPr>
  </w:style>
  <w:style w:type="paragraph" w:styleId="Citt">
    <w:name w:val="Quote"/>
    <w:basedOn w:val="ZPZklad"/>
    <w:next w:val="Odstavec1"/>
    <w:link w:val="CittChar"/>
    <w:uiPriority w:val="29"/>
    <w:qFormat/>
    <w:rsid w:val="007D341B"/>
    <w:pPr>
      <w:spacing w:before="240" w:after="240"/>
      <w:ind w:left="960" w:right="960"/>
      <w:contextualSpacing/>
    </w:pPr>
    <w:rPr>
      <w:i/>
    </w:rPr>
  </w:style>
  <w:style w:type="character" w:customStyle="1" w:styleId="CittChar">
    <w:name w:val="Citát Char"/>
    <w:basedOn w:val="Standardnpsmoodstavce"/>
    <w:link w:val="Citt"/>
    <w:uiPriority w:val="29"/>
    <w:rsid w:val="00656B43"/>
    <w:rPr>
      <w:i/>
    </w:rPr>
  </w:style>
  <w:style w:type="paragraph" w:customStyle="1" w:styleId="Citt-pokraovn">
    <w:name w:val="Citát - pokračování"/>
    <w:basedOn w:val="Citt"/>
    <w:uiPriority w:val="31"/>
    <w:qFormat/>
    <w:rsid w:val="00E64A10"/>
    <w:pPr>
      <w:spacing w:before="0"/>
      <w:ind w:left="958" w:right="958" w:firstLine="482"/>
    </w:pPr>
  </w:style>
  <w:style w:type="table" w:customStyle="1" w:styleId="ZPTabulka">
    <w:name w:val="ZP Tabulka"/>
    <w:basedOn w:val="Normlntabulka"/>
    <w:uiPriority w:val="99"/>
    <w:rsid w:val="00D65567"/>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rPr>
        <w:cantSplit w:val="0"/>
        <w:tblHeader/>
      </w:tr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t"/>
    <w:next w:val="Citt-pokraovn"/>
    <w:link w:val="Citt-zatekChar"/>
    <w:uiPriority w:val="30"/>
    <w:qFormat/>
    <w:rsid w:val="00E64A10"/>
    <w:pPr>
      <w:spacing w:after="0"/>
      <w:ind w:left="958" w:right="958"/>
    </w:pPr>
  </w:style>
  <w:style w:type="character" w:customStyle="1" w:styleId="Citt-zatekChar">
    <w:name w:val="Citát - začátek Char"/>
    <w:basedOn w:val="CittChar"/>
    <w:link w:val="Citt-zatek"/>
    <w:uiPriority w:val="30"/>
    <w:rsid w:val="009B0541"/>
    <w:rPr>
      <w:i/>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semiHidden/>
    <w:qFormat/>
    <w:rsid w:val="00DD5A53"/>
    <w:pPr>
      <w:ind w:left="720"/>
      <w:contextualSpacing/>
    </w:pPr>
  </w:style>
  <w:style w:type="paragraph" w:styleId="slovanseznam">
    <w:name w:val="List Number"/>
    <w:basedOn w:val="ZPZklad"/>
    <w:uiPriority w:val="21"/>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22"/>
    <w:qFormat/>
    <w:rsid w:val="004E740F"/>
    <w:pPr>
      <w:numPr>
        <w:numId w:val="12"/>
      </w:numPr>
      <w:spacing w:before="120" w:after="120"/>
      <w:ind w:left="539" w:hanging="255"/>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Standardnpsmoodstavce"/>
    <w:link w:val="ZPBibilografickzznam"/>
    <w:rsid w:val="00953CD9"/>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656B43"/>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e">
    <w:name w:val="Bibliography"/>
    <w:basedOn w:val="Odstavec1"/>
    <w:next w:val="Normln"/>
    <w:uiPriority w:val="37"/>
    <w:unhideWhenUsed/>
    <w:rsid w:val="0037037F"/>
    <w:pPr>
      <w:tabs>
        <w:tab w:val="left" w:pos="384"/>
      </w:tabs>
      <w:spacing w:after="240" w:line="240" w:lineRule="atLeast"/>
      <w:ind w:left="384" w:hanging="384"/>
      <w:jc w:val="left"/>
    </w:pPr>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427DF1"/>
    <w:pPr>
      <w:numPr>
        <w:numId w:val="13"/>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lodstavceEN">
    <w:name w:val="Další odstavce EN"/>
    <w:basedOn w:val="Dalodstavce"/>
    <w:rsid w:val="002E2753"/>
    <w:rPr>
      <w:lang w:val="en-GB"/>
    </w:rPr>
  </w:style>
  <w:style w:type="paragraph" w:customStyle="1" w:styleId="Odstavec1EN">
    <w:name w:val="Odstavec 1 EN"/>
    <w:basedOn w:val="Odstavec1"/>
    <w:next w:val="DalodstavceEN"/>
    <w:rsid w:val="002E2753"/>
    <w:rPr>
      <w:lang w:val="en-GB"/>
    </w:rPr>
  </w:style>
  <w:style w:type="paragraph" w:customStyle="1" w:styleId="Titulektabulky">
    <w:name w:val="Titulek tabulky"/>
    <w:basedOn w:val="Titulek"/>
    <w:rsid w:val="00953CD9"/>
    <w:pPr>
      <w:keepNext/>
      <w:spacing w:before="240"/>
    </w:pPr>
  </w:style>
  <w:style w:type="paragraph" w:customStyle="1" w:styleId="Popisobrzku">
    <w:name w:val="Popis obrázku"/>
    <w:basedOn w:val="Odstavec1"/>
    <w:next w:val="Odstavec1"/>
    <w:rsid w:val="00655A3C"/>
    <w:pPr>
      <w:spacing w:after="240" w:line="260" w:lineRule="atLeast"/>
    </w:pPr>
    <w:rPr>
      <w:sz w:val="20"/>
      <w:szCs w:val="20"/>
      <w:lang w:eastAsia="sk-SK"/>
    </w:rPr>
  </w:style>
  <w:style w:type="paragraph" w:customStyle="1" w:styleId="Titulekpedpopisem">
    <w:name w:val="Titulek před popisem"/>
    <w:basedOn w:val="Titulek"/>
    <w:rsid w:val="00F97990"/>
    <w:pPr>
      <w:keepNext/>
      <w:spacing w:after="0"/>
    </w:pPr>
  </w:style>
  <w:style w:type="paragraph" w:customStyle="1" w:styleId="Zdrojobrzku">
    <w:name w:val="Zdroj obrázku"/>
    <w:basedOn w:val="Popisobrzku"/>
    <w:next w:val="Odstavec1"/>
    <w:rsid w:val="00130C24"/>
    <w:pPr>
      <w:spacing w:before="120"/>
      <w:jc w:val="left"/>
    </w:pPr>
    <w:rPr>
      <w:i/>
    </w:rPr>
  </w:style>
  <w:style w:type="paragraph" w:customStyle="1" w:styleId="Poezie">
    <w:name w:val="Poezie"/>
    <w:basedOn w:val="Citt"/>
    <w:link w:val="PoezieChar"/>
    <w:uiPriority w:val="32"/>
    <w:qFormat/>
    <w:rsid w:val="00BB15FA"/>
    <w:pPr>
      <w:ind w:left="958" w:right="958"/>
      <w:contextualSpacing w:val="0"/>
      <w:jc w:val="left"/>
    </w:pPr>
  </w:style>
  <w:style w:type="paragraph" w:customStyle="1" w:styleId="Kdprogramu">
    <w:name w:val="Kód programu"/>
    <w:basedOn w:val="Normln"/>
    <w:link w:val="KdprogramuChar"/>
    <w:uiPriority w:val="74"/>
    <w:qFormat/>
    <w:rsid w:val="0032701E"/>
    <w:pPr>
      <w:spacing w:before="240" w:after="240"/>
      <w:contextualSpacing/>
    </w:pPr>
    <w:rPr>
      <w:rFonts w:ascii="Courier New" w:hAnsi="Courier New" w:cs="Courier New"/>
      <w:noProof/>
      <w:sz w:val="22"/>
      <w:szCs w:val="22"/>
    </w:rPr>
  </w:style>
  <w:style w:type="character" w:customStyle="1" w:styleId="PoezieChar">
    <w:name w:val="Poezie Char"/>
    <w:basedOn w:val="CittChar"/>
    <w:link w:val="Poezie"/>
    <w:uiPriority w:val="32"/>
    <w:rsid w:val="00656B43"/>
    <w:rPr>
      <w:i/>
    </w:rPr>
  </w:style>
  <w:style w:type="character" w:customStyle="1" w:styleId="KdprogramuChar">
    <w:name w:val="Kód programu Char"/>
    <w:basedOn w:val="Standardnpsmoodstavce"/>
    <w:link w:val="Kdprogramu"/>
    <w:uiPriority w:val="74"/>
    <w:rsid w:val="0032701E"/>
    <w:rPr>
      <w:rFonts w:ascii="Courier New" w:hAnsi="Courier New" w:cs="Courier New"/>
      <w:noProof/>
      <w:sz w:val="22"/>
      <w:szCs w:val="22"/>
    </w:rPr>
  </w:style>
  <w:style w:type="paragraph" w:customStyle="1" w:styleId="7C5D38C841C7463A9DD7C17FE250AFA711">
    <w:name w:val="7C5D38C841C7463A9DD7C17FE250AFA711"/>
    <w:rsid w:val="00032EBD"/>
    <w:pPr>
      <w:keepNext/>
      <w:keepLines/>
      <w:pageBreakBefore/>
      <w:numPr>
        <w:numId w:val="15"/>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15"/>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Ptirovovsmenseznam">
    <w:name w:val="Pětiúrovňový smíšený seznam"/>
    <w:uiPriority w:val="99"/>
    <w:rsid w:val="00D716C2"/>
    <w:pPr>
      <w:numPr>
        <w:numId w:val="17"/>
      </w:numPr>
    </w:pPr>
  </w:style>
  <w:style w:type="numbering" w:customStyle="1" w:styleId="Decimlnslovn">
    <w:name w:val="Decimální číslování"/>
    <w:uiPriority w:val="99"/>
    <w:rsid w:val="00AB0BEE"/>
    <w:pPr>
      <w:numPr>
        <w:numId w:val="18"/>
      </w:numPr>
    </w:pPr>
  </w:style>
  <w:style w:type="paragraph" w:customStyle="1" w:styleId="inZPPodpisypublikace">
    <w:name w:val="inZP: Podpisy publikace"/>
    <w:basedOn w:val="inZPPodpisprohlen"/>
    <w:link w:val="inZPPodpisypublikaceChar"/>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Odstavec1"/>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character" w:customStyle="1" w:styleId="ZkladntextChar">
    <w:name w:val="Základní text Char"/>
    <w:basedOn w:val="Standardnpsmoodstavce"/>
    <w:link w:val="Zkladntext"/>
    <w:rsid w:val="00FA43A5"/>
  </w:style>
  <w:style w:type="paragraph" w:customStyle="1" w:styleId="FirstParagraph">
    <w:name w:val="First Paragraph"/>
    <w:basedOn w:val="Zkladntext"/>
    <w:next w:val="Zkladntext"/>
    <w:rsid w:val="003E2B59"/>
    <w:pPr>
      <w:spacing w:before="180" w:after="180" w:line="312" w:lineRule="auto"/>
    </w:pPr>
    <w:rPr>
      <w:rFonts w:asciiTheme="minorHAnsi" w:eastAsiaTheme="minorEastAsia" w:hAnsiTheme="minorHAnsi" w:cstheme="minorBidi"/>
      <w:szCs w:val="21"/>
      <w:lang w:val="en" w:eastAsia="en-US"/>
    </w:rPr>
  </w:style>
  <w:style w:type="paragraph" w:customStyle="1" w:styleId="Compact">
    <w:name w:val="Compact"/>
    <w:basedOn w:val="Zkladntext"/>
    <w:rsid w:val="003E2B59"/>
    <w:pPr>
      <w:spacing w:before="36" w:after="36" w:line="312" w:lineRule="auto"/>
    </w:pPr>
    <w:rPr>
      <w:rFonts w:asciiTheme="minorHAnsi" w:eastAsiaTheme="minorEastAsia" w:hAnsiTheme="minorHAnsi" w:cstheme="minorBidi"/>
      <w:szCs w:val="21"/>
      <w:lang w:val="en" w:eastAsia="en-US"/>
    </w:rPr>
  </w:style>
  <w:style w:type="paragraph" w:styleId="Datum">
    <w:name w:val="Date"/>
    <w:next w:val="Zkladntext"/>
    <w:link w:val="DatumChar"/>
    <w:rsid w:val="008F456D"/>
    <w:pPr>
      <w:keepNext/>
      <w:keepLines/>
      <w:spacing w:after="160" w:line="312" w:lineRule="auto"/>
      <w:jc w:val="center"/>
    </w:pPr>
    <w:rPr>
      <w:rFonts w:asciiTheme="minorHAnsi" w:eastAsiaTheme="minorEastAsia" w:hAnsiTheme="minorHAnsi" w:cstheme="minorBidi"/>
      <w:sz w:val="21"/>
      <w:szCs w:val="21"/>
      <w:lang w:val="en" w:eastAsia="en-US"/>
    </w:rPr>
  </w:style>
  <w:style w:type="character" w:customStyle="1" w:styleId="DatumChar">
    <w:name w:val="Datum Char"/>
    <w:basedOn w:val="Standardnpsmoodstavce"/>
    <w:link w:val="Datum"/>
    <w:rsid w:val="008F456D"/>
    <w:rPr>
      <w:rFonts w:asciiTheme="minorHAnsi" w:eastAsiaTheme="minorEastAsia" w:hAnsiTheme="minorHAnsi" w:cstheme="minorBidi"/>
      <w:sz w:val="21"/>
      <w:szCs w:val="21"/>
      <w:lang w:val="en" w:eastAsia="en-US"/>
    </w:rPr>
  </w:style>
  <w:style w:type="character" w:styleId="Odkaznakoment">
    <w:name w:val="annotation reference"/>
    <w:basedOn w:val="Standardnpsmoodstavce"/>
    <w:uiPriority w:val="99"/>
    <w:rsid w:val="00CF77D9"/>
    <w:rPr>
      <w:sz w:val="16"/>
      <w:szCs w:val="16"/>
    </w:rPr>
  </w:style>
  <w:style w:type="paragraph" w:styleId="Textkomente">
    <w:name w:val="annotation text"/>
    <w:basedOn w:val="Normln"/>
    <w:link w:val="TextkomenteChar"/>
    <w:uiPriority w:val="99"/>
    <w:rsid w:val="00CF77D9"/>
    <w:rPr>
      <w:sz w:val="20"/>
      <w:szCs w:val="20"/>
    </w:rPr>
  </w:style>
  <w:style w:type="character" w:customStyle="1" w:styleId="TextkomenteChar">
    <w:name w:val="Text komentáře Char"/>
    <w:basedOn w:val="Standardnpsmoodstavce"/>
    <w:link w:val="Textkomente"/>
    <w:uiPriority w:val="99"/>
    <w:rsid w:val="00CF77D9"/>
    <w:rPr>
      <w:sz w:val="20"/>
      <w:szCs w:val="20"/>
    </w:rPr>
  </w:style>
  <w:style w:type="paragraph" w:styleId="Pedmtkomente">
    <w:name w:val="annotation subject"/>
    <w:basedOn w:val="Textkomente"/>
    <w:next w:val="Textkomente"/>
    <w:link w:val="PedmtkomenteChar"/>
    <w:uiPriority w:val="99"/>
    <w:rsid w:val="00CF77D9"/>
    <w:rPr>
      <w:b/>
      <w:bCs/>
    </w:rPr>
  </w:style>
  <w:style w:type="character" w:customStyle="1" w:styleId="PedmtkomenteChar">
    <w:name w:val="Předmět komentáře Char"/>
    <w:basedOn w:val="TextkomenteChar"/>
    <w:link w:val="Pedmtkomente"/>
    <w:uiPriority w:val="99"/>
    <w:rsid w:val="00CF77D9"/>
    <w:rPr>
      <w:b/>
      <w:bCs/>
      <w:sz w:val="20"/>
      <w:szCs w:val="20"/>
    </w:rPr>
  </w:style>
  <w:style w:type="table" w:customStyle="1" w:styleId="Table">
    <w:name w:val="Table"/>
    <w:semiHidden/>
    <w:unhideWhenUsed/>
    <w:qFormat/>
    <w:rsid w:val="000B5DCC"/>
    <w:pPr>
      <w:spacing w:after="160" w:line="312" w:lineRule="auto"/>
    </w:pPr>
    <w:rPr>
      <w:rFonts w:asciiTheme="minorHAnsi" w:eastAsiaTheme="minorEastAsia" w:hAnsiTheme="minorHAnsi" w:cstheme="minorBidi"/>
      <w:sz w:val="20"/>
      <w:szCs w:val="20"/>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Titulek"/>
    <w:rsid w:val="000B5DCC"/>
    <w:pPr>
      <w:keepNext/>
      <w:spacing w:before="240" w:after="120" w:line="240" w:lineRule="auto"/>
      <w:jc w:val="left"/>
    </w:pPr>
    <w:rPr>
      <w:rFonts w:asciiTheme="minorHAnsi" w:eastAsiaTheme="minorEastAsia" w:hAnsiTheme="minorHAnsi" w:cstheme="minorBidi"/>
      <w:spacing w:val="10"/>
      <w:sz w:val="21"/>
      <w:szCs w:val="16"/>
      <w:lang w:val="en" w:eastAsia="en-US"/>
    </w:rPr>
  </w:style>
  <w:style w:type="character" w:styleId="Nevyeenzmnka">
    <w:name w:val="Unresolved Mention"/>
    <w:basedOn w:val="Standardnpsmoodstavce"/>
    <w:uiPriority w:val="99"/>
    <w:semiHidden/>
    <w:unhideWhenUsed/>
    <w:rsid w:val="00ED66F3"/>
    <w:rPr>
      <w:color w:val="605E5C"/>
      <w:shd w:val="clear" w:color="auto" w:fill="E1DFDD"/>
    </w:rPr>
  </w:style>
  <w:style w:type="table" w:styleId="Svtltabulkasmkou1">
    <w:name w:val="Grid Table 1 Light"/>
    <w:basedOn w:val="Normlntabulka"/>
    <w:uiPriority w:val="46"/>
    <w:locked/>
    <w:rsid w:val="007E30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242">
      <w:bodyDiv w:val="1"/>
      <w:marLeft w:val="0"/>
      <w:marRight w:val="0"/>
      <w:marTop w:val="0"/>
      <w:marBottom w:val="0"/>
      <w:divBdr>
        <w:top w:val="none" w:sz="0" w:space="0" w:color="auto"/>
        <w:left w:val="none" w:sz="0" w:space="0" w:color="auto"/>
        <w:bottom w:val="none" w:sz="0" w:space="0" w:color="auto"/>
        <w:right w:val="none" w:sz="0" w:space="0" w:color="auto"/>
      </w:divBdr>
      <w:divsChild>
        <w:div w:id="1043168892">
          <w:marLeft w:val="0"/>
          <w:marRight w:val="0"/>
          <w:marTop w:val="0"/>
          <w:marBottom w:val="0"/>
          <w:divBdr>
            <w:top w:val="none" w:sz="0" w:space="0" w:color="auto"/>
            <w:left w:val="none" w:sz="0" w:space="0" w:color="auto"/>
            <w:bottom w:val="none" w:sz="0" w:space="0" w:color="auto"/>
            <w:right w:val="none" w:sz="0" w:space="0" w:color="auto"/>
          </w:divBdr>
          <w:divsChild>
            <w:div w:id="2990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527">
      <w:bodyDiv w:val="1"/>
      <w:marLeft w:val="0"/>
      <w:marRight w:val="0"/>
      <w:marTop w:val="0"/>
      <w:marBottom w:val="0"/>
      <w:divBdr>
        <w:top w:val="none" w:sz="0" w:space="0" w:color="auto"/>
        <w:left w:val="none" w:sz="0" w:space="0" w:color="auto"/>
        <w:bottom w:val="none" w:sz="0" w:space="0" w:color="auto"/>
        <w:right w:val="none" w:sz="0" w:space="0" w:color="auto"/>
      </w:divBdr>
      <w:divsChild>
        <w:div w:id="843130159">
          <w:marLeft w:val="0"/>
          <w:marRight w:val="0"/>
          <w:marTop w:val="0"/>
          <w:marBottom w:val="0"/>
          <w:divBdr>
            <w:top w:val="none" w:sz="0" w:space="0" w:color="auto"/>
            <w:left w:val="none" w:sz="0" w:space="0" w:color="auto"/>
            <w:bottom w:val="none" w:sz="0" w:space="0" w:color="auto"/>
            <w:right w:val="none" w:sz="0" w:space="0" w:color="auto"/>
          </w:divBdr>
          <w:divsChild>
            <w:div w:id="20182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1617">
      <w:bodyDiv w:val="1"/>
      <w:marLeft w:val="0"/>
      <w:marRight w:val="0"/>
      <w:marTop w:val="0"/>
      <w:marBottom w:val="0"/>
      <w:divBdr>
        <w:top w:val="none" w:sz="0" w:space="0" w:color="auto"/>
        <w:left w:val="none" w:sz="0" w:space="0" w:color="auto"/>
        <w:bottom w:val="none" w:sz="0" w:space="0" w:color="auto"/>
        <w:right w:val="none" w:sz="0" w:space="0" w:color="auto"/>
      </w:divBdr>
      <w:divsChild>
        <w:div w:id="1613046683">
          <w:marLeft w:val="0"/>
          <w:marRight w:val="0"/>
          <w:marTop w:val="0"/>
          <w:marBottom w:val="0"/>
          <w:divBdr>
            <w:top w:val="none" w:sz="0" w:space="0" w:color="auto"/>
            <w:left w:val="none" w:sz="0" w:space="0" w:color="auto"/>
            <w:bottom w:val="none" w:sz="0" w:space="0" w:color="auto"/>
            <w:right w:val="none" w:sz="0" w:space="0" w:color="auto"/>
          </w:divBdr>
          <w:divsChild>
            <w:div w:id="3714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665">
      <w:bodyDiv w:val="1"/>
      <w:marLeft w:val="0"/>
      <w:marRight w:val="0"/>
      <w:marTop w:val="0"/>
      <w:marBottom w:val="0"/>
      <w:divBdr>
        <w:top w:val="none" w:sz="0" w:space="0" w:color="auto"/>
        <w:left w:val="none" w:sz="0" w:space="0" w:color="auto"/>
        <w:bottom w:val="none" w:sz="0" w:space="0" w:color="auto"/>
        <w:right w:val="none" w:sz="0" w:space="0" w:color="auto"/>
      </w:divBdr>
      <w:divsChild>
        <w:div w:id="1422145857">
          <w:marLeft w:val="0"/>
          <w:marRight w:val="0"/>
          <w:marTop w:val="0"/>
          <w:marBottom w:val="0"/>
          <w:divBdr>
            <w:top w:val="none" w:sz="0" w:space="0" w:color="auto"/>
            <w:left w:val="none" w:sz="0" w:space="0" w:color="auto"/>
            <w:bottom w:val="none" w:sz="0" w:space="0" w:color="auto"/>
            <w:right w:val="none" w:sz="0" w:space="0" w:color="auto"/>
          </w:divBdr>
          <w:divsChild>
            <w:div w:id="164796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356">
      <w:bodyDiv w:val="1"/>
      <w:marLeft w:val="0"/>
      <w:marRight w:val="0"/>
      <w:marTop w:val="0"/>
      <w:marBottom w:val="0"/>
      <w:divBdr>
        <w:top w:val="none" w:sz="0" w:space="0" w:color="auto"/>
        <w:left w:val="none" w:sz="0" w:space="0" w:color="auto"/>
        <w:bottom w:val="none" w:sz="0" w:space="0" w:color="auto"/>
        <w:right w:val="none" w:sz="0" w:space="0" w:color="auto"/>
      </w:divBdr>
      <w:divsChild>
        <w:div w:id="1429082533">
          <w:marLeft w:val="0"/>
          <w:marRight w:val="0"/>
          <w:marTop w:val="0"/>
          <w:marBottom w:val="0"/>
          <w:divBdr>
            <w:top w:val="none" w:sz="0" w:space="0" w:color="auto"/>
            <w:left w:val="none" w:sz="0" w:space="0" w:color="auto"/>
            <w:bottom w:val="none" w:sz="0" w:space="0" w:color="auto"/>
            <w:right w:val="none" w:sz="0" w:space="0" w:color="auto"/>
          </w:divBdr>
          <w:divsChild>
            <w:div w:id="1647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11494633">
      <w:bodyDiv w:val="1"/>
      <w:marLeft w:val="0"/>
      <w:marRight w:val="0"/>
      <w:marTop w:val="0"/>
      <w:marBottom w:val="0"/>
      <w:divBdr>
        <w:top w:val="none" w:sz="0" w:space="0" w:color="auto"/>
        <w:left w:val="none" w:sz="0" w:space="0" w:color="auto"/>
        <w:bottom w:val="none" w:sz="0" w:space="0" w:color="auto"/>
        <w:right w:val="none" w:sz="0" w:space="0" w:color="auto"/>
      </w:divBdr>
      <w:divsChild>
        <w:div w:id="1765763583">
          <w:marLeft w:val="0"/>
          <w:marRight w:val="0"/>
          <w:marTop w:val="0"/>
          <w:marBottom w:val="0"/>
          <w:divBdr>
            <w:top w:val="none" w:sz="0" w:space="0" w:color="auto"/>
            <w:left w:val="none" w:sz="0" w:space="0" w:color="auto"/>
            <w:bottom w:val="none" w:sz="0" w:space="0" w:color="auto"/>
            <w:right w:val="none" w:sz="0" w:space="0" w:color="auto"/>
          </w:divBdr>
          <w:divsChild>
            <w:div w:id="4117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2505">
      <w:bodyDiv w:val="1"/>
      <w:marLeft w:val="0"/>
      <w:marRight w:val="0"/>
      <w:marTop w:val="0"/>
      <w:marBottom w:val="0"/>
      <w:divBdr>
        <w:top w:val="none" w:sz="0" w:space="0" w:color="auto"/>
        <w:left w:val="none" w:sz="0" w:space="0" w:color="auto"/>
        <w:bottom w:val="none" w:sz="0" w:space="0" w:color="auto"/>
        <w:right w:val="none" w:sz="0" w:space="0" w:color="auto"/>
      </w:divBdr>
      <w:divsChild>
        <w:div w:id="2055419524">
          <w:marLeft w:val="0"/>
          <w:marRight w:val="0"/>
          <w:marTop w:val="0"/>
          <w:marBottom w:val="0"/>
          <w:divBdr>
            <w:top w:val="none" w:sz="0" w:space="0" w:color="auto"/>
            <w:left w:val="none" w:sz="0" w:space="0" w:color="auto"/>
            <w:bottom w:val="none" w:sz="0" w:space="0" w:color="auto"/>
            <w:right w:val="none" w:sz="0" w:space="0" w:color="auto"/>
          </w:divBdr>
          <w:divsChild>
            <w:div w:id="15585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926">
      <w:bodyDiv w:val="1"/>
      <w:marLeft w:val="0"/>
      <w:marRight w:val="0"/>
      <w:marTop w:val="0"/>
      <w:marBottom w:val="0"/>
      <w:divBdr>
        <w:top w:val="none" w:sz="0" w:space="0" w:color="auto"/>
        <w:left w:val="none" w:sz="0" w:space="0" w:color="auto"/>
        <w:bottom w:val="none" w:sz="0" w:space="0" w:color="auto"/>
        <w:right w:val="none" w:sz="0" w:space="0" w:color="auto"/>
      </w:divBdr>
      <w:divsChild>
        <w:div w:id="1479155010">
          <w:marLeft w:val="0"/>
          <w:marRight w:val="0"/>
          <w:marTop w:val="0"/>
          <w:marBottom w:val="0"/>
          <w:divBdr>
            <w:top w:val="none" w:sz="0" w:space="0" w:color="auto"/>
            <w:left w:val="none" w:sz="0" w:space="0" w:color="auto"/>
            <w:bottom w:val="none" w:sz="0" w:space="0" w:color="auto"/>
            <w:right w:val="none" w:sz="0" w:space="0" w:color="auto"/>
          </w:divBdr>
          <w:divsChild>
            <w:div w:id="37415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412">
      <w:bodyDiv w:val="1"/>
      <w:marLeft w:val="0"/>
      <w:marRight w:val="0"/>
      <w:marTop w:val="0"/>
      <w:marBottom w:val="0"/>
      <w:divBdr>
        <w:top w:val="none" w:sz="0" w:space="0" w:color="auto"/>
        <w:left w:val="none" w:sz="0" w:space="0" w:color="auto"/>
        <w:bottom w:val="none" w:sz="0" w:space="0" w:color="auto"/>
        <w:right w:val="none" w:sz="0" w:space="0" w:color="auto"/>
      </w:divBdr>
      <w:divsChild>
        <w:div w:id="1407532476">
          <w:marLeft w:val="0"/>
          <w:marRight w:val="0"/>
          <w:marTop w:val="0"/>
          <w:marBottom w:val="0"/>
          <w:divBdr>
            <w:top w:val="none" w:sz="0" w:space="0" w:color="auto"/>
            <w:left w:val="none" w:sz="0" w:space="0" w:color="auto"/>
            <w:bottom w:val="none" w:sz="0" w:space="0" w:color="auto"/>
            <w:right w:val="none" w:sz="0" w:space="0" w:color="auto"/>
          </w:divBdr>
          <w:divsChild>
            <w:div w:id="13199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5995">
      <w:bodyDiv w:val="1"/>
      <w:marLeft w:val="0"/>
      <w:marRight w:val="0"/>
      <w:marTop w:val="0"/>
      <w:marBottom w:val="0"/>
      <w:divBdr>
        <w:top w:val="none" w:sz="0" w:space="0" w:color="auto"/>
        <w:left w:val="none" w:sz="0" w:space="0" w:color="auto"/>
        <w:bottom w:val="none" w:sz="0" w:space="0" w:color="auto"/>
        <w:right w:val="none" w:sz="0" w:space="0" w:color="auto"/>
      </w:divBdr>
      <w:divsChild>
        <w:div w:id="81998418">
          <w:marLeft w:val="0"/>
          <w:marRight w:val="0"/>
          <w:marTop w:val="0"/>
          <w:marBottom w:val="0"/>
          <w:divBdr>
            <w:top w:val="none" w:sz="0" w:space="0" w:color="auto"/>
            <w:left w:val="none" w:sz="0" w:space="0" w:color="auto"/>
            <w:bottom w:val="none" w:sz="0" w:space="0" w:color="auto"/>
            <w:right w:val="none" w:sz="0" w:space="0" w:color="auto"/>
          </w:divBdr>
          <w:divsChild>
            <w:div w:id="10132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28916493">
      <w:bodyDiv w:val="1"/>
      <w:marLeft w:val="0"/>
      <w:marRight w:val="0"/>
      <w:marTop w:val="0"/>
      <w:marBottom w:val="0"/>
      <w:divBdr>
        <w:top w:val="none" w:sz="0" w:space="0" w:color="auto"/>
        <w:left w:val="none" w:sz="0" w:space="0" w:color="auto"/>
        <w:bottom w:val="none" w:sz="0" w:space="0" w:color="auto"/>
        <w:right w:val="none" w:sz="0" w:space="0" w:color="auto"/>
      </w:divBdr>
      <w:divsChild>
        <w:div w:id="38750593">
          <w:marLeft w:val="0"/>
          <w:marRight w:val="0"/>
          <w:marTop w:val="0"/>
          <w:marBottom w:val="0"/>
          <w:divBdr>
            <w:top w:val="none" w:sz="0" w:space="0" w:color="auto"/>
            <w:left w:val="none" w:sz="0" w:space="0" w:color="auto"/>
            <w:bottom w:val="none" w:sz="0" w:space="0" w:color="auto"/>
            <w:right w:val="none" w:sz="0" w:space="0" w:color="auto"/>
          </w:divBdr>
          <w:divsChild>
            <w:div w:id="190921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29221">
      <w:bodyDiv w:val="1"/>
      <w:marLeft w:val="0"/>
      <w:marRight w:val="0"/>
      <w:marTop w:val="0"/>
      <w:marBottom w:val="0"/>
      <w:divBdr>
        <w:top w:val="none" w:sz="0" w:space="0" w:color="auto"/>
        <w:left w:val="none" w:sz="0" w:space="0" w:color="auto"/>
        <w:bottom w:val="none" w:sz="0" w:space="0" w:color="auto"/>
        <w:right w:val="none" w:sz="0" w:space="0" w:color="auto"/>
      </w:divBdr>
      <w:divsChild>
        <w:div w:id="98990292">
          <w:marLeft w:val="0"/>
          <w:marRight w:val="0"/>
          <w:marTop w:val="0"/>
          <w:marBottom w:val="0"/>
          <w:divBdr>
            <w:top w:val="none" w:sz="0" w:space="0" w:color="auto"/>
            <w:left w:val="none" w:sz="0" w:space="0" w:color="auto"/>
            <w:bottom w:val="none" w:sz="0" w:space="0" w:color="auto"/>
            <w:right w:val="none" w:sz="0" w:space="0" w:color="auto"/>
          </w:divBdr>
          <w:divsChild>
            <w:div w:id="124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38554071">
      <w:bodyDiv w:val="1"/>
      <w:marLeft w:val="0"/>
      <w:marRight w:val="0"/>
      <w:marTop w:val="0"/>
      <w:marBottom w:val="0"/>
      <w:divBdr>
        <w:top w:val="none" w:sz="0" w:space="0" w:color="auto"/>
        <w:left w:val="none" w:sz="0" w:space="0" w:color="auto"/>
        <w:bottom w:val="none" w:sz="0" w:space="0" w:color="auto"/>
        <w:right w:val="none" w:sz="0" w:space="0" w:color="auto"/>
      </w:divBdr>
      <w:divsChild>
        <w:div w:id="1766195457">
          <w:marLeft w:val="0"/>
          <w:marRight w:val="0"/>
          <w:marTop w:val="0"/>
          <w:marBottom w:val="0"/>
          <w:divBdr>
            <w:top w:val="none" w:sz="0" w:space="0" w:color="auto"/>
            <w:left w:val="none" w:sz="0" w:space="0" w:color="auto"/>
            <w:bottom w:val="none" w:sz="0" w:space="0" w:color="auto"/>
            <w:right w:val="none" w:sz="0" w:space="0" w:color="auto"/>
          </w:divBdr>
          <w:divsChild>
            <w:div w:id="18702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3317">
      <w:bodyDiv w:val="1"/>
      <w:marLeft w:val="0"/>
      <w:marRight w:val="0"/>
      <w:marTop w:val="0"/>
      <w:marBottom w:val="0"/>
      <w:divBdr>
        <w:top w:val="none" w:sz="0" w:space="0" w:color="auto"/>
        <w:left w:val="none" w:sz="0" w:space="0" w:color="auto"/>
        <w:bottom w:val="none" w:sz="0" w:space="0" w:color="auto"/>
        <w:right w:val="none" w:sz="0" w:space="0" w:color="auto"/>
      </w:divBdr>
      <w:divsChild>
        <w:div w:id="1229074332">
          <w:marLeft w:val="0"/>
          <w:marRight w:val="0"/>
          <w:marTop w:val="0"/>
          <w:marBottom w:val="0"/>
          <w:divBdr>
            <w:top w:val="none" w:sz="0" w:space="0" w:color="auto"/>
            <w:left w:val="none" w:sz="0" w:space="0" w:color="auto"/>
            <w:bottom w:val="none" w:sz="0" w:space="0" w:color="auto"/>
            <w:right w:val="none" w:sz="0" w:space="0" w:color="auto"/>
          </w:divBdr>
          <w:divsChild>
            <w:div w:id="14318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5340">
      <w:bodyDiv w:val="1"/>
      <w:marLeft w:val="0"/>
      <w:marRight w:val="0"/>
      <w:marTop w:val="0"/>
      <w:marBottom w:val="0"/>
      <w:divBdr>
        <w:top w:val="none" w:sz="0" w:space="0" w:color="auto"/>
        <w:left w:val="none" w:sz="0" w:space="0" w:color="auto"/>
        <w:bottom w:val="none" w:sz="0" w:space="0" w:color="auto"/>
        <w:right w:val="none" w:sz="0" w:space="0" w:color="auto"/>
      </w:divBdr>
      <w:divsChild>
        <w:div w:id="1582980796">
          <w:marLeft w:val="0"/>
          <w:marRight w:val="0"/>
          <w:marTop w:val="0"/>
          <w:marBottom w:val="0"/>
          <w:divBdr>
            <w:top w:val="none" w:sz="0" w:space="0" w:color="auto"/>
            <w:left w:val="none" w:sz="0" w:space="0" w:color="auto"/>
            <w:bottom w:val="none" w:sz="0" w:space="0" w:color="auto"/>
            <w:right w:val="none" w:sz="0" w:space="0" w:color="auto"/>
          </w:divBdr>
          <w:divsChild>
            <w:div w:id="57693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6577">
      <w:bodyDiv w:val="1"/>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sChild>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54623010">
      <w:bodyDiv w:val="1"/>
      <w:marLeft w:val="0"/>
      <w:marRight w:val="0"/>
      <w:marTop w:val="0"/>
      <w:marBottom w:val="0"/>
      <w:divBdr>
        <w:top w:val="none" w:sz="0" w:space="0" w:color="auto"/>
        <w:left w:val="none" w:sz="0" w:space="0" w:color="auto"/>
        <w:bottom w:val="none" w:sz="0" w:space="0" w:color="auto"/>
        <w:right w:val="none" w:sz="0" w:space="0" w:color="auto"/>
      </w:divBdr>
      <w:divsChild>
        <w:div w:id="576289530">
          <w:marLeft w:val="0"/>
          <w:marRight w:val="0"/>
          <w:marTop w:val="0"/>
          <w:marBottom w:val="0"/>
          <w:divBdr>
            <w:top w:val="none" w:sz="0" w:space="0" w:color="auto"/>
            <w:left w:val="none" w:sz="0" w:space="0" w:color="auto"/>
            <w:bottom w:val="none" w:sz="0" w:space="0" w:color="auto"/>
            <w:right w:val="none" w:sz="0" w:space="0" w:color="auto"/>
          </w:divBdr>
          <w:divsChild>
            <w:div w:id="1337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979">
      <w:bodyDiv w:val="1"/>
      <w:marLeft w:val="0"/>
      <w:marRight w:val="0"/>
      <w:marTop w:val="0"/>
      <w:marBottom w:val="0"/>
      <w:divBdr>
        <w:top w:val="none" w:sz="0" w:space="0" w:color="auto"/>
        <w:left w:val="none" w:sz="0" w:space="0" w:color="auto"/>
        <w:bottom w:val="none" w:sz="0" w:space="0" w:color="auto"/>
        <w:right w:val="none" w:sz="0" w:space="0" w:color="auto"/>
      </w:divBdr>
      <w:divsChild>
        <w:div w:id="758521458">
          <w:marLeft w:val="0"/>
          <w:marRight w:val="0"/>
          <w:marTop w:val="0"/>
          <w:marBottom w:val="0"/>
          <w:divBdr>
            <w:top w:val="none" w:sz="0" w:space="0" w:color="auto"/>
            <w:left w:val="none" w:sz="0" w:space="0" w:color="auto"/>
            <w:bottom w:val="none" w:sz="0" w:space="0" w:color="auto"/>
            <w:right w:val="none" w:sz="0" w:space="0" w:color="auto"/>
          </w:divBdr>
          <w:divsChild>
            <w:div w:id="12165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0945">
      <w:bodyDiv w:val="1"/>
      <w:marLeft w:val="0"/>
      <w:marRight w:val="0"/>
      <w:marTop w:val="0"/>
      <w:marBottom w:val="0"/>
      <w:divBdr>
        <w:top w:val="none" w:sz="0" w:space="0" w:color="auto"/>
        <w:left w:val="none" w:sz="0" w:space="0" w:color="auto"/>
        <w:bottom w:val="none" w:sz="0" w:space="0" w:color="auto"/>
        <w:right w:val="none" w:sz="0" w:space="0" w:color="auto"/>
      </w:divBdr>
      <w:divsChild>
        <w:div w:id="1200969100">
          <w:marLeft w:val="0"/>
          <w:marRight w:val="0"/>
          <w:marTop w:val="0"/>
          <w:marBottom w:val="0"/>
          <w:divBdr>
            <w:top w:val="none" w:sz="0" w:space="0" w:color="auto"/>
            <w:left w:val="none" w:sz="0" w:space="0" w:color="auto"/>
            <w:bottom w:val="none" w:sz="0" w:space="0" w:color="auto"/>
            <w:right w:val="none" w:sz="0" w:space="0" w:color="auto"/>
          </w:divBdr>
          <w:divsChild>
            <w:div w:id="171666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2388">
      <w:bodyDiv w:val="1"/>
      <w:marLeft w:val="0"/>
      <w:marRight w:val="0"/>
      <w:marTop w:val="0"/>
      <w:marBottom w:val="0"/>
      <w:divBdr>
        <w:top w:val="none" w:sz="0" w:space="0" w:color="auto"/>
        <w:left w:val="none" w:sz="0" w:space="0" w:color="auto"/>
        <w:bottom w:val="none" w:sz="0" w:space="0" w:color="auto"/>
        <w:right w:val="none" w:sz="0" w:space="0" w:color="auto"/>
      </w:divBdr>
      <w:divsChild>
        <w:div w:id="1640261092">
          <w:marLeft w:val="0"/>
          <w:marRight w:val="0"/>
          <w:marTop w:val="0"/>
          <w:marBottom w:val="0"/>
          <w:divBdr>
            <w:top w:val="none" w:sz="0" w:space="0" w:color="auto"/>
            <w:left w:val="none" w:sz="0" w:space="0" w:color="auto"/>
            <w:bottom w:val="none" w:sz="0" w:space="0" w:color="auto"/>
            <w:right w:val="none" w:sz="0" w:space="0" w:color="auto"/>
          </w:divBdr>
          <w:divsChild>
            <w:div w:id="17512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7720">
      <w:bodyDiv w:val="1"/>
      <w:marLeft w:val="0"/>
      <w:marRight w:val="0"/>
      <w:marTop w:val="0"/>
      <w:marBottom w:val="0"/>
      <w:divBdr>
        <w:top w:val="none" w:sz="0" w:space="0" w:color="auto"/>
        <w:left w:val="none" w:sz="0" w:space="0" w:color="auto"/>
        <w:bottom w:val="none" w:sz="0" w:space="0" w:color="auto"/>
        <w:right w:val="none" w:sz="0" w:space="0" w:color="auto"/>
      </w:divBdr>
      <w:divsChild>
        <w:div w:id="1305349645">
          <w:marLeft w:val="0"/>
          <w:marRight w:val="0"/>
          <w:marTop w:val="0"/>
          <w:marBottom w:val="0"/>
          <w:divBdr>
            <w:top w:val="none" w:sz="0" w:space="0" w:color="auto"/>
            <w:left w:val="none" w:sz="0" w:space="0" w:color="auto"/>
            <w:bottom w:val="none" w:sz="0" w:space="0" w:color="auto"/>
            <w:right w:val="none" w:sz="0" w:space="0" w:color="auto"/>
          </w:divBdr>
          <w:divsChild>
            <w:div w:id="15450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4439">
      <w:bodyDiv w:val="1"/>
      <w:marLeft w:val="0"/>
      <w:marRight w:val="0"/>
      <w:marTop w:val="0"/>
      <w:marBottom w:val="0"/>
      <w:divBdr>
        <w:top w:val="none" w:sz="0" w:space="0" w:color="auto"/>
        <w:left w:val="none" w:sz="0" w:space="0" w:color="auto"/>
        <w:bottom w:val="none" w:sz="0" w:space="0" w:color="auto"/>
        <w:right w:val="none" w:sz="0" w:space="0" w:color="auto"/>
      </w:divBdr>
      <w:divsChild>
        <w:div w:id="1457138381">
          <w:marLeft w:val="0"/>
          <w:marRight w:val="0"/>
          <w:marTop w:val="0"/>
          <w:marBottom w:val="0"/>
          <w:divBdr>
            <w:top w:val="none" w:sz="0" w:space="0" w:color="auto"/>
            <w:left w:val="none" w:sz="0" w:space="0" w:color="auto"/>
            <w:bottom w:val="none" w:sz="0" w:space="0" w:color="auto"/>
            <w:right w:val="none" w:sz="0" w:space="0" w:color="auto"/>
          </w:divBdr>
          <w:divsChild>
            <w:div w:id="148092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428">
      <w:bodyDiv w:val="1"/>
      <w:marLeft w:val="0"/>
      <w:marRight w:val="0"/>
      <w:marTop w:val="0"/>
      <w:marBottom w:val="0"/>
      <w:divBdr>
        <w:top w:val="none" w:sz="0" w:space="0" w:color="auto"/>
        <w:left w:val="none" w:sz="0" w:space="0" w:color="auto"/>
        <w:bottom w:val="none" w:sz="0" w:space="0" w:color="auto"/>
        <w:right w:val="none" w:sz="0" w:space="0" w:color="auto"/>
      </w:divBdr>
      <w:divsChild>
        <w:div w:id="1990668748">
          <w:marLeft w:val="0"/>
          <w:marRight w:val="0"/>
          <w:marTop w:val="0"/>
          <w:marBottom w:val="0"/>
          <w:divBdr>
            <w:top w:val="none" w:sz="0" w:space="0" w:color="auto"/>
            <w:left w:val="none" w:sz="0" w:space="0" w:color="auto"/>
            <w:bottom w:val="none" w:sz="0" w:space="0" w:color="auto"/>
            <w:right w:val="none" w:sz="0" w:space="0" w:color="auto"/>
          </w:divBdr>
          <w:divsChild>
            <w:div w:id="151233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5421">
      <w:bodyDiv w:val="1"/>
      <w:marLeft w:val="0"/>
      <w:marRight w:val="0"/>
      <w:marTop w:val="0"/>
      <w:marBottom w:val="0"/>
      <w:divBdr>
        <w:top w:val="none" w:sz="0" w:space="0" w:color="auto"/>
        <w:left w:val="none" w:sz="0" w:space="0" w:color="auto"/>
        <w:bottom w:val="none" w:sz="0" w:space="0" w:color="auto"/>
        <w:right w:val="none" w:sz="0" w:space="0" w:color="auto"/>
      </w:divBdr>
      <w:divsChild>
        <w:div w:id="968903599">
          <w:marLeft w:val="0"/>
          <w:marRight w:val="0"/>
          <w:marTop w:val="0"/>
          <w:marBottom w:val="0"/>
          <w:divBdr>
            <w:top w:val="none" w:sz="0" w:space="0" w:color="auto"/>
            <w:left w:val="none" w:sz="0" w:space="0" w:color="auto"/>
            <w:bottom w:val="none" w:sz="0" w:space="0" w:color="auto"/>
            <w:right w:val="none" w:sz="0" w:space="0" w:color="auto"/>
          </w:divBdr>
          <w:divsChild>
            <w:div w:id="2580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1621">
      <w:bodyDiv w:val="1"/>
      <w:marLeft w:val="0"/>
      <w:marRight w:val="0"/>
      <w:marTop w:val="0"/>
      <w:marBottom w:val="0"/>
      <w:divBdr>
        <w:top w:val="none" w:sz="0" w:space="0" w:color="auto"/>
        <w:left w:val="none" w:sz="0" w:space="0" w:color="auto"/>
        <w:bottom w:val="none" w:sz="0" w:space="0" w:color="auto"/>
        <w:right w:val="none" w:sz="0" w:space="0" w:color="auto"/>
      </w:divBdr>
      <w:divsChild>
        <w:div w:id="247082120">
          <w:marLeft w:val="0"/>
          <w:marRight w:val="0"/>
          <w:marTop w:val="0"/>
          <w:marBottom w:val="0"/>
          <w:divBdr>
            <w:top w:val="none" w:sz="0" w:space="0" w:color="auto"/>
            <w:left w:val="none" w:sz="0" w:space="0" w:color="auto"/>
            <w:bottom w:val="none" w:sz="0" w:space="0" w:color="auto"/>
            <w:right w:val="none" w:sz="0" w:space="0" w:color="auto"/>
          </w:divBdr>
          <w:divsChild>
            <w:div w:id="18766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3618">
      <w:bodyDiv w:val="1"/>
      <w:marLeft w:val="0"/>
      <w:marRight w:val="0"/>
      <w:marTop w:val="0"/>
      <w:marBottom w:val="0"/>
      <w:divBdr>
        <w:top w:val="none" w:sz="0" w:space="0" w:color="auto"/>
        <w:left w:val="none" w:sz="0" w:space="0" w:color="auto"/>
        <w:bottom w:val="none" w:sz="0" w:space="0" w:color="auto"/>
        <w:right w:val="none" w:sz="0" w:space="0" w:color="auto"/>
      </w:divBdr>
      <w:divsChild>
        <w:div w:id="949430655">
          <w:marLeft w:val="0"/>
          <w:marRight w:val="0"/>
          <w:marTop w:val="0"/>
          <w:marBottom w:val="0"/>
          <w:divBdr>
            <w:top w:val="none" w:sz="0" w:space="0" w:color="auto"/>
            <w:left w:val="none" w:sz="0" w:space="0" w:color="auto"/>
            <w:bottom w:val="none" w:sz="0" w:space="0" w:color="auto"/>
            <w:right w:val="none" w:sz="0" w:space="0" w:color="auto"/>
          </w:divBdr>
          <w:divsChild>
            <w:div w:id="5866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8428">
      <w:bodyDiv w:val="1"/>
      <w:marLeft w:val="0"/>
      <w:marRight w:val="0"/>
      <w:marTop w:val="0"/>
      <w:marBottom w:val="0"/>
      <w:divBdr>
        <w:top w:val="none" w:sz="0" w:space="0" w:color="auto"/>
        <w:left w:val="none" w:sz="0" w:space="0" w:color="auto"/>
        <w:bottom w:val="none" w:sz="0" w:space="0" w:color="auto"/>
        <w:right w:val="none" w:sz="0" w:space="0" w:color="auto"/>
      </w:divBdr>
      <w:divsChild>
        <w:div w:id="1719891529">
          <w:marLeft w:val="0"/>
          <w:marRight w:val="0"/>
          <w:marTop w:val="0"/>
          <w:marBottom w:val="0"/>
          <w:divBdr>
            <w:top w:val="none" w:sz="0" w:space="0" w:color="auto"/>
            <w:left w:val="none" w:sz="0" w:space="0" w:color="auto"/>
            <w:bottom w:val="none" w:sz="0" w:space="0" w:color="auto"/>
            <w:right w:val="none" w:sz="0" w:space="0" w:color="auto"/>
          </w:divBdr>
          <w:divsChild>
            <w:div w:id="2341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2725">
      <w:bodyDiv w:val="1"/>
      <w:marLeft w:val="0"/>
      <w:marRight w:val="0"/>
      <w:marTop w:val="0"/>
      <w:marBottom w:val="0"/>
      <w:divBdr>
        <w:top w:val="none" w:sz="0" w:space="0" w:color="auto"/>
        <w:left w:val="none" w:sz="0" w:space="0" w:color="auto"/>
        <w:bottom w:val="none" w:sz="0" w:space="0" w:color="auto"/>
        <w:right w:val="none" w:sz="0" w:space="0" w:color="auto"/>
      </w:divBdr>
      <w:divsChild>
        <w:div w:id="608129263">
          <w:marLeft w:val="0"/>
          <w:marRight w:val="0"/>
          <w:marTop w:val="0"/>
          <w:marBottom w:val="0"/>
          <w:divBdr>
            <w:top w:val="none" w:sz="0" w:space="0" w:color="auto"/>
            <w:left w:val="none" w:sz="0" w:space="0" w:color="auto"/>
            <w:bottom w:val="none" w:sz="0" w:space="0" w:color="auto"/>
            <w:right w:val="none" w:sz="0" w:space="0" w:color="auto"/>
          </w:divBdr>
          <w:divsChild>
            <w:div w:id="139566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632">
      <w:bodyDiv w:val="1"/>
      <w:marLeft w:val="0"/>
      <w:marRight w:val="0"/>
      <w:marTop w:val="0"/>
      <w:marBottom w:val="0"/>
      <w:divBdr>
        <w:top w:val="none" w:sz="0" w:space="0" w:color="auto"/>
        <w:left w:val="none" w:sz="0" w:space="0" w:color="auto"/>
        <w:bottom w:val="none" w:sz="0" w:space="0" w:color="auto"/>
        <w:right w:val="none" w:sz="0" w:space="0" w:color="auto"/>
      </w:divBdr>
      <w:divsChild>
        <w:div w:id="664281844">
          <w:marLeft w:val="0"/>
          <w:marRight w:val="0"/>
          <w:marTop w:val="0"/>
          <w:marBottom w:val="0"/>
          <w:divBdr>
            <w:top w:val="none" w:sz="0" w:space="0" w:color="auto"/>
            <w:left w:val="none" w:sz="0" w:space="0" w:color="auto"/>
            <w:bottom w:val="none" w:sz="0" w:space="0" w:color="auto"/>
            <w:right w:val="none" w:sz="0" w:space="0" w:color="auto"/>
          </w:divBdr>
          <w:divsChild>
            <w:div w:id="9448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2150">
      <w:bodyDiv w:val="1"/>
      <w:marLeft w:val="0"/>
      <w:marRight w:val="0"/>
      <w:marTop w:val="0"/>
      <w:marBottom w:val="0"/>
      <w:divBdr>
        <w:top w:val="none" w:sz="0" w:space="0" w:color="auto"/>
        <w:left w:val="none" w:sz="0" w:space="0" w:color="auto"/>
        <w:bottom w:val="none" w:sz="0" w:space="0" w:color="auto"/>
        <w:right w:val="none" w:sz="0" w:space="0" w:color="auto"/>
      </w:divBdr>
      <w:divsChild>
        <w:div w:id="1736779255">
          <w:marLeft w:val="0"/>
          <w:marRight w:val="0"/>
          <w:marTop w:val="0"/>
          <w:marBottom w:val="0"/>
          <w:divBdr>
            <w:top w:val="none" w:sz="0" w:space="0" w:color="auto"/>
            <w:left w:val="none" w:sz="0" w:space="0" w:color="auto"/>
            <w:bottom w:val="none" w:sz="0" w:space="0" w:color="auto"/>
            <w:right w:val="none" w:sz="0" w:space="0" w:color="auto"/>
          </w:divBdr>
          <w:divsChild>
            <w:div w:id="180211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1150">
      <w:bodyDiv w:val="1"/>
      <w:marLeft w:val="0"/>
      <w:marRight w:val="0"/>
      <w:marTop w:val="0"/>
      <w:marBottom w:val="0"/>
      <w:divBdr>
        <w:top w:val="none" w:sz="0" w:space="0" w:color="auto"/>
        <w:left w:val="none" w:sz="0" w:space="0" w:color="auto"/>
        <w:bottom w:val="none" w:sz="0" w:space="0" w:color="auto"/>
        <w:right w:val="none" w:sz="0" w:space="0" w:color="auto"/>
      </w:divBdr>
      <w:divsChild>
        <w:div w:id="708341564">
          <w:marLeft w:val="0"/>
          <w:marRight w:val="0"/>
          <w:marTop w:val="0"/>
          <w:marBottom w:val="0"/>
          <w:divBdr>
            <w:top w:val="none" w:sz="0" w:space="0" w:color="auto"/>
            <w:left w:val="none" w:sz="0" w:space="0" w:color="auto"/>
            <w:bottom w:val="none" w:sz="0" w:space="0" w:color="auto"/>
            <w:right w:val="none" w:sz="0" w:space="0" w:color="auto"/>
          </w:divBdr>
          <w:divsChild>
            <w:div w:id="60496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36072161">
      <w:bodyDiv w:val="1"/>
      <w:marLeft w:val="0"/>
      <w:marRight w:val="0"/>
      <w:marTop w:val="0"/>
      <w:marBottom w:val="0"/>
      <w:divBdr>
        <w:top w:val="none" w:sz="0" w:space="0" w:color="auto"/>
        <w:left w:val="none" w:sz="0" w:space="0" w:color="auto"/>
        <w:bottom w:val="none" w:sz="0" w:space="0" w:color="auto"/>
        <w:right w:val="none" w:sz="0" w:space="0" w:color="auto"/>
      </w:divBdr>
      <w:divsChild>
        <w:div w:id="1481728087">
          <w:marLeft w:val="0"/>
          <w:marRight w:val="0"/>
          <w:marTop w:val="0"/>
          <w:marBottom w:val="0"/>
          <w:divBdr>
            <w:top w:val="none" w:sz="0" w:space="0" w:color="auto"/>
            <w:left w:val="none" w:sz="0" w:space="0" w:color="auto"/>
            <w:bottom w:val="none" w:sz="0" w:space="0" w:color="auto"/>
            <w:right w:val="none" w:sz="0" w:space="0" w:color="auto"/>
          </w:divBdr>
          <w:divsChild>
            <w:div w:id="71447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7468">
      <w:bodyDiv w:val="1"/>
      <w:marLeft w:val="0"/>
      <w:marRight w:val="0"/>
      <w:marTop w:val="0"/>
      <w:marBottom w:val="0"/>
      <w:divBdr>
        <w:top w:val="none" w:sz="0" w:space="0" w:color="auto"/>
        <w:left w:val="none" w:sz="0" w:space="0" w:color="auto"/>
        <w:bottom w:val="none" w:sz="0" w:space="0" w:color="auto"/>
        <w:right w:val="none" w:sz="0" w:space="0" w:color="auto"/>
      </w:divBdr>
      <w:divsChild>
        <w:div w:id="2056925531">
          <w:marLeft w:val="0"/>
          <w:marRight w:val="0"/>
          <w:marTop w:val="0"/>
          <w:marBottom w:val="0"/>
          <w:divBdr>
            <w:top w:val="none" w:sz="0" w:space="0" w:color="auto"/>
            <w:left w:val="none" w:sz="0" w:space="0" w:color="auto"/>
            <w:bottom w:val="none" w:sz="0" w:space="0" w:color="auto"/>
            <w:right w:val="none" w:sz="0" w:space="0" w:color="auto"/>
          </w:divBdr>
          <w:divsChild>
            <w:div w:id="6871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2686">
      <w:bodyDiv w:val="1"/>
      <w:marLeft w:val="0"/>
      <w:marRight w:val="0"/>
      <w:marTop w:val="0"/>
      <w:marBottom w:val="0"/>
      <w:divBdr>
        <w:top w:val="none" w:sz="0" w:space="0" w:color="auto"/>
        <w:left w:val="none" w:sz="0" w:space="0" w:color="auto"/>
        <w:bottom w:val="none" w:sz="0" w:space="0" w:color="auto"/>
        <w:right w:val="none" w:sz="0" w:space="0" w:color="auto"/>
      </w:divBdr>
      <w:divsChild>
        <w:div w:id="1057896085">
          <w:marLeft w:val="0"/>
          <w:marRight w:val="0"/>
          <w:marTop w:val="0"/>
          <w:marBottom w:val="0"/>
          <w:divBdr>
            <w:top w:val="none" w:sz="0" w:space="0" w:color="auto"/>
            <w:left w:val="none" w:sz="0" w:space="0" w:color="auto"/>
            <w:bottom w:val="none" w:sz="0" w:space="0" w:color="auto"/>
            <w:right w:val="none" w:sz="0" w:space="0" w:color="auto"/>
          </w:divBdr>
          <w:divsChild>
            <w:div w:id="209881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391">
      <w:bodyDiv w:val="1"/>
      <w:marLeft w:val="0"/>
      <w:marRight w:val="0"/>
      <w:marTop w:val="0"/>
      <w:marBottom w:val="0"/>
      <w:divBdr>
        <w:top w:val="none" w:sz="0" w:space="0" w:color="auto"/>
        <w:left w:val="none" w:sz="0" w:space="0" w:color="auto"/>
        <w:bottom w:val="none" w:sz="0" w:space="0" w:color="auto"/>
        <w:right w:val="none" w:sz="0" w:space="0" w:color="auto"/>
      </w:divBdr>
      <w:divsChild>
        <w:div w:id="1765610140">
          <w:marLeft w:val="0"/>
          <w:marRight w:val="0"/>
          <w:marTop w:val="0"/>
          <w:marBottom w:val="0"/>
          <w:divBdr>
            <w:top w:val="none" w:sz="0" w:space="0" w:color="auto"/>
            <w:left w:val="none" w:sz="0" w:space="0" w:color="auto"/>
            <w:bottom w:val="none" w:sz="0" w:space="0" w:color="auto"/>
            <w:right w:val="none" w:sz="0" w:space="0" w:color="auto"/>
          </w:divBdr>
          <w:divsChild>
            <w:div w:id="1365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8952">
      <w:bodyDiv w:val="1"/>
      <w:marLeft w:val="0"/>
      <w:marRight w:val="0"/>
      <w:marTop w:val="0"/>
      <w:marBottom w:val="0"/>
      <w:divBdr>
        <w:top w:val="none" w:sz="0" w:space="0" w:color="auto"/>
        <w:left w:val="none" w:sz="0" w:space="0" w:color="auto"/>
        <w:bottom w:val="none" w:sz="0" w:space="0" w:color="auto"/>
        <w:right w:val="none" w:sz="0" w:space="0" w:color="auto"/>
      </w:divBdr>
      <w:divsChild>
        <w:div w:id="1298685438">
          <w:marLeft w:val="0"/>
          <w:marRight w:val="0"/>
          <w:marTop w:val="0"/>
          <w:marBottom w:val="0"/>
          <w:divBdr>
            <w:top w:val="none" w:sz="0" w:space="0" w:color="auto"/>
            <w:left w:val="none" w:sz="0" w:space="0" w:color="auto"/>
            <w:bottom w:val="none" w:sz="0" w:space="0" w:color="auto"/>
            <w:right w:val="none" w:sz="0" w:space="0" w:color="auto"/>
          </w:divBdr>
          <w:divsChild>
            <w:div w:id="212149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4491182">
      <w:bodyDiv w:val="1"/>
      <w:marLeft w:val="0"/>
      <w:marRight w:val="0"/>
      <w:marTop w:val="0"/>
      <w:marBottom w:val="0"/>
      <w:divBdr>
        <w:top w:val="none" w:sz="0" w:space="0" w:color="auto"/>
        <w:left w:val="none" w:sz="0" w:space="0" w:color="auto"/>
        <w:bottom w:val="none" w:sz="0" w:space="0" w:color="auto"/>
        <w:right w:val="none" w:sz="0" w:space="0" w:color="auto"/>
      </w:divBdr>
      <w:divsChild>
        <w:div w:id="1704481431">
          <w:marLeft w:val="0"/>
          <w:marRight w:val="0"/>
          <w:marTop w:val="0"/>
          <w:marBottom w:val="0"/>
          <w:divBdr>
            <w:top w:val="none" w:sz="0" w:space="0" w:color="auto"/>
            <w:left w:val="none" w:sz="0" w:space="0" w:color="auto"/>
            <w:bottom w:val="none" w:sz="0" w:space="0" w:color="auto"/>
            <w:right w:val="none" w:sz="0" w:space="0" w:color="auto"/>
          </w:divBdr>
          <w:divsChild>
            <w:div w:id="212541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478">
      <w:bodyDiv w:val="1"/>
      <w:marLeft w:val="0"/>
      <w:marRight w:val="0"/>
      <w:marTop w:val="0"/>
      <w:marBottom w:val="0"/>
      <w:divBdr>
        <w:top w:val="none" w:sz="0" w:space="0" w:color="auto"/>
        <w:left w:val="none" w:sz="0" w:space="0" w:color="auto"/>
        <w:bottom w:val="none" w:sz="0" w:space="0" w:color="auto"/>
        <w:right w:val="none" w:sz="0" w:space="0" w:color="auto"/>
      </w:divBdr>
      <w:divsChild>
        <w:div w:id="1818643745">
          <w:marLeft w:val="0"/>
          <w:marRight w:val="0"/>
          <w:marTop w:val="0"/>
          <w:marBottom w:val="0"/>
          <w:divBdr>
            <w:top w:val="none" w:sz="0" w:space="0" w:color="auto"/>
            <w:left w:val="none" w:sz="0" w:space="0" w:color="auto"/>
            <w:bottom w:val="none" w:sz="0" w:space="0" w:color="auto"/>
            <w:right w:val="none" w:sz="0" w:space="0" w:color="auto"/>
          </w:divBdr>
          <w:divsChild>
            <w:div w:id="2498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57044207">
      <w:bodyDiv w:val="1"/>
      <w:marLeft w:val="0"/>
      <w:marRight w:val="0"/>
      <w:marTop w:val="0"/>
      <w:marBottom w:val="0"/>
      <w:divBdr>
        <w:top w:val="none" w:sz="0" w:space="0" w:color="auto"/>
        <w:left w:val="none" w:sz="0" w:space="0" w:color="auto"/>
        <w:bottom w:val="none" w:sz="0" w:space="0" w:color="auto"/>
        <w:right w:val="none" w:sz="0" w:space="0" w:color="auto"/>
      </w:divBdr>
      <w:divsChild>
        <w:div w:id="665520983">
          <w:marLeft w:val="0"/>
          <w:marRight w:val="0"/>
          <w:marTop w:val="0"/>
          <w:marBottom w:val="0"/>
          <w:divBdr>
            <w:top w:val="none" w:sz="0" w:space="0" w:color="auto"/>
            <w:left w:val="none" w:sz="0" w:space="0" w:color="auto"/>
            <w:bottom w:val="none" w:sz="0" w:space="0" w:color="auto"/>
            <w:right w:val="none" w:sz="0" w:space="0" w:color="auto"/>
          </w:divBdr>
          <w:divsChild>
            <w:div w:id="91667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54118">
      <w:bodyDiv w:val="1"/>
      <w:marLeft w:val="0"/>
      <w:marRight w:val="0"/>
      <w:marTop w:val="0"/>
      <w:marBottom w:val="0"/>
      <w:divBdr>
        <w:top w:val="none" w:sz="0" w:space="0" w:color="auto"/>
        <w:left w:val="none" w:sz="0" w:space="0" w:color="auto"/>
        <w:bottom w:val="none" w:sz="0" w:space="0" w:color="auto"/>
        <w:right w:val="none" w:sz="0" w:space="0" w:color="auto"/>
      </w:divBdr>
      <w:divsChild>
        <w:div w:id="983968111">
          <w:marLeft w:val="0"/>
          <w:marRight w:val="0"/>
          <w:marTop w:val="0"/>
          <w:marBottom w:val="0"/>
          <w:divBdr>
            <w:top w:val="none" w:sz="0" w:space="0" w:color="auto"/>
            <w:left w:val="none" w:sz="0" w:space="0" w:color="auto"/>
            <w:bottom w:val="none" w:sz="0" w:space="0" w:color="auto"/>
            <w:right w:val="none" w:sz="0" w:space="0" w:color="auto"/>
          </w:divBdr>
          <w:divsChild>
            <w:div w:id="179643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8440">
      <w:bodyDiv w:val="1"/>
      <w:marLeft w:val="0"/>
      <w:marRight w:val="0"/>
      <w:marTop w:val="0"/>
      <w:marBottom w:val="0"/>
      <w:divBdr>
        <w:top w:val="none" w:sz="0" w:space="0" w:color="auto"/>
        <w:left w:val="none" w:sz="0" w:space="0" w:color="auto"/>
        <w:bottom w:val="none" w:sz="0" w:space="0" w:color="auto"/>
        <w:right w:val="none" w:sz="0" w:space="0" w:color="auto"/>
      </w:divBdr>
      <w:divsChild>
        <w:div w:id="810098473">
          <w:marLeft w:val="0"/>
          <w:marRight w:val="0"/>
          <w:marTop w:val="0"/>
          <w:marBottom w:val="0"/>
          <w:divBdr>
            <w:top w:val="none" w:sz="0" w:space="0" w:color="auto"/>
            <w:left w:val="none" w:sz="0" w:space="0" w:color="auto"/>
            <w:bottom w:val="none" w:sz="0" w:space="0" w:color="auto"/>
            <w:right w:val="none" w:sz="0" w:space="0" w:color="auto"/>
          </w:divBdr>
          <w:divsChild>
            <w:div w:id="8960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8191">
      <w:bodyDiv w:val="1"/>
      <w:marLeft w:val="0"/>
      <w:marRight w:val="0"/>
      <w:marTop w:val="0"/>
      <w:marBottom w:val="0"/>
      <w:divBdr>
        <w:top w:val="none" w:sz="0" w:space="0" w:color="auto"/>
        <w:left w:val="none" w:sz="0" w:space="0" w:color="auto"/>
        <w:bottom w:val="none" w:sz="0" w:space="0" w:color="auto"/>
        <w:right w:val="none" w:sz="0" w:space="0" w:color="auto"/>
      </w:divBdr>
      <w:divsChild>
        <w:div w:id="772360000">
          <w:marLeft w:val="0"/>
          <w:marRight w:val="0"/>
          <w:marTop w:val="0"/>
          <w:marBottom w:val="0"/>
          <w:divBdr>
            <w:top w:val="none" w:sz="0" w:space="0" w:color="auto"/>
            <w:left w:val="none" w:sz="0" w:space="0" w:color="auto"/>
            <w:bottom w:val="none" w:sz="0" w:space="0" w:color="auto"/>
            <w:right w:val="none" w:sz="0" w:space="0" w:color="auto"/>
          </w:divBdr>
          <w:divsChild>
            <w:div w:id="17236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4416">
      <w:bodyDiv w:val="1"/>
      <w:marLeft w:val="0"/>
      <w:marRight w:val="0"/>
      <w:marTop w:val="0"/>
      <w:marBottom w:val="0"/>
      <w:divBdr>
        <w:top w:val="none" w:sz="0" w:space="0" w:color="auto"/>
        <w:left w:val="none" w:sz="0" w:space="0" w:color="auto"/>
        <w:bottom w:val="none" w:sz="0" w:space="0" w:color="auto"/>
        <w:right w:val="none" w:sz="0" w:space="0" w:color="auto"/>
      </w:divBdr>
      <w:divsChild>
        <w:div w:id="1967270421">
          <w:marLeft w:val="0"/>
          <w:marRight w:val="0"/>
          <w:marTop w:val="0"/>
          <w:marBottom w:val="0"/>
          <w:divBdr>
            <w:top w:val="none" w:sz="0" w:space="0" w:color="auto"/>
            <w:left w:val="none" w:sz="0" w:space="0" w:color="auto"/>
            <w:bottom w:val="none" w:sz="0" w:space="0" w:color="auto"/>
            <w:right w:val="none" w:sz="0" w:space="0" w:color="auto"/>
          </w:divBdr>
          <w:divsChild>
            <w:div w:id="91239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6209">
      <w:bodyDiv w:val="1"/>
      <w:marLeft w:val="0"/>
      <w:marRight w:val="0"/>
      <w:marTop w:val="0"/>
      <w:marBottom w:val="0"/>
      <w:divBdr>
        <w:top w:val="none" w:sz="0" w:space="0" w:color="auto"/>
        <w:left w:val="none" w:sz="0" w:space="0" w:color="auto"/>
        <w:bottom w:val="none" w:sz="0" w:space="0" w:color="auto"/>
        <w:right w:val="none" w:sz="0" w:space="0" w:color="auto"/>
      </w:divBdr>
      <w:divsChild>
        <w:div w:id="1591694332">
          <w:marLeft w:val="0"/>
          <w:marRight w:val="0"/>
          <w:marTop w:val="0"/>
          <w:marBottom w:val="0"/>
          <w:divBdr>
            <w:top w:val="none" w:sz="0" w:space="0" w:color="auto"/>
            <w:left w:val="none" w:sz="0" w:space="0" w:color="auto"/>
            <w:bottom w:val="none" w:sz="0" w:space="0" w:color="auto"/>
            <w:right w:val="none" w:sz="0" w:space="0" w:color="auto"/>
          </w:divBdr>
          <w:divsChild>
            <w:div w:id="128647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190999526">
      <w:bodyDiv w:val="1"/>
      <w:marLeft w:val="0"/>
      <w:marRight w:val="0"/>
      <w:marTop w:val="0"/>
      <w:marBottom w:val="0"/>
      <w:divBdr>
        <w:top w:val="none" w:sz="0" w:space="0" w:color="auto"/>
        <w:left w:val="none" w:sz="0" w:space="0" w:color="auto"/>
        <w:bottom w:val="none" w:sz="0" w:space="0" w:color="auto"/>
        <w:right w:val="none" w:sz="0" w:space="0" w:color="auto"/>
      </w:divBdr>
      <w:divsChild>
        <w:div w:id="1736004918">
          <w:marLeft w:val="0"/>
          <w:marRight w:val="0"/>
          <w:marTop w:val="0"/>
          <w:marBottom w:val="0"/>
          <w:divBdr>
            <w:top w:val="none" w:sz="0" w:space="0" w:color="auto"/>
            <w:left w:val="none" w:sz="0" w:space="0" w:color="auto"/>
            <w:bottom w:val="none" w:sz="0" w:space="0" w:color="auto"/>
            <w:right w:val="none" w:sz="0" w:space="0" w:color="auto"/>
          </w:divBdr>
          <w:divsChild>
            <w:div w:id="187441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6256">
      <w:bodyDiv w:val="1"/>
      <w:marLeft w:val="0"/>
      <w:marRight w:val="0"/>
      <w:marTop w:val="0"/>
      <w:marBottom w:val="0"/>
      <w:divBdr>
        <w:top w:val="none" w:sz="0" w:space="0" w:color="auto"/>
        <w:left w:val="none" w:sz="0" w:space="0" w:color="auto"/>
        <w:bottom w:val="none" w:sz="0" w:space="0" w:color="auto"/>
        <w:right w:val="none" w:sz="0" w:space="0" w:color="auto"/>
      </w:divBdr>
      <w:divsChild>
        <w:div w:id="57096903">
          <w:marLeft w:val="0"/>
          <w:marRight w:val="0"/>
          <w:marTop w:val="0"/>
          <w:marBottom w:val="0"/>
          <w:divBdr>
            <w:top w:val="none" w:sz="0" w:space="0" w:color="auto"/>
            <w:left w:val="none" w:sz="0" w:space="0" w:color="auto"/>
            <w:bottom w:val="none" w:sz="0" w:space="0" w:color="auto"/>
            <w:right w:val="none" w:sz="0" w:space="0" w:color="auto"/>
          </w:divBdr>
          <w:divsChild>
            <w:div w:id="82813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5502">
      <w:bodyDiv w:val="1"/>
      <w:marLeft w:val="0"/>
      <w:marRight w:val="0"/>
      <w:marTop w:val="0"/>
      <w:marBottom w:val="0"/>
      <w:divBdr>
        <w:top w:val="none" w:sz="0" w:space="0" w:color="auto"/>
        <w:left w:val="none" w:sz="0" w:space="0" w:color="auto"/>
        <w:bottom w:val="none" w:sz="0" w:space="0" w:color="auto"/>
        <w:right w:val="none" w:sz="0" w:space="0" w:color="auto"/>
      </w:divBdr>
      <w:divsChild>
        <w:div w:id="1950501867">
          <w:marLeft w:val="0"/>
          <w:marRight w:val="0"/>
          <w:marTop w:val="0"/>
          <w:marBottom w:val="0"/>
          <w:divBdr>
            <w:top w:val="none" w:sz="0" w:space="0" w:color="auto"/>
            <w:left w:val="none" w:sz="0" w:space="0" w:color="auto"/>
            <w:bottom w:val="none" w:sz="0" w:space="0" w:color="auto"/>
            <w:right w:val="none" w:sz="0" w:space="0" w:color="auto"/>
          </w:divBdr>
          <w:divsChild>
            <w:div w:id="160761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5460">
      <w:bodyDiv w:val="1"/>
      <w:marLeft w:val="0"/>
      <w:marRight w:val="0"/>
      <w:marTop w:val="0"/>
      <w:marBottom w:val="0"/>
      <w:divBdr>
        <w:top w:val="none" w:sz="0" w:space="0" w:color="auto"/>
        <w:left w:val="none" w:sz="0" w:space="0" w:color="auto"/>
        <w:bottom w:val="none" w:sz="0" w:space="0" w:color="auto"/>
        <w:right w:val="none" w:sz="0" w:space="0" w:color="auto"/>
      </w:divBdr>
      <w:divsChild>
        <w:div w:id="1486896533">
          <w:marLeft w:val="0"/>
          <w:marRight w:val="0"/>
          <w:marTop w:val="0"/>
          <w:marBottom w:val="0"/>
          <w:divBdr>
            <w:top w:val="none" w:sz="0" w:space="0" w:color="auto"/>
            <w:left w:val="none" w:sz="0" w:space="0" w:color="auto"/>
            <w:bottom w:val="none" w:sz="0" w:space="0" w:color="auto"/>
            <w:right w:val="none" w:sz="0" w:space="0" w:color="auto"/>
          </w:divBdr>
          <w:divsChild>
            <w:div w:id="28419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29381">
      <w:bodyDiv w:val="1"/>
      <w:marLeft w:val="0"/>
      <w:marRight w:val="0"/>
      <w:marTop w:val="0"/>
      <w:marBottom w:val="0"/>
      <w:divBdr>
        <w:top w:val="none" w:sz="0" w:space="0" w:color="auto"/>
        <w:left w:val="none" w:sz="0" w:space="0" w:color="auto"/>
        <w:bottom w:val="none" w:sz="0" w:space="0" w:color="auto"/>
        <w:right w:val="none" w:sz="0" w:space="0" w:color="auto"/>
      </w:divBdr>
      <w:divsChild>
        <w:div w:id="1617717879">
          <w:marLeft w:val="0"/>
          <w:marRight w:val="0"/>
          <w:marTop w:val="0"/>
          <w:marBottom w:val="0"/>
          <w:divBdr>
            <w:top w:val="none" w:sz="0" w:space="0" w:color="auto"/>
            <w:left w:val="none" w:sz="0" w:space="0" w:color="auto"/>
            <w:bottom w:val="none" w:sz="0" w:space="0" w:color="auto"/>
            <w:right w:val="none" w:sz="0" w:space="0" w:color="auto"/>
          </w:divBdr>
          <w:divsChild>
            <w:div w:id="10536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7208">
      <w:bodyDiv w:val="1"/>
      <w:marLeft w:val="0"/>
      <w:marRight w:val="0"/>
      <w:marTop w:val="0"/>
      <w:marBottom w:val="0"/>
      <w:divBdr>
        <w:top w:val="none" w:sz="0" w:space="0" w:color="auto"/>
        <w:left w:val="none" w:sz="0" w:space="0" w:color="auto"/>
        <w:bottom w:val="none" w:sz="0" w:space="0" w:color="auto"/>
        <w:right w:val="none" w:sz="0" w:space="0" w:color="auto"/>
      </w:divBdr>
      <w:divsChild>
        <w:div w:id="1303197523">
          <w:marLeft w:val="0"/>
          <w:marRight w:val="0"/>
          <w:marTop w:val="0"/>
          <w:marBottom w:val="0"/>
          <w:divBdr>
            <w:top w:val="none" w:sz="0" w:space="0" w:color="auto"/>
            <w:left w:val="none" w:sz="0" w:space="0" w:color="auto"/>
            <w:bottom w:val="none" w:sz="0" w:space="0" w:color="auto"/>
            <w:right w:val="none" w:sz="0" w:space="0" w:color="auto"/>
          </w:divBdr>
          <w:divsChild>
            <w:div w:id="96523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08449">
      <w:bodyDiv w:val="1"/>
      <w:marLeft w:val="0"/>
      <w:marRight w:val="0"/>
      <w:marTop w:val="0"/>
      <w:marBottom w:val="0"/>
      <w:divBdr>
        <w:top w:val="none" w:sz="0" w:space="0" w:color="auto"/>
        <w:left w:val="none" w:sz="0" w:space="0" w:color="auto"/>
        <w:bottom w:val="none" w:sz="0" w:space="0" w:color="auto"/>
        <w:right w:val="none" w:sz="0" w:space="0" w:color="auto"/>
      </w:divBdr>
      <w:divsChild>
        <w:div w:id="236983391">
          <w:marLeft w:val="0"/>
          <w:marRight w:val="0"/>
          <w:marTop w:val="0"/>
          <w:marBottom w:val="0"/>
          <w:divBdr>
            <w:top w:val="none" w:sz="0" w:space="0" w:color="auto"/>
            <w:left w:val="none" w:sz="0" w:space="0" w:color="auto"/>
            <w:bottom w:val="none" w:sz="0" w:space="0" w:color="auto"/>
            <w:right w:val="none" w:sz="0" w:space="0" w:color="auto"/>
          </w:divBdr>
          <w:divsChild>
            <w:div w:id="125698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737979">
      <w:bodyDiv w:val="1"/>
      <w:marLeft w:val="0"/>
      <w:marRight w:val="0"/>
      <w:marTop w:val="0"/>
      <w:marBottom w:val="0"/>
      <w:divBdr>
        <w:top w:val="none" w:sz="0" w:space="0" w:color="auto"/>
        <w:left w:val="none" w:sz="0" w:space="0" w:color="auto"/>
        <w:bottom w:val="none" w:sz="0" w:space="0" w:color="auto"/>
        <w:right w:val="none" w:sz="0" w:space="0" w:color="auto"/>
      </w:divBdr>
      <w:divsChild>
        <w:div w:id="1990280501">
          <w:marLeft w:val="0"/>
          <w:marRight w:val="0"/>
          <w:marTop w:val="0"/>
          <w:marBottom w:val="0"/>
          <w:divBdr>
            <w:top w:val="none" w:sz="0" w:space="0" w:color="auto"/>
            <w:left w:val="none" w:sz="0" w:space="0" w:color="auto"/>
            <w:bottom w:val="none" w:sz="0" w:space="0" w:color="auto"/>
            <w:right w:val="none" w:sz="0" w:space="0" w:color="auto"/>
          </w:divBdr>
          <w:divsChild>
            <w:div w:id="115942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78148">
      <w:bodyDiv w:val="1"/>
      <w:marLeft w:val="0"/>
      <w:marRight w:val="0"/>
      <w:marTop w:val="0"/>
      <w:marBottom w:val="0"/>
      <w:divBdr>
        <w:top w:val="none" w:sz="0" w:space="0" w:color="auto"/>
        <w:left w:val="none" w:sz="0" w:space="0" w:color="auto"/>
        <w:bottom w:val="none" w:sz="0" w:space="0" w:color="auto"/>
        <w:right w:val="none" w:sz="0" w:space="0" w:color="auto"/>
      </w:divBdr>
      <w:divsChild>
        <w:div w:id="829173817">
          <w:marLeft w:val="0"/>
          <w:marRight w:val="0"/>
          <w:marTop w:val="0"/>
          <w:marBottom w:val="0"/>
          <w:divBdr>
            <w:top w:val="none" w:sz="0" w:space="0" w:color="auto"/>
            <w:left w:val="none" w:sz="0" w:space="0" w:color="auto"/>
            <w:bottom w:val="none" w:sz="0" w:space="0" w:color="auto"/>
            <w:right w:val="none" w:sz="0" w:space="0" w:color="auto"/>
          </w:divBdr>
          <w:divsChild>
            <w:div w:id="20450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22649">
      <w:bodyDiv w:val="1"/>
      <w:marLeft w:val="0"/>
      <w:marRight w:val="0"/>
      <w:marTop w:val="0"/>
      <w:marBottom w:val="0"/>
      <w:divBdr>
        <w:top w:val="none" w:sz="0" w:space="0" w:color="auto"/>
        <w:left w:val="none" w:sz="0" w:space="0" w:color="auto"/>
        <w:bottom w:val="none" w:sz="0" w:space="0" w:color="auto"/>
        <w:right w:val="none" w:sz="0" w:space="0" w:color="auto"/>
      </w:divBdr>
      <w:divsChild>
        <w:div w:id="1222909948">
          <w:marLeft w:val="0"/>
          <w:marRight w:val="0"/>
          <w:marTop w:val="0"/>
          <w:marBottom w:val="0"/>
          <w:divBdr>
            <w:top w:val="none" w:sz="0" w:space="0" w:color="auto"/>
            <w:left w:val="none" w:sz="0" w:space="0" w:color="auto"/>
            <w:bottom w:val="none" w:sz="0" w:space="0" w:color="auto"/>
            <w:right w:val="none" w:sz="0" w:space="0" w:color="auto"/>
          </w:divBdr>
          <w:divsChild>
            <w:div w:id="120995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13984">
      <w:bodyDiv w:val="1"/>
      <w:marLeft w:val="0"/>
      <w:marRight w:val="0"/>
      <w:marTop w:val="0"/>
      <w:marBottom w:val="0"/>
      <w:divBdr>
        <w:top w:val="none" w:sz="0" w:space="0" w:color="auto"/>
        <w:left w:val="none" w:sz="0" w:space="0" w:color="auto"/>
        <w:bottom w:val="none" w:sz="0" w:space="0" w:color="auto"/>
        <w:right w:val="none" w:sz="0" w:space="0" w:color="auto"/>
      </w:divBdr>
      <w:divsChild>
        <w:div w:id="348917695">
          <w:marLeft w:val="0"/>
          <w:marRight w:val="0"/>
          <w:marTop w:val="0"/>
          <w:marBottom w:val="0"/>
          <w:divBdr>
            <w:top w:val="none" w:sz="0" w:space="0" w:color="auto"/>
            <w:left w:val="none" w:sz="0" w:space="0" w:color="auto"/>
            <w:bottom w:val="none" w:sz="0" w:space="0" w:color="auto"/>
            <w:right w:val="none" w:sz="0" w:space="0" w:color="auto"/>
          </w:divBdr>
          <w:divsChild>
            <w:div w:id="117218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4549">
      <w:bodyDiv w:val="1"/>
      <w:marLeft w:val="0"/>
      <w:marRight w:val="0"/>
      <w:marTop w:val="0"/>
      <w:marBottom w:val="0"/>
      <w:divBdr>
        <w:top w:val="none" w:sz="0" w:space="0" w:color="auto"/>
        <w:left w:val="none" w:sz="0" w:space="0" w:color="auto"/>
        <w:bottom w:val="none" w:sz="0" w:space="0" w:color="auto"/>
        <w:right w:val="none" w:sz="0" w:space="0" w:color="auto"/>
      </w:divBdr>
      <w:divsChild>
        <w:div w:id="1883131413">
          <w:marLeft w:val="0"/>
          <w:marRight w:val="0"/>
          <w:marTop w:val="0"/>
          <w:marBottom w:val="0"/>
          <w:divBdr>
            <w:top w:val="none" w:sz="0" w:space="0" w:color="auto"/>
            <w:left w:val="none" w:sz="0" w:space="0" w:color="auto"/>
            <w:bottom w:val="none" w:sz="0" w:space="0" w:color="auto"/>
            <w:right w:val="none" w:sz="0" w:space="0" w:color="auto"/>
          </w:divBdr>
          <w:divsChild>
            <w:div w:id="161632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17746">
      <w:bodyDiv w:val="1"/>
      <w:marLeft w:val="0"/>
      <w:marRight w:val="0"/>
      <w:marTop w:val="0"/>
      <w:marBottom w:val="0"/>
      <w:divBdr>
        <w:top w:val="none" w:sz="0" w:space="0" w:color="auto"/>
        <w:left w:val="none" w:sz="0" w:space="0" w:color="auto"/>
        <w:bottom w:val="none" w:sz="0" w:space="0" w:color="auto"/>
        <w:right w:val="none" w:sz="0" w:space="0" w:color="auto"/>
      </w:divBdr>
      <w:divsChild>
        <w:div w:id="84958171">
          <w:marLeft w:val="0"/>
          <w:marRight w:val="0"/>
          <w:marTop w:val="0"/>
          <w:marBottom w:val="0"/>
          <w:divBdr>
            <w:top w:val="none" w:sz="0" w:space="0" w:color="auto"/>
            <w:left w:val="none" w:sz="0" w:space="0" w:color="auto"/>
            <w:bottom w:val="none" w:sz="0" w:space="0" w:color="auto"/>
            <w:right w:val="none" w:sz="0" w:space="0" w:color="auto"/>
          </w:divBdr>
          <w:divsChild>
            <w:div w:id="7753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654284">
      <w:bodyDiv w:val="1"/>
      <w:marLeft w:val="0"/>
      <w:marRight w:val="0"/>
      <w:marTop w:val="0"/>
      <w:marBottom w:val="0"/>
      <w:divBdr>
        <w:top w:val="none" w:sz="0" w:space="0" w:color="auto"/>
        <w:left w:val="none" w:sz="0" w:space="0" w:color="auto"/>
        <w:bottom w:val="none" w:sz="0" w:space="0" w:color="auto"/>
        <w:right w:val="none" w:sz="0" w:space="0" w:color="auto"/>
      </w:divBdr>
      <w:divsChild>
        <w:div w:id="1295941541">
          <w:marLeft w:val="0"/>
          <w:marRight w:val="0"/>
          <w:marTop w:val="0"/>
          <w:marBottom w:val="0"/>
          <w:divBdr>
            <w:top w:val="none" w:sz="0" w:space="0" w:color="auto"/>
            <w:left w:val="none" w:sz="0" w:space="0" w:color="auto"/>
            <w:bottom w:val="none" w:sz="0" w:space="0" w:color="auto"/>
            <w:right w:val="none" w:sz="0" w:space="0" w:color="auto"/>
          </w:divBdr>
          <w:divsChild>
            <w:div w:id="2683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960415">
      <w:bodyDiv w:val="1"/>
      <w:marLeft w:val="0"/>
      <w:marRight w:val="0"/>
      <w:marTop w:val="0"/>
      <w:marBottom w:val="0"/>
      <w:divBdr>
        <w:top w:val="none" w:sz="0" w:space="0" w:color="auto"/>
        <w:left w:val="none" w:sz="0" w:space="0" w:color="auto"/>
        <w:bottom w:val="none" w:sz="0" w:space="0" w:color="auto"/>
        <w:right w:val="none" w:sz="0" w:space="0" w:color="auto"/>
      </w:divBdr>
      <w:divsChild>
        <w:div w:id="1520389876">
          <w:marLeft w:val="0"/>
          <w:marRight w:val="0"/>
          <w:marTop w:val="0"/>
          <w:marBottom w:val="0"/>
          <w:divBdr>
            <w:top w:val="none" w:sz="0" w:space="0" w:color="auto"/>
            <w:left w:val="none" w:sz="0" w:space="0" w:color="auto"/>
            <w:bottom w:val="none" w:sz="0" w:space="0" w:color="auto"/>
            <w:right w:val="none" w:sz="0" w:space="0" w:color="auto"/>
          </w:divBdr>
          <w:divsChild>
            <w:div w:id="176410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63112">
      <w:bodyDiv w:val="1"/>
      <w:marLeft w:val="0"/>
      <w:marRight w:val="0"/>
      <w:marTop w:val="0"/>
      <w:marBottom w:val="0"/>
      <w:divBdr>
        <w:top w:val="none" w:sz="0" w:space="0" w:color="auto"/>
        <w:left w:val="none" w:sz="0" w:space="0" w:color="auto"/>
        <w:bottom w:val="none" w:sz="0" w:space="0" w:color="auto"/>
        <w:right w:val="none" w:sz="0" w:space="0" w:color="auto"/>
      </w:divBdr>
      <w:divsChild>
        <w:div w:id="1453792435">
          <w:marLeft w:val="0"/>
          <w:marRight w:val="0"/>
          <w:marTop w:val="0"/>
          <w:marBottom w:val="0"/>
          <w:divBdr>
            <w:top w:val="none" w:sz="0" w:space="0" w:color="auto"/>
            <w:left w:val="none" w:sz="0" w:space="0" w:color="auto"/>
            <w:bottom w:val="none" w:sz="0" w:space="0" w:color="auto"/>
            <w:right w:val="none" w:sz="0" w:space="0" w:color="auto"/>
          </w:divBdr>
          <w:divsChild>
            <w:div w:id="19979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41161">
      <w:bodyDiv w:val="1"/>
      <w:marLeft w:val="0"/>
      <w:marRight w:val="0"/>
      <w:marTop w:val="0"/>
      <w:marBottom w:val="0"/>
      <w:divBdr>
        <w:top w:val="none" w:sz="0" w:space="0" w:color="auto"/>
        <w:left w:val="none" w:sz="0" w:space="0" w:color="auto"/>
        <w:bottom w:val="none" w:sz="0" w:space="0" w:color="auto"/>
        <w:right w:val="none" w:sz="0" w:space="0" w:color="auto"/>
      </w:divBdr>
      <w:divsChild>
        <w:div w:id="800270533">
          <w:marLeft w:val="0"/>
          <w:marRight w:val="0"/>
          <w:marTop w:val="0"/>
          <w:marBottom w:val="0"/>
          <w:divBdr>
            <w:top w:val="none" w:sz="0" w:space="0" w:color="auto"/>
            <w:left w:val="none" w:sz="0" w:space="0" w:color="auto"/>
            <w:bottom w:val="none" w:sz="0" w:space="0" w:color="auto"/>
            <w:right w:val="none" w:sz="0" w:space="0" w:color="auto"/>
          </w:divBdr>
          <w:divsChild>
            <w:div w:id="197467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02736">
      <w:bodyDiv w:val="1"/>
      <w:marLeft w:val="0"/>
      <w:marRight w:val="0"/>
      <w:marTop w:val="0"/>
      <w:marBottom w:val="0"/>
      <w:divBdr>
        <w:top w:val="none" w:sz="0" w:space="0" w:color="auto"/>
        <w:left w:val="none" w:sz="0" w:space="0" w:color="auto"/>
        <w:bottom w:val="none" w:sz="0" w:space="0" w:color="auto"/>
        <w:right w:val="none" w:sz="0" w:space="0" w:color="auto"/>
      </w:divBdr>
      <w:divsChild>
        <w:div w:id="298270398">
          <w:marLeft w:val="0"/>
          <w:marRight w:val="0"/>
          <w:marTop w:val="0"/>
          <w:marBottom w:val="0"/>
          <w:divBdr>
            <w:top w:val="none" w:sz="0" w:space="0" w:color="auto"/>
            <w:left w:val="none" w:sz="0" w:space="0" w:color="auto"/>
            <w:bottom w:val="none" w:sz="0" w:space="0" w:color="auto"/>
            <w:right w:val="none" w:sz="0" w:space="0" w:color="auto"/>
          </w:divBdr>
          <w:divsChild>
            <w:div w:id="16832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53330">
      <w:bodyDiv w:val="1"/>
      <w:marLeft w:val="0"/>
      <w:marRight w:val="0"/>
      <w:marTop w:val="0"/>
      <w:marBottom w:val="0"/>
      <w:divBdr>
        <w:top w:val="none" w:sz="0" w:space="0" w:color="auto"/>
        <w:left w:val="none" w:sz="0" w:space="0" w:color="auto"/>
        <w:bottom w:val="none" w:sz="0" w:space="0" w:color="auto"/>
        <w:right w:val="none" w:sz="0" w:space="0" w:color="auto"/>
      </w:divBdr>
      <w:divsChild>
        <w:div w:id="380907043">
          <w:marLeft w:val="0"/>
          <w:marRight w:val="0"/>
          <w:marTop w:val="0"/>
          <w:marBottom w:val="0"/>
          <w:divBdr>
            <w:top w:val="none" w:sz="0" w:space="0" w:color="auto"/>
            <w:left w:val="none" w:sz="0" w:space="0" w:color="auto"/>
            <w:bottom w:val="none" w:sz="0" w:space="0" w:color="auto"/>
            <w:right w:val="none" w:sz="0" w:space="0" w:color="auto"/>
          </w:divBdr>
          <w:divsChild>
            <w:div w:id="11845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255384">
      <w:bodyDiv w:val="1"/>
      <w:marLeft w:val="0"/>
      <w:marRight w:val="0"/>
      <w:marTop w:val="0"/>
      <w:marBottom w:val="0"/>
      <w:divBdr>
        <w:top w:val="none" w:sz="0" w:space="0" w:color="auto"/>
        <w:left w:val="none" w:sz="0" w:space="0" w:color="auto"/>
        <w:bottom w:val="none" w:sz="0" w:space="0" w:color="auto"/>
        <w:right w:val="none" w:sz="0" w:space="0" w:color="auto"/>
      </w:divBdr>
      <w:divsChild>
        <w:div w:id="128741654">
          <w:marLeft w:val="0"/>
          <w:marRight w:val="0"/>
          <w:marTop w:val="0"/>
          <w:marBottom w:val="0"/>
          <w:divBdr>
            <w:top w:val="none" w:sz="0" w:space="0" w:color="auto"/>
            <w:left w:val="none" w:sz="0" w:space="0" w:color="auto"/>
            <w:bottom w:val="none" w:sz="0" w:space="0" w:color="auto"/>
            <w:right w:val="none" w:sz="0" w:space="0" w:color="auto"/>
          </w:divBdr>
          <w:divsChild>
            <w:div w:id="28227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459921">
      <w:bodyDiv w:val="1"/>
      <w:marLeft w:val="0"/>
      <w:marRight w:val="0"/>
      <w:marTop w:val="0"/>
      <w:marBottom w:val="0"/>
      <w:divBdr>
        <w:top w:val="none" w:sz="0" w:space="0" w:color="auto"/>
        <w:left w:val="none" w:sz="0" w:space="0" w:color="auto"/>
        <w:bottom w:val="none" w:sz="0" w:space="0" w:color="auto"/>
        <w:right w:val="none" w:sz="0" w:space="0" w:color="auto"/>
      </w:divBdr>
      <w:divsChild>
        <w:div w:id="583805055">
          <w:marLeft w:val="0"/>
          <w:marRight w:val="0"/>
          <w:marTop w:val="0"/>
          <w:marBottom w:val="0"/>
          <w:divBdr>
            <w:top w:val="none" w:sz="0" w:space="0" w:color="auto"/>
            <w:left w:val="none" w:sz="0" w:space="0" w:color="auto"/>
            <w:bottom w:val="none" w:sz="0" w:space="0" w:color="auto"/>
            <w:right w:val="none" w:sz="0" w:space="0" w:color="auto"/>
          </w:divBdr>
          <w:divsChild>
            <w:div w:id="85951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18966297">
      <w:bodyDiv w:val="1"/>
      <w:marLeft w:val="0"/>
      <w:marRight w:val="0"/>
      <w:marTop w:val="0"/>
      <w:marBottom w:val="0"/>
      <w:divBdr>
        <w:top w:val="none" w:sz="0" w:space="0" w:color="auto"/>
        <w:left w:val="none" w:sz="0" w:space="0" w:color="auto"/>
        <w:bottom w:val="none" w:sz="0" w:space="0" w:color="auto"/>
        <w:right w:val="none" w:sz="0" w:space="0" w:color="auto"/>
      </w:divBdr>
      <w:divsChild>
        <w:div w:id="148137851">
          <w:marLeft w:val="0"/>
          <w:marRight w:val="0"/>
          <w:marTop w:val="0"/>
          <w:marBottom w:val="0"/>
          <w:divBdr>
            <w:top w:val="none" w:sz="0" w:space="0" w:color="auto"/>
            <w:left w:val="none" w:sz="0" w:space="0" w:color="auto"/>
            <w:bottom w:val="none" w:sz="0" w:space="0" w:color="auto"/>
            <w:right w:val="none" w:sz="0" w:space="0" w:color="auto"/>
          </w:divBdr>
          <w:divsChild>
            <w:div w:id="178048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94386">
      <w:bodyDiv w:val="1"/>
      <w:marLeft w:val="0"/>
      <w:marRight w:val="0"/>
      <w:marTop w:val="0"/>
      <w:marBottom w:val="0"/>
      <w:divBdr>
        <w:top w:val="none" w:sz="0" w:space="0" w:color="auto"/>
        <w:left w:val="none" w:sz="0" w:space="0" w:color="auto"/>
        <w:bottom w:val="none" w:sz="0" w:space="0" w:color="auto"/>
        <w:right w:val="none" w:sz="0" w:space="0" w:color="auto"/>
      </w:divBdr>
      <w:divsChild>
        <w:div w:id="1578829958">
          <w:marLeft w:val="0"/>
          <w:marRight w:val="0"/>
          <w:marTop w:val="0"/>
          <w:marBottom w:val="0"/>
          <w:divBdr>
            <w:top w:val="none" w:sz="0" w:space="0" w:color="auto"/>
            <w:left w:val="none" w:sz="0" w:space="0" w:color="auto"/>
            <w:bottom w:val="none" w:sz="0" w:space="0" w:color="auto"/>
            <w:right w:val="none" w:sz="0" w:space="0" w:color="auto"/>
          </w:divBdr>
          <w:divsChild>
            <w:div w:id="125154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7419">
      <w:bodyDiv w:val="1"/>
      <w:marLeft w:val="0"/>
      <w:marRight w:val="0"/>
      <w:marTop w:val="0"/>
      <w:marBottom w:val="0"/>
      <w:divBdr>
        <w:top w:val="none" w:sz="0" w:space="0" w:color="auto"/>
        <w:left w:val="none" w:sz="0" w:space="0" w:color="auto"/>
        <w:bottom w:val="none" w:sz="0" w:space="0" w:color="auto"/>
        <w:right w:val="none" w:sz="0" w:space="0" w:color="auto"/>
      </w:divBdr>
      <w:divsChild>
        <w:div w:id="1585915303">
          <w:marLeft w:val="0"/>
          <w:marRight w:val="0"/>
          <w:marTop w:val="0"/>
          <w:marBottom w:val="0"/>
          <w:divBdr>
            <w:top w:val="none" w:sz="0" w:space="0" w:color="auto"/>
            <w:left w:val="none" w:sz="0" w:space="0" w:color="auto"/>
            <w:bottom w:val="none" w:sz="0" w:space="0" w:color="auto"/>
            <w:right w:val="none" w:sz="0" w:space="0" w:color="auto"/>
          </w:divBdr>
          <w:divsChild>
            <w:div w:id="176503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94646">
      <w:bodyDiv w:val="1"/>
      <w:marLeft w:val="0"/>
      <w:marRight w:val="0"/>
      <w:marTop w:val="0"/>
      <w:marBottom w:val="0"/>
      <w:divBdr>
        <w:top w:val="none" w:sz="0" w:space="0" w:color="auto"/>
        <w:left w:val="none" w:sz="0" w:space="0" w:color="auto"/>
        <w:bottom w:val="none" w:sz="0" w:space="0" w:color="auto"/>
        <w:right w:val="none" w:sz="0" w:space="0" w:color="auto"/>
      </w:divBdr>
      <w:divsChild>
        <w:div w:id="732460541">
          <w:marLeft w:val="0"/>
          <w:marRight w:val="0"/>
          <w:marTop w:val="0"/>
          <w:marBottom w:val="0"/>
          <w:divBdr>
            <w:top w:val="none" w:sz="0" w:space="0" w:color="auto"/>
            <w:left w:val="none" w:sz="0" w:space="0" w:color="auto"/>
            <w:bottom w:val="none" w:sz="0" w:space="0" w:color="auto"/>
            <w:right w:val="none" w:sz="0" w:space="0" w:color="auto"/>
          </w:divBdr>
          <w:divsChild>
            <w:div w:id="158599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35377869">
      <w:bodyDiv w:val="1"/>
      <w:marLeft w:val="0"/>
      <w:marRight w:val="0"/>
      <w:marTop w:val="0"/>
      <w:marBottom w:val="0"/>
      <w:divBdr>
        <w:top w:val="none" w:sz="0" w:space="0" w:color="auto"/>
        <w:left w:val="none" w:sz="0" w:space="0" w:color="auto"/>
        <w:bottom w:val="none" w:sz="0" w:space="0" w:color="auto"/>
        <w:right w:val="none" w:sz="0" w:space="0" w:color="auto"/>
      </w:divBdr>
      <w:divsChild>
        <w:div w:id="1008630016">
          <w:marLeft w:val="0"/>
          <w:marRight w:val="0"/>
          <w:marTop w:val="0"/>
          <w:marBottom w:val="0"/>
          <w:divBdr>
            <w:top w:val="none" w:sz="0" w:space="0" w:color="auto"/>
            <w:left w:val="none" w:sz="0" w:space="0" w:color="auto"/>
            <w:bottom w:val="none" w:sz="0" w:space="0" w:color="auto"/>
            <w:right w:val="none" w:sz="0" w:space="0" w:color="auto"/>
          </w:divBdr>
          <w:divsChild>
            <w:div w:id="73323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96351">
      <w:bodyDiv w:val="1"/>
      <w:marLeft w:val="0"/>
      <w:marRight w:val="0"/>
      <w:marTop w:val="0"/>
      <w:marBottom w:val="0"/>
      <w:divBdr>
        <w:top w:val="none" w:sz="0" w:space="0" w:color="auto"/>
        <w:left w:val="none" w:sz="0" w:space="0" w:color="auto"/>
        <w:bottom w:val="none" w:sz="0" w:space="0" w:color="auto"/>
        <w:right w:val="none" w:sz="0" w:space="0" w:color="auto"/>
      </w:divBdr>
      <w:divsChild>
        <w:div w:id="1845431477">
          <w:marLeft w:val="0"/>
          <w:marRight w:val="0"/>
          <w:marTop w:val="0"/>
          <w:marBottom w:val="0"/>
          <w:divBdr>
            <w:top w:val="none" w:sz="0" w:space="0" w:color="auto"/>
            <w:left w:val="none" w:sz="0" w:space="0" w:color="auto"/>
            <w:bottom w:val="none" w:sz="0" w:space="0" w:color="auto"/>
            <w:right w:val="none" w:sz="0" w:space="0" w:color="auto"/>
          </w:divBdr>
          <w:divsChild>
            <w:div w:id="120686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37500">
      <w:bodyDiv w:val="1"/>
      <w:marLeft w:val="0"/>
      <w:marRight w:val="0"/>
      <w:marTop w:val="0"/>
      <w:marBottom w:val="0"/>
      <w:divBdr>
        <w:top w:val="none" w:sz="0" w:space="0" w:color="auto"/>
        <w:left w:val="none" w:sz="0" w:space="0" w:color="auto"/>
        <w:bottom w:val="none" w:sz="0" w:space="0" w:color="auto"/>
        <w:right w:val="none" w:sz="0" w:space="0" w:color="auto"/>
      </w:divBdr>
      <w:divsChild>
        <w:div w:id="271479156">
          <w:marLeft w:val="0"/>
          <w:marRight w:val="0"/>
          <w:marTop w:val="0"/>
          <w:marBottom w:val="0"/>
          <w:divBdr>
            <w:top w:val="none" w:sz="0" w:space="0" w:color="auto"/>
            <w:left w:val="none" w:sz="0" w:space="0" w:color="auto"/>
            <w:bottom w:val="none" w:sz="0" w:space="0" w:color="auto"/>
            <w:right w:val="none" w:sz="0" w:space="0" w:color="auto"/>
          </w:divBdr>
          <w:divsChild>
            <w:div w:id="4682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2045">
      <w:bodyDiv w:val="1"/>
      <w:marLeft w:val="0"/>
      <w:marRight w:val="0"/>
      <w:marTop w:val="0"/>
      <w:marBottom w:val="0"/>
      <w:divBdr>
        <w:top w:val="none" w:sz="0" w:space="0" w:color="auto"/>
        <w:left w:val="none" w:sz="0" w:space="0" w:color="auto"/>
        <w:bottom w:val="none" w:sz="0" w:space="0" w:color="auto"/>
        <w:right w:val="none" w:sz="0" w:space="0" w:color="auto"/>
      </w:divBdr>
      <w:divsChild>
        <w:div w:id="1793867377">
          <w:marLeft w:val="0"/>
          <w:marRight w:val="0"/>
          <w:marTop w:val="0"/>
          <w:marBottom w:val="0"/>
          <w:divBdr>
            <w:top w:val="none" w:sz="0" w:space="0" w:color="auto"/>
            <w:left w:val="none" w:sz="0" w:space="0" w:color="auto"/>
            <w:bottom w:val="none" w:sz="0" w:space="0" w:color="auto"/>
            <w:right w:val="none" w:sz="0" w:space="0" w:color="auto"/>
          </w:divBdr>
          <w:divsChild>
            <w:div w:id="150794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9014">
      <w:bodyDiv w:val="1"/>
      <w:marLeft w:val="0"/>
      <w:marRight w:val="0"/>
      <w:marTop w:val="0"/>
      <w:marBottom w:val="0"/>
      <w:divBdr>
        <w:top w:val="none" w:sz="0" w:space="0" w:color="auto"/>
        <w:left w:val="none" w:sz="0" w:space="0" w:color="auto"/>
        <w:bottom w:val="none" w:sz="0" w:space="0" w:color="auto"/>
        <w:right w:val="none" w:sz="0" w:space="0" w:color="auto"/>
      </w:divBdr>
      <w:divsChild>
        <w:div w:id="131866827">
          <w:marLeft w:val="0"/>
          <w:marRight w:val="0"/>
          <w:marTop w:val="0"/>
          <w:marBottom w:val="0"/>
          <w:divBdr>
            <w:top w:val="none" w:sz="0" w:space="0" w:color="auto"/>
            <w:left w:val="none" w:sz="0" w:space="0" w:color="auto"/>
            <w:bottom w:val="none" w:sz="0" w:space="0" w:color="auto"/>
            <w:right w:val="none" w:sz="0" w:space="0" w:color="auto"/>
          </w:divBdr>
          <w:divsChild>
            <w:div w:id="128083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96442">
      <w:bodyDiv w:val="1"/>
      <w:marLeft w:val="0"/>
      <w:marRight w:val="0"/>
      <w:marTop w:val="0"/>
      <w:marBottom w:val="0"/>
      <w:divBdr>
        <w:top w:val="none" w:sz="0" w:space="0" w:color="auto"/>
        <w:left w:val="none" w:sz="0" w:space="0" w:color="auto"/>
        <w:bottom w:val="none" w:sz="0" w:space="0" w:color="auto"/>
        <w:right w:val="none" w:sz="0" w:space="0" w:color="auto"/>
      </w:divBdr>
      <w:divsChild>
        <w:div w:id="139461483">
          <w:marLeft w:val="0"/>
          <w:marRight w:val="0"/>
          <w:marTop w:val="0"/>
          <w:marBottom w:val="0"/>
          <w:divBdr>
            <w:top w:val="none" w:sz="0" w:space="0" w:color="auto"/>
            <w:left w:val="none" w:sz="0" w:space="0" w:color="auto"/>
            <w:bottom w:val="none" w:sz="0" w:space="0" w:color="auto"/>
            <w:right w:val="none" w:sz="0" w:space="0" w:color="auto"/>
          </w:divBdr>
          <w:divsChild>
            <w:div w:id="16805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869614">
      <w:bodyDiv w:val="1"/>
      <w:marLeft w:val="0"/>
      <w:marRight w:val="0"/>
      <w:marTop w:val="0"/>
      <w:marBottom w:val="0"/>
      <w:divBdr>
        <w:top w:val="none" w:sz="0" w:space="0" w:color="auto"/>
        <w:left w:val="none" w:sz="0" w:space="0" w:color="auto"/>
        <w:bottom w:val="none" w:sz="0" w:space="0" w:color="auto"/>
        <w:right w:val="none" w:sz="0" w:space="0" w:color="auto"/>
      </w:divBdr>
      <w:divsChild>
        <w:div w:id="928461424">
          <w:marLeft w:val="0"/>
          <w:marRight w:val="0"/>
          <w:marTop w:val="0"/>
          <w:marBottom w:val="0"/>
          <w:divBdr>
            <w:top w:val="none" w:sz="0" w:space="0" w:color="auto"/>
            <w:left w:val="none" w:sz="0" w:space="0" w:color="auto"/>
            <w:bottom w:val="none" w:sz="0" w:space="0" w:color="auto"/>
            <w:right w:val="none" w:sz="0" w:space="0" w:color="auto"/>
          </w:divBdr>
          <w:divsChild>
            <w:div w:id="115089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4177">
      <w:bodyDiv w:val="1"/>
      <w:marLeft w:val="0"/>
      <w:marRight w:val="0"/>
      <w:marTop w:val="0"/>
      <w:marBottom w:val="0"/>
      <w:divBdr>
        <w:top w:val="none" w:sz="0" w:space="0" w:color="auto"/>
        <w:left w:val="none" w:sz="0" w:space="0" w:color="auto"/>
        <w:bottom w:val="none" w:sz="0" w:space="0" w:color="auto"/>
        <w:right w:val="none" w:sz="0" w:space="0" w:color="auto"/>
      </w:divBdr>
      <w:divsChild>
        <w:div w:id="829248498">
          <w:marLeft w:val="0"/>
          <w:marRight w:val="0"/>
          <w:marTop w:val="0"/>
          <w:marBottom w:val="0"/>
          <w:divBdr>
            <w:top w:val="none" w:sz="0" w:space="0" w:color="auto"/>
            <w:left w:val="none" w:sz="0" w:space="0" w:color="auto"/>
            <w:bottom w:val="none" w:sz="0" w:space="0" w:color="auto"/>
            <w:right w:val="none" w:sz="0" w:space="0" w:color="auto"/>
          </w:divBdr>
          <w:divsChild>
            <w:div w:id="14881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88085">
      <w:bodyDiv w:val="1"/>
      <w:marLeft w:val="0"/>
      <w:marRight w:val="0"/>
      <w:marTop w:val="0"/>
      <w:marBottom w:val="0"/>
      <w:divBdr>
        <w:top w:val="none" w:sz="0" w:space="0" w:color="auto"/>
        <w:left w:val="none" w:sz="0" w:space="0" w:color="auto"/>
        <w:bottom w:val="none" w:sz="0" w:space="0" w:color="auto"/>
        <w:right w:val="none" w:sz="0" w:space="0" w:color="auto"/>
      </w:divBdr>
      <w:divsChild>
        <w:div w:id="636108415">
          <w:marLeft w:val="0"/>
          <w:marRight w:val="0"/>
          <w:marTop w:val="0"/>
          <w:marBottom w:val="0"/>
          <w:divBdr>
            <w:top w:val="none" w:sz="0" w:space="0" w:color="auto"/>
            <w:left w:val="none" w:sz="0" w:space="0" w:color="auto"/>
            <w:bottom w:val="none" w:sz="0" w:space="0" w:color="auto"/>
            <w:right w:val="none" w:sz="0" w:space="0" w:color="auto"/>
          </w:divBdr>
          <w:divsChild>
            <w:div w:id="5049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79022">
      <w:bodyDiv w:val="1"/>
      <w:marLeft w:val="0"/>
      <w:marRight w:val="0"/>
      <w:marTop w:val="0"/>
      <w:marBottom w:val="0"/>
      <w:divBdr>
        <w:top w:val="none" w:sz="0" w:space="0" w:color="auto"/>
        <w:left w:val="none" w:sz="0" w:space="0" w:color="auto"/>
        <w:bottom w:val="none" w:sz="0" w:space="0" w:color="auto"/>
        <w:right w:val="none" w:sz="0" w:space="0" w:color="auto"/>
      </w:divBdr>
      <w:divsChild>
        <w:div w:id="952057951">
          <w:marLeft w:val="0"/>
          <w:marRight w:val="0"/>
          <w:marTop w:val="0"/>
          <w:marBottom w:val="0"/>
          <w:divBdr>
            <w:top w:val="none" w:sz="0" w:space="0" w:color="auto"/>
            <w:left w:val="none" w:sz="0" w:space="0" w:color="auto"/>
            <w:bottom w:val="none" w:sz="0" w:space="0" w:color="auto"/>
            <w:right w:val="none" w:sz="0" w:space="0" w:color="auto"/>
          </w:divBdr>
          <w:divsChild>
            <w:div w:id="148388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86806">
      <w:bodyDiv w:val="1"/>
      <w:marLeft w:val="0"/>
      <w:marRight w:val="0"/>
      <w:marTop w:val="0"/>
      <w:marBottom w:val="0"/>
      <w:divBdr>
        <w:top w:val="none" w:sz="0" w:space="0" w:color="auto"/>
        <w:left w:val="none" w:sz="0" w:space="0" w:color="auto"/>
        <w:bottom w:val="none" w:sz="0" w:space="0" w:color="auto"/>
        <w:right w:val="none" w:sz="0" w:space="0" w:color="auto"/>
      </w:divBdr>
      <w:divsChild>
        <w:div w:id="740444182">
          <w:marLeft w:val="0"/>
          <w:marRight w:val="0"/>
          <w:marTop w:val="0"/>
          <w:marBottom w:val="0"/>
          <w:divBdr>
            <w:top w:val="none" w:sz="0" w:space="0" w:color="auto"/>
            <w:left w:val="none" w:sz="0" w:space="0" w:color="auto"/>
            <w:bottom w:val="none" w:sz="0" w:space="0" w:color="auto"/>
            <w:right w:val="none" w:sz="0" w:space="0" w:color="auto"/>
          </w:divBdr>
          <w:divsChild>
            <w:div w:id="201761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07122">
      <w:bodyDiv w:val="1"/>
      <w:marLeft w:val="0"/>
      <w:marRight w:val="0"/>
      <w:marTop w:val="0"/>
      <w:marBottom w:val="0"/>
      <w:divBdr>
        <w:top w:val="none" w:sz="0" w:space="0" w:color="auto"/>
        <w:left w:val="none" w:sz="0" w:space="0" w:color="auto"/>
        <w:bottom w:val="none" w:sz="0" w:space="0" w:color="auto"/>
        <w:right w:val="none" w:sz="0" w:space="0" w:color="auto"/>
      </w:divBdr>
    </w:div>
    <w:div w:id="374428281">
      <w:bodyDiv w:val="1"/>
      <w:marLeft w:val="0"/>
      <w:marRight w:val="0"/>
      <w:marTop w:val="0"/>
      <w:marBottom w:val="0"/>
      <w:divBdr>
        <w:top w:val="none" w:sz="0" w:space="0" w:color="auto"/>
        <w:left w:val="none" w:sz="0" w:space="0" w:color="auto"/>
        <w:bottom w:val="none" w:sz="0" w:space="0" w:color="auto"/>
        <w:right w:val="none" w:sz="0" w:space="0" w:color="auto"/>
      </w:divBdr>
      <w:divsChild>
        <w:div w:id="905721020">
          <w:marLeft w:val="0"/>
          <w:marRight w:val="0"/>
          <w:marTop w:val="0"/>
          <w:marBottom w:val="0"/>
          <w:divBdr>
            <w:top w:val="none" w:sz="0" w:space="0" w:color="auto"/>
            <w:left w:val="none" w:sz="0" w:space="0" w:color="auto"/>
            <w:bottom w:val="none" w:sz="0" w:space="0" w:color="auto"/>
            <w:right w:val="none" w:sz="0" w:space="0" w:color="auto"/>
          </w:divBdr>
          <w:divsChild>
            <w:div w:id="19898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83528178">
      <w:bodyDiv w:val="1"/>
      <w:marLeft w:val="0"/>
      <w:marRight w:val="0"/>
      <w:marTop w:val="0"/>
      <w:marBottom w:val="0"/>
      <w:divBdr>
        <w:top w:val="none" w:sz="0" w:space="0" w:color="auto"/>
        <w:left w:val="none" w:sz="0" w:space="0" w:color="auto"/>
        <w:bottom w:val="none" w:sz="0" w:space="0" w:color="auto"/>
        <w:right w:val="none" w:sz="0" w:space="0" w:color="auto"/>
      </w:divBdr>
      <w:divsChild>
        <w:div w:id="51932528">
          <w:marLeft w:val="0"/>
          <w:marRight w:val="0"/>
          <w:marTop w:val="0"/>
          <w:marBottom w:val="0"/>
          <w:divBdr>
            <w:top w:val="none" w:sz="0" w:space="0" w:color="auto"/>
            <w:left w:val="none" w:sz="0" w:space="0" w:color="auto"/>
            <w:bottom w:val="none" w:sz="0" w:space="0" w:color="auto"/>
            <w:right w:val="none" w:sz="0" w:space="0" w:color="auto"/>
          </w:divBdr>
          <w:divsChild>
            <w:div w:id="155577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41798">
      <w:bodyDiv w:val="1"/>
      <w:marLeft w:val="0"/>
      <w:marRight w:val="0"/>
      <w:marTop w:val="0"/>
      <w:marBottom w:val="0"/>
      <w:divBdr>
        <w:top w:val="none" w:sz="0" w:space="0" w:color="auto"/>
        <w:left w:val="none" w:sz="0" w:space="0" w:color="auto"/>
        <w:bottom w:val="none" w:sz="0" w:space="0" w:color="auto"/>
        <w:right w:val="none" w:sz="0" w:space="0" w:color="auto"/>
      </w:divBdr>
      <w:divsChild>
        <w:div w:id="1711950997">
          <w:marLeft w:val="0"/>
          <w:marRight w:val="0"/>
          <w:marTop w:val="0"/>
          <w:marBottom w:val="0"/>
          <w:divBdr>
            <w:top w:val="none" w:sz="0" w:space="0" w:color="auto"/>
            <w:left w:val="none" w:sz="0" w:space="0" w:color="auto"/>
            <w:bottom w:val="none" w:sz="0" w:space="0" w:color="auto"/>
            <w:right w:val="none" w:sz="0" w:space="0" w:color="auto"/>
          </w:divBdr>
          <w:divsChild>
            <w:div w:id="103357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73207">
      <w:bodyDiv w:val="1"/>
      <w:marLeft w:val="0"/>
      <w:marRight w:val="0"/>
      <w:marTop w:val="0"/>
      <w:marBottom w:val="0"/>
      <w:divBdr>
        <w:top w:val="none" w:sz="0" w:space="0" w:color="auto"/>
        <w:left w:val="none" w:sz="0" w:space="0" w:color="auto"/>
        <w:bottom w:val="none" w:sz="0" w:space="0" w:color="auto"/>
        <w:right w:val="none" w:sz="0" w:space="0" w:color="auto"/>
      </w:divBdr>
      <w:divsChild>
        <w:div w:id="1005938219">
          <w:marLeft w:val="0"/>
          <w:marRight w:val="0"/>
          <w:marTop w:val="0"/>
          <w:marBottom w:val="0"/>
          <w:divBdr>
            <w:top w:val="none" w:sz="0" w:space="0" w:color="auto"/>
            <w:left w:val="none" w:sz="0" w:space="0" w:color="auto"/>
            <w:bottom w:val="none" w:sz="0" w:space="0" w:color="auto"/>
            <w:right w:val="none" w:sz="0" w:space="0" w:color="auto"/>
          </w:divBdr>
          <w:divsChild>
            <w:div w:id="20297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12492">
      <w:bodyDiv w:val="1"/>
      <w:marLeft w:val="0"/>
      <w:marRight w:val="0"/>
      <w:marTop w:val="0"/>
      <w:marBottom w:val="0"/>
      <w:divBdr>
        <w:top w:val="none" w:sz="0" w:space="0" w:color="auto"/>
        <w:left w:val="none" w:sz="0" w:space="0" w:color="auto"/>
        <w:bottom w:val="none" w:sz="0" w:space="0" w:color="auto"/>
        <w:right w:val="none" w:sz="0" w:space="0" w:color="auto"/>
      </w:divBdr>
      <w:divsChild>
        <w:div w:id="1471089952">
          <w:marLeft w:val="0"/>
          <w:marRight w:val="0"/>
          <w:marTop w:val="0"/>
          <w:marBottom w:val="0"/>
          <w:divBdr>
            <w:top w:val="none" w:sz="0" w:space="0" w:color="auto"/>
            <w:left w:val="none" w:sz="0" w:space="0" w:color="auto"/>
            <w:bottom w:val="none" w:sz="0" w:space="0" w:color="auto"/>
            <w:right w:val="none" w:sz="0" w:space="0" w:color="auto"/>
          </w:divBdr>
          <w:divsChild>
            <w:div w:id="62246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4936643">
      <w:bodyDiv w:val="1"/>
      <w:marLeft w:val="0"/>
      <w:marRight w:val="0"/>
      <w:marTop w:val="0"/>
      <w:marBottom w:val="0"/>
      <w:divBdr>
        <w:top w:val="none" w:sz="0" w:space="0" w:color="auto"/>
        <w:left w:val="none" w:sz="0" w:space="0" w:color="auto"/>
        <w:bottom w:val="none" w:sz="0" w:space="0" w:color="auto"/>
        <w:right w:val="none" w:sz="0" w:space="0" w:color="auto"/>
      </w:divBdr>
      <w:divsChild>
        <w:div w:id="1888491642">
          <w:marLeft w:val="0"/>
          <w:marRight w:val="0"/>
          <w:marTop w:val="0"/>
          <w:marBottom w:val="0"/>
          <w:divBdr>
            <w:top w:val="none" w:sz="0" w:space="0" w:color="auto"/>
            <w:left w:val="none" w:sz="0" w:space="0" w:color="auto"/>
            <w:bottom w:val="none" w:sz="0" w:space="0" w:color="auto"/>
            <w:right w:val="none" w:sz="0" w:space="0" w:color="auto"/>
          </w:divBdr>
          <w:divsChild>
            <w:div w:id="154174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0124">
      <w:bodyDiv w:val="1"/>
      <w:marLeft w:val="0"/>
      <w:marRight w:val="0"/>
      <w:marTop w:val="0"/>
      <w:marBottom w:val="0"/>
      <w:divBdr>
        <w:top w:val="none" w:sz="0" w:space="0" w:color="auto"/>
        <w:left w:val="none" w:sz="0" w:space="0" w:color="auto"/>
        <w:bottom w:val="none" w:sz="0" w:space="0" w:color="auto"/>
        <w:right w:val="none" w:sz="0" w:space="0" w:color="auto"/>
      </w:divBdr>
      <w:divsChild>
        <w:div w:id="2104758167">
          <w:marLeft w:val="0"/>
          <w:marRight w:val="0"/>
          <w:marTop w:val="0"/>
          <w:marBottom w:val="0"/>
          <w:divBdr>
            <w:top w:val="none" w:sz="0" w:space="0" w:color="auto"/>
            <w:left w:val="none" w:sz="0" w:space="0" w:color="auto"/>
            <w:bottom w:val="none" w:sz="0" w:space="0" w:color="auto"/>
            <w:right w:val="none" w:sz="0" w:space="0" w:color="auto"/>
          </w:divBdr>
          <w:divsChild>
            <w:div w:id="27009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03339441">
      <w:bodyDiv w:val="1"/>
      <w:marLeft w:val="0"/>
      <w:marRight w:val="0"/>
      <w:marTop w:val="0"/>
      <w:marBottom w:val="0"/>
      <w:divBdr>
        <w:top w:val="none" w:sz="0" w:space="0" w:color="auto"/>
        <w:left w:val="none" w:sz="0" w:space="0" w:color="auto"/>
        <w:bottom w:val="none" w:sz="0" w:space="0" w:color="auto"/>
        <w:right w:val="none" w:sz="0" w:space="0" w:color="auto"/>
      </w:divBdr>
      <w:divsChild>
        <w:div w:id="787050481">
          <w:marLeft w:val="0"/>
          <w:marRight w:val="0"/>
          <w:marTop w:val="0"/>
          <w:marBottom w:val="0"/>
          <w:divBdr>
            <w:top w:val="none" w:sz="0" w:space="0" w:color="auto"/>
            <w:left w:val="none" w:sz="0" w:space="0" w:color="auto"/>
            <w:bottom w:val="none" w:sz="0" w:space="0" w:color="auto"/>
            <w:right w:val="none" w:sz="0" w:space="0" w:color="auto"/>
          </w:divBdr>
          <w:divsChild>
            <w:div w:id="18287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04216">
      <w:bodyDiv w:val="1"/>
      <w:marLeft w:val="0"/>
      <w:marRight w:val="0"/>
      <w:marTop w:val="0"/>
      <w:marBottom w:val="0"/>
      <w:divBdr>
        <w:top w:val="none" w:sz="0" w:space="0" w:color="auto"/>
        <w:left w:val="none" w:sz="0" w:space="0" w:color="auto"/>
        <w:bottom w:val="none" w:sz="0" w:space="0" w:color="auto"/>
        <w:right w:val="none" w:sz="0" w:space="0" w:color="auto"/>
      </w:divBdr>
      <w:divsChild>
        <w:div w:id="387072275">
          <w:marLeft w:val="0"/>
          <w:marRight w:val="0"/>
          <w:marTop w:val="0"/>
          <w:marBottom w:val="0"/>
          <w:divBdr>
            <w:top w:val="none" w:sz="0" w:space="0" w:color="auto"/>
            <w:left w:val="none" w:sz="0" w:space="0" w:color="auto"/>
            <w:bottom w:val="none" w:sz="0" w:space="0" w:color="auto"/>
            <w:right w:val="none" w:sz="0" w:space="0" w:color="auto"/>
          </w:divBdr>
          <w:divsChild>
            <w:div w:id="1696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25482">
      <w:bodyDiv w:val="1"/>
      <w:marLeft w:val="0"/>
      <w:marRight w:val="0"/>
      <w:marTop w:val="0"/>
      <w:marBottom w:val="0"/>
      <w:divBdr>
        <w:top w:val="none" w:sz="0" w:space="0" w:color="auto"/>
        <w:left w:val="none" w:sz="0" w:space="0" w:color="auto"/>
        <w:bottom w:val="none" w:sz="0" w:space="0" w:color="auto"/>
        <w:right w:val="none" w:sz="0" w:space="0" w:color="auto"/>
      </w:divBdr>
      <w:divsChild>
        <w:div w:id="1860466850">
          <w:marLeft w:val="0"/>
          <w:marRight w:val="0"/>
          <w:marTop w:val="0"/>
          <w:marBottom w:val="0"/>
          <w:divBdr>
            <w:top w:val="none" w:sz="0" w:space="0" w:color="auto"/>
            <w:left w:val="none" w:sz="0" w:space="0" w:color="auto"/>
            <w:bottom w:val="none" w:sz="0" w:space="0" w:color="auto"/>
            <w:right w:val="none" w:sz="0" w:space="0" w:color="auto"/>
          </w:divBdr>
          <w:divsChild>
            <w:div w:id="136649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89745">
      <w:bodyDiv w:val="1"/>
      <w:marLeft w:val="0"/>
      <w:marRight w:val="0"/>
      <w:marTop w:val="0"/>
      <w:marBottom w:val="0"/>
      <w:divBdr>
        <w:top w:val="none" w:sz="0" w:space="0" w:color="auto"/>
        <w:left w:val="none" w:sz="0" w:space="0" w:color="auto"/>
        <w:bottom w:val="none" w:sz="0" w:space="0" w:color="auto"/>
        <w:right w:val="none" w:sz="0" w:space="0" w:color="auto"/>
      </w:divBdr>
      <w:divsChild>
        <w:div w:id="465397314">
          <w:marLeft w:val="0"/>
          <w:marRight w:val="0"/>
          <w:marTop w:val="0"/>
          <w:marBottom w:val="0"/>
          <w:divBdr>
            <w:top w:val="none" w:sz="0" w:space="0" w:color="auto"/>
            <w:left w:val="none" w:sz="0" w:space="0" w:color="auto"/>
            <w:bottom w:val="none" w:sz="0" w:space="0" w:color="auto"/>
            <w:right w:val="none" w:sz="0" w:space="0" w:color="auto"/>
          </w:divBdr>
          <w:divsChild>
            <w:div w:id="198168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21880793">
      <w:bodyDiv w:val="1"/>
      <w:marLeft w:val="0"/>
      <w:marRight w:val="0"/>
      <w:marTop w:val="0"/>
      <w:marBottom w:val="0"/>
      <w:divBdr>
        <w:top w:val="none" w:sz="0" w:space="0" w:color="auto"/>
        <w:left w:val="none" w:sz="0" w:space="0" w:color="auto"/>
        <w:bottom w:val="none" w:sz="0" w:space="0" w:color="auto"/>
        <w:right w:val="none" w:sz="0" w:space="0" w:color="auto"/>
      </w:divBdr>
      <w:divsChild>
        <w:div w:id="333608732">
          <w:marLeft w:val="0"/>
          <w:marRight w:val="0"/>
          <w:marTop w:val="0"/>
          <w:marBottom w:val="0"/>
          <w:divBdr>
            <w:top w:val="none" w:sz="0" w:space="0" w:color="auto"/>
            <w:left w:val="none" w:sz="0" w:space="0" w:color="auto"/>
            <w:bottom w:val="none" w:sz="0" w:space="0" w:color="auto"/>
            <w:right w:val="none" w:sz="0" w:space="0" w:color="auto"/>
          </w:divBdr>
          <w:divsChild>
            <w:div w:id="13322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55893">
      <w:bodyDiv w:val="1"/>
      <w:marLeft w:val="0"/>
      <w:marRight w:val="0"/>
      <w:marTop w:val="0"/>
      <w:marBottom w:val="0"/>
      <w:divBdr>
        <w:top w:val="none" w:sz="0" w:space="0" w:color="auto"/>
        <w:left w:val="none" w:sz="0" w:space="0" w:color="auto"/>
        <w:bottom w:val="none" w:sz="0" w:space="0" w:color="auto"/>
        <w:right w:val="none" w:sz="0" w:space="0" w:color="auto"/>
      </w:divBdr>
      <w:divsChild>
        <w:div w:id="1096368403">
          <w:marLeft w:val="0"/>
          <w:marRight w:val="0"/>
          <w:marTop w:val="0"/>
          <w:marBottom w:val="0"/>
          <w:divBdr>
            <w:top w:val="none" w:sz="0" w:space="0" w:color="auto"/>
            <w:left w:val="none" w:sz="0" w:space="0" w:color="auto"/>
            <w:bottom w:val="none" w:sz="0" w:space="0" w:color="auto"/>
            <w:right w:val="none" w:sz="0" w:space="0" w:color="auto"/>
          </w:divBdr>
          <w:divsChild>
            <w:div w:id="717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232609">
      <w:bodyDiv w:val="1"/>
      <w:marLeft w:val="0"/>
      <w:marRight w:val="0"/>
      <w:marTop w:val="0"/>
      <w:marBottom w:val="0"/>
      <w:divBdr>
        <w:top w:val="none" w:sz="0" w:space="0" w:color="auto"/>
        <w:left w:val="none" w:sz="0" w:space="0" w:color="auto"/>
        <w:bottom w:val="none" w:sz="0" w:space="0" w:color="auto"/>
        <w:right w:val="none" w:sz="0" w:space="0" w:color="auto"/>
      </w:divBdr>
      <w:divsChild>
        <w:div w:id="1204827714">
          <w:marLeft w:val="0"/>
          <w:marRight w:val="0"/>
          <w:marTop w:val="0"/>
          <w:marBottom w:val="0"/>
          <w:divBdr>
            <w:top w:val="none" w:sz="0" w:space="0" w:color="auto"/>
            <w:left w:val="none" w:sz="0" w:space="0" w:color="auto"/>
            <w:bottom w:val="none" w:sz="0" w:space="0" w:color="auto"/>
            <w:right w:val="none" w:sz="0" w:space="0" w:color="auto"/>
          </w:divBdr>
          <w:divsChild>
            <w:div w:id="1641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0033">
      <w:bodyDiv w:val="1"/>
      <w:marLeft w:val="0"/>
      <w:marRight w:val="0"/>
      <w:marTop w:val="0"/>
      <w:marBottom w:val="0"/>
      <w:divBdr>
        <w:top w:val="none" w:sz="0" w:space="0" w:color="auto"/>
        <w:left w:val="none" w:sz="0" w:space="0" w:color="auto"/>
        <w:bottom w:val="none" w:sz="0" w:space="0" w:color="auto"/>
        <w:right w:val="none" w:sz="0" w:space="0" w:color="auto"/>
      </w:divBdr>
      <w:divsChild>
        <w:div w:id="2008944128">
          <w:marLeft w:val="0"/>
          <w:marRight w:val="0"/>
          <w:marTop w:val="0"/>
          <w:marBottom w:val="0"/>
          <w:divBdr>
            <w:top w:val="none" w:sz="0" w:space="0" w:color="auto"/>
            <w:left w:val="none" w:sz="0" w:space="0" w:color="auto"/>
            <w:bottom w:val="none" w:sz="0" w:space="0" w:color="auto"/>
            <w:right w:val="none" w:sz="0" w:space="0" w:color="auto"/>
          </w:divBdr>
          <w:divsChild>
            <w:div w:id="147090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41408">
      <w:bodyDiv w:val="1"/>
      <w:marLeft w:val="0"/>
      <w:marRight w:val="0"/>
      <w:marTop w:val="0"/>
      <w:marBottom w:val="0"/>
      <w:divBdr>
        <w:top w:val="none" w:sz="0" w:space="0" w:color="auto"/>
        <w:left w:val="none" w:sz="0" w:space="0" w:color="auto"/>
        <w:bottom w:val="none" w:sz="0" w:space="0" w:color="auto"/>
        <w:right w:val="none" w:sz="0" w:space="0" w:color="auto"/>
      </w:divBdr>
      <w:divsChild>
        <w:div w:id="362292034">
          <w:marLeft w:val="0"/>
          <w:marRight w:val="0"/>
          <w:marTop w:val="0"/>
          <w:marBottom w:val="0"/>
          <w:divBdr>
            <w:top w:val="none" w:sz="0" w:space="0" w:color="auto"/>
            <w:left w:val="none" w:sz="0" w:space="0" w:color="auto"/>
            <w:bottom w:val="none" w:sz="0" w:space="0" w:color="auto"/>
            <w:right w:val="none" w:sz="0" w:space="0" w:color="auto"/>
          </w:divBdr>
          <w:divsChild>
            <w:div w:id="80781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4161">
      <w:bodyDiv w:val="1"/>
      <w:marLeft w:val="0"/>
      <w:marRight w:val="0"/>
      <w:marTop w:val="0"/>
      <w:marBottom w:val="0"/>
      <w:divBdr>
        <w:top w:val="none" w:sz="0" w:space="0" w:color="auto"/>
        <w:left w:val="none" w:sz="0" w:space="0" w:color="auto"/>
        <w:bottom w:val="none" w:sz="0" w:space="0" w:color="auto"/>
        <w:right w:val="none" w:sz="0" w:space="0" w:color="auto"/>
      </w:divBdr>
    </w:div>
    <w:div w:id="457451070">
      <w:bodyDiv w:val="1"/>
      <w:marLeft w:val="0"/>
      <w:marRight w:val="0"/>
      <w:marTop w:val="0"/>
      <w:marBottom w:val="0"/>
      <w:divBdr>
        <w:top w:val="none" w:sz="0" w:space="0" w:color="auto"/>
        <w:left w:val="none" w:sz="0" w:space="0" w:color="auto"/>
        <w:bottom w:val="none" w:sz="0" w:space="0" w:color="auto"/>
        <w:right w:val="none" w:sz="0" w:space="0" w:color="auto"/>
      </w:divBdr>
      <w:divsChild>
        <w:div w:id="859009593">
          <w:marLeft w:val="0"/>
          <w:marRight w:val="0"/>
          <w:marTop w:val="0"/>
          <w:marBottom w:val="0"/>
          <w:divBdr>
            <w:top w:val="none" w:sz="0" w:space="0" w:color="auto"/>
            <w:left w:val="none" w:sz="0" w:space="0" w:color="auto"/>
            <w:bottom w:val="none" w:sz="0" w:space="0" w:color="auto"/>
            <w:right w:val="none" w:sz="0" w:space="0" w:color="auto"/>
          </w:divBdr>
          <w:divsChild>
            <w:div w:id="4258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08683">
      <w:bodyDiv w:val="1"/>
      <w:marLeft w:val="0"/>
      <w:marRight w:val="0"/>
      <w:marTop w:val="0"/>
      <w:marBottom w:val="0"/>
      <w:divBdr>
        <w:top w:val="none" w:sz="0" w:space="0" w:color="auto"/>
        <w:left w:val="none" w:sz="0" w:space="0" w:color="auto"/>
        <w:bottom w:val="none" w:sz="0" w:space="0" w:color="auto"/>
        <w:right w:val="none" w:sz="0" w:space="0" w:color="auto"/>
      </w:divBdr>
      <w:divsChild>
        <w:div w:id="856580604">
          <w:marLeft w:val="0"/>
          <w:marRight w:val="0"/>
          <w:marTop w:val="0"/>
          <w:marBottom w:val="0"/>
          <w:divBdr>
            <w:top w:val="none" w:sz="0" w:space="0" w:color="auto"/>
            <w:left w:val="none" w:sz="0" w:space="0" w:color="auto"/>
            <w:bottom w:val="none" w:sz="0" w:space="0" w:color="auto"/>
            <w:right w:val="none" w:sz="0" w:space="0" w:color="auto"/>
          </w:divBdr>
          <w:divsChild>
            <w:div w:id="21031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660263">
      <w:bodyDiv w:val="1"/>
      <w:marLeft w:val="0"/>
      <w:marRight w:val="0"/>
      <w:marTop w:val="0"/>
      <w:marBottom w:val="0"/>
      <w:divBdr>
        <w:top w:val="none" w:sz="0" w:space="0" w:color="auto"/>
        <w:left w:val="none" w:sz="0" w:space="0" w:color="auto"/>
        <w:bottom w:val="none" w:sz="0" w:space="0" w:color="auto"/>
        <w:right w:val="none" w:sz="0" w:space="0" w:color="auto"/>
      </w:divBdr>
      <w:divsChild>
        <w:div w:id="1459449718">
          <w:marLeft w:val="0"/>
          <w:marRight w:val="0"/>
          <w:marTop w:val="0"/>
          <w:marBottom w:val="0"/>
          <w:divBdr>
            <w:top w:val="none" w:sz="0" w:space="0" w:color="auto"/>
            <w:left w:val="none" w:sz="0" w:space="0" w:color="auto"/>
            <w:bottom w:val="none" w:sz="0" w:space="0" w:color="auto"/>
            <w:right w:val="none" w:sz="0" w:space="0" w:color="auto"/>
          </w:divBdr>
          <w:divsChild>
            <w:div w:id="168998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14908">
      <w:bodyDiv w:val="1"/>
      <w:marLeft w:val="0"/>
      <w:marRight w:val="0"/>
      <w:marTop w:val="0"/>
      <w:marBottom w:val="0"/>
      <w:divBdr>
        <w:top w:val="none" w:sz="0" w:space="0" w:color="auto"/>
        <w:left w:val="none" w:sz="0" w:space="0" w:color="auto"/>
        <w:bottom w:val="none" w:sz="0" w:space="0" w:color="auto"/>
        <w:right w:val="none" w:sz="0" w:space="0" w:color="auto"/>
      </w:divBdr>
      <w:divsChild>
        <w:div w:id="1326205261">
          <w:marLeft w:val="0"/>
          <w:marRight w:val="0"/>
          <w:marTop w:val="0"/>
          <w:marBottom w:val="0"/>
          <w:divBdr>
            <w:top w:val="none" w:sz="0" w:space="0" w:color="auto"/>
            <w:left w:val="none" w:sz="0" w:space="0" w:color="auto"/>
            <w:bottom w:val="none" w:sz="0" w:space="0" w:color="auto"/>
            <w:right w:val="none" w:sz="0" w:space="0" w:color="auto"/>
          </w:divBdr>
          <w:divsChild>
            <w:div w:id="191130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58235">
      <w:bodyDiv w:val="1"/>
      <w:marLeft w:val="0"/>
      <w:marRight w:val="0"/>
      <w:marTop w:val="0"/>
      <w:marBottom w:val="0"/>
      <w:divBdr>
        <w:top w:val="none" w:sz="0" w:space="0" w:color="auto"/>
        <w:left w:val="none" w:sz="0" w:space="0" w:color="auto"/>
        <w:bottom w:val="none" w:sz="0" w:space="0" w:color="auto"/>
        <w:right w:val="none" w:sz="0" w:space="0" w:color="auto"/>
      </w:divBdr>
      <w:divsChild>
        <w:div w:id="7223651">
          <w:marLeft w:val="0"/>
          <w:marRight w:val="0"/>
          <w:marTop w:val="0"/>
          <w:marBottom w:val="0"/>
          <w:divBdr>
            <w:top w:val="none" w:sz="0" w:space="0" w:color="auto"/>
            <w:left w:val="none" w:sz="0" w:space="0" w:color="auto"/>
            <w:bottom w:val="none" w:sz="0" w:space="0" w:color="auto"/>
            <w:right w:val="none" w:sz="0" w:space="0" w:color="auto"/>
          </w:divBdr>
          <w:divsChild>
            <w:div w:id="10153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483208315">
      <w:bodyDiv w:val="1"/>
      <w:marLeft w:val="0"/>
      <w:marRight w:val="0"/>
      <w:marTop w:val="0"/>
      <w:marBottom w:val="0"/>
      <w:divBdr>
        <w:top w:val="none" w:sz="0" w:space="0" w:color="auto"/>
        <w:left w:val="none" w:sz="0" w:space="0" w:color="auto"/>
        <w:bottom w:val="none" w:sz="0" w:space="0" w:color="auto"/>
        <w:right w:val="none" w:sz="0" w:space="0" w:color="auto"/>
      </w:divBdr>
      <w:divsChild>
        <w:div w:id="29914571">
          <w:marLeft w:val="0"/>
          <w:marRight w:val="0"/>
          <w:marTop w:val="0"/>
          <w:marBottom w:val="0"/>
          <w:divBdr>
            <w:top w:val="none" w:sz="0" w:space="0" w:color="auto"/>
            <w:left w:val="none" w:sz="0" w:space="0" w:color="auto"/>
            <w:bottom w:val="none" w:sz="0" w:space="0" w:color="auto"/>
            <w:right w:val="none" w:sz="0" w:space="0" w:color="auto"/>
          </w:divBdr>
          <w:divsChild>
            <w:div w:id="15775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52821">
      <w:bodyDiv w:val="1"/>
      <w:marLeft w:val="0"/>
      <w:marRight w:val="0"/>
      <w:marTop w:val="0"/>
      <w:marBottom w:val="0"/>
      <w:divBdr>
        <w:top w:val="none" w:sz="0" w:space="0" w:color="auto"/>
        <w:left w:val="none" w:sz="0" w:space="0" w:color="auto"/>
        <w:bottom w:val="none" w:sz="0" w:space="0" w:color="auto"/>
        <w:right w:val="none" w:sz="0" w:space="0" w:color="auto"/>
      </w:divBdr>
      <w:divsChild>
        <w:div w:id="297538819">
          <w:marLeft w:val="0"/>
          <w:marRight w:val="0"/>
          <w:marTop w:val="0"/>
          <w:marBottom w:val="0"/>
          <w:divBdr>
            <w:top w:val="none" w:sz="0" w:space="0" w:color="auto"/>
            <w:left w:val="none" w:sz="0" w:space="0" w:color="auto"/>
            <w:bottom w:val="none" w:sz="0" w:space="0" w:color="auto"/>
            <w:right w:val="none" w:sz="0" w:space="0" w:color="auto"/>
          </w:divBdr>
          <w:divsChild>
            <w:div w:id="161960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94162">
      <w:bodyDiv w:val="1"/>
      <w:marLeft w:val="0"/>
      <w:marRight w:val="0"/>
      <w:marTop w:val="0"/>
      <w:marBottom w:val="0"/>
      <w:divBdr>
        <w:top w:val="none" w:sz="0" w:space="0" w:color="auto"/>
        <w:left w:val="none" w:sz="0" w:space="0" w:color="auto"/>
        <w:bottom w:val="none" w:sz="0" w:space="0" w:color="auto"/>
        <w:right w:val="none" w:sz="0" w:space="0" w:color="auto"/>
      </w:divBdr>
      <w:divsChild>
        <w:div w:id="118452026">
          <w:marLeft w:val="0"/>
          <w:marRight w:val="0"/>
          <w:marTop w:val="0"/>
          <w:marBottom w:val="0"/>
          <w:divBdr>
            <w:top w:val="none" w:sz="0" w:space="0" w:color="auto"/>
            <w:left w:val="none" w:sz="0" w:space="0" w:color="auto"/>
            <w:bottom w:val="none" w:sz="0" w:space="0" w:color="auto"/>
            <w:right w:val="none" w:sz="0" w:space="0" w:color="auto"/>
          </w:divBdr>
          <w:divsChild>
            <w:div w:id="2920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055535">
      <w:bodyDiv w:val="1"/>
      <w:marLeft w:val="0"/>
      <w:marRight w:val="0"/>
      <w:marTop w:val="0"/>
      <w:marBottom w:val="0"/>
      <w:divBdr>
        <w:top w:val="none" w:sz="0" w:space="0" w:color="auto"/>
        <w:left w:val="none" w:sz="0" w:space="0" w:color="auto"/>
        <w:bottom w:val="none" w:sz="0" w:space="0" w:color="auto"/>
        <w:right w:val="none" w:sz="0" w:space="0" w:color="auto"/>
      </w:divBdr>
      <w:divsChild>
        <w:div w:id="89743261">
          <w:marLeft w:val="0"/>
          <w:marRight w:val="0"/>
          <w:marTop w:val="0"/>
          <w:marBottom w:val="0"/>
          <w:divBdr>
            <w:top w:val="none" w:sz="0" w:space="0" w:color="auto"/>
            <w:left w:val="none" w:sz="0" w:space="0" w:color="auto"/>
            <w:bottom w:val="none" w:sz="0" w:space="0" w:color="auto"/>
            <w:right w:val="none" w:sz="0" w:space="0" w:color="auto"/>
          </w:divBdr>
          <w:divsChild>
            <w:div w:id="94824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74481">
      <w:bodyDiv w:val="1"/>
      <w:marLeft w:val="0"/>
      <w:marRight w:val="0"/>
      <w:marTop w:val="0"/>
      <w:marBottom w:val="0"/>
      <w:divBdr>
        <w:top w:val="none" w:sz="0" w:space="0" w:color="auto"/>
        <w:left w:val="none" w:sz="0" w:space="0" w:color="auto"/>
        <w:bottom w:val="none" w:sz="0" w:space="0" w:color="auto"/>
        <w:right w:val="none" w:sz="0" w:space="0" w:color="auto"/>
      </w:divBdr>
      <w:divsChild>
        <w:div w:id="1574001841">
          <w:marLeft w:val="0"/>
          <w:marRight w:val="0"/>
          <w:marTop w:val="0"/>
          <w:marBottom w:val="0"/>
          <w:divBdr>
            <w:top w:val="none" w:sz="0" w:space="0" w:color="auto"/>
            <w:left w:val="none" w:sz="0" w:space="0" w:color="auto"/>
            <w:bottom w:val="none" w:sz="0" w:space="0" w:color="auto"/>
            <w:right w:val="none" w:sz="0" w:space="0" w:color="auto"/>
          </w:divBdr>
          <w:divsChild>
            <w:div w:id="134725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88624">
      <w:bodyDiv w:val="1"/>
      <w:marLeft w:val="0"/>
      <w:marRight w:val="0"/>
      <w:marTop w:val="0"/>
      <w:marBottom w:val="0"/>
      <w:divBdr>
        <w:top w:val="none" w:sz="0" w:space="0" w:color="auto"/>
        <w:left w:val="none" w:sz="0" w:space="0" w:color="auto"/>
        <w:bottom w:val="none" w:sz="0" w:space="0" w:color="auto"/>
        <w:right w:val="none" w:sz="0" w:space="0" w:color="auto"/>
      </w:divBdr>
      <w:divsChild>
        <w:div w:id="1101536986">
          <w:marLeft w:val="0"/>
          <w:marRight w:val="0"/>
          <w:marTop w:val="0"/>
          <w:marBottom w:val="0"/>
          <w:divBdr>
            <w:top w:val="none" w:sz="0" w:space="0" w:color="auto"/>
            <w:left w:val="none" w:sz="0" w:space="0" w:color="auto"/>
            <w:bottom w:val="none" w:sz="0" w:space="0" w:color="auto"/>
            <w:right w:val="none" w:sz="0" w:space="0" w:color="auto"/>
          </w:divBdr>
          <w:divsChild>
            <w:div w:id="144719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936">
      <w:bodyDiv w:val="1"/>
      <w:marLeft w:val="0"/>
      <w:marRight w:val="0"/>
      <w:marTop w:val="0"/>
      <w:marBottom w:val="0"/>
      <w:divBdr>
        <w:top w:val="none" w:sz="0" w:space="0" w:color="auto"/>
        <w:left w:val="none" w:sz="0" w:space="0" w:color="auto"/>
        <w:bottom w:val="none" w:sz="0" w:space="0" w:color="auto"/>
        <w:right w:val="none" w:sz="0" w:space="0" w:color="auto"/>
      </w:divBdr>
      <w:divsChild>
        <w:div w:id="1804811889">
          <w:marLeft w:val="0"/>
          <w:marRight w:val="0"/>
          <w:marTop w:val="0"/>
          <w:marBottom w:val="0"/>
          <w:divBdr>
            <w:top w:val="none" w:sz="0" w:space="0" w:color="auto"/>
            <w:left w:val="none" w:sz="0" w:space="0" w:color="auto"/>
            <w:bottom w:val="none" w:sz="0" w:space="0" w:color="auto"/>
            <w:right w:val="none" w:sz="0" w:space="0" w:color="auto"/>
          </w:divBdr>
          <w:divsChild>
            <w:div w:id="5970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82087">
      <w:bodyDiv w:val="1"/>
      <w:marLeft w:val="0"/>
      <w:marRight w:val="0"/>
      <w:marTop w:val="0"/>
      <w:marBottom w:val="0"/>
      <w:divBdr>
        <w:top w:val="none" w:sz="0" w:space="0" w:color="auto"/>
        <w:left w:val="none" w:sz="0" w:space="0" w:color="auto"/>
        <w:bottom w:val="none" w:sz="0" w:space="0" w:color="auto"/>
        <w:right w:val="none" w:sz="0" w:space="0" w:color="auto"/>
      </w:divBdr>
      <w:divsChild>
        <w:div w:id="1935165849">
          <w:marLeft w:val="0"/>
          <w:marRight w:val="0"/>
          <w:marTop w:val="0"/>
          <w:marBottom w:val="0"/>
          <w:divBdr>
            <w:top w:val="none" w:sz="0" w:space="0" w:color="auto"/>
            <w:left w:val="none" w:sz="0" w:space="0" w:color="auto"/>
            <w:bottom w:val="none" w:sz="0" w:space="0" w:color="auto"/>
            <w:right w:val="none" w:sz="0" w:space="0" w:color="auto"/>
          </w:divBdr>
          <w:divsChild>
            <w:div w:id="10763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03384">
      <w:bodyDiv w:val="1"/>
      <w:marLeft w:val="0"/>
      <w:marRight w:val="0"/>
      <w:marTop w:val="0"/>
      <w:marBottom w:val="0"/>
      <w:divBdr>
        <w:top w:val="none" w:sz="0" w:space="0" w:color="auto"/>
        <w:left w:val="none" w:sz="0" w:space="0" w:color="auto"/>
        <w:bottom w:val="none" w:sz="0" w:space="0" w:color="auto"/>
        <w:right w:val="none" w:sz="0" w:space="0" w:color="auto"/>
      </w:divBdr>
      <w:divsChild>
        <w:div w:id="1264652063">
          <w:marLeft w:val="0"/>
          <w:marRight w:val="0"/>
          <w:marTop w:val="0"/>
          <w:marBottom w:val="0"/>
          <w:divBdr>
            <w:top w:val="none" w:sz="0" w:space="0" w:color="auto"/>
            <w:left w:val="none" w:sz="0" w:space="0" w:color="auto"/>
            <w:bottom w:val="none" w:sz="0" w:space="0" w:color="auto"/>
            <w:right w:val="none" w:sz="0" w:space="0" w:color="auto"/>
          </w:divBdr>
          <w:divsChild>
            <w:div w:id="6117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587831">
      <w:bodyDiv w:val="1"/>
      <w:marLeft w:val="0"/>
      <w:marRight w:val="0"/>
      <w:marTop w:val="0"/>
      <w:marBottom w:val="0"/>
      <w:divBdr>
        <w:top w:val="none" w:sz="0" w:space="0" w:color="auto"/>
        <w:left w:val="none" w:sz="0" w:space="0" w:color="auto"/>
        <w:bottom w:val="none" w:sz="0" w:space="0" w:color="auto"/>
        <w:right w:val="none" w:sz="0" w:space="0" w:color="auto"/>
      </w:divBdr>
      <w:divsChild>
        <w:div w:id="1876383517">
          <w:marLeft w:val="0"/>
          <w:marRight w:val="0"/>
          <w:marTop w:val="0"/>
          <w:marBottom w:val="0"/>
          <w:divBdr>
            <w:top w:val="none" w:sz="0" w:space="0" w:color="auto"/>
            <w:left w:val="none" w:sz="0" w:space="0" w:color="auto"/>
            <w:bottom w:val="none" w:sz="0" w:space="0" w:color="auto"/>
            <w:right w:val="none" w:sz="0" w:space="0" w:color="auto"/>
          </w:divBdr>
          <w:divsChild>
            <w:div w:id="6819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05939">
      <w:bodyDiv w:val="1"/>
      <w:marLeft w:val="0"/>
      <w:marRight w:val="0"/>
      <w:marTop w:val="0"/>
      <w:marBottom w:val="0"/>
      <w:divBdr>
        <w:top w:val="none" w:sz="0" w:space="0" w:color="auto"/>
        <w:left w:val="none" w:sz="0" w:space="0" w:color="auto"/>
        <w:bottom w:val="none" w:sz="0" w:space="0" w:color="auto"/>
        <w:right w:val="none" w:sz="0" w:space="0" w:color="auto"/>
      </w:divBdr>
      <w:divsChild>
        <w:div w:id="65955694">
          <w:marLeft w:val="0"/>
          <w:marRight w:val="0"/>
          <w:marTop w:val="0"/>
          <w:marBottom w:val="0"/>
          <w:divBdr>
            <w:top w:val="none" w:sz="0" w:space="0" w:color="auto"/>
            <w:left w:val="none" w:sz="0" w:space="0" w:color="auto"/>
            <w:bottom w:val="none" w:sz="0" w:space="0" w:color="auto"/>
            <w:right w:val="none" w:sz="0" w:space="0" w:color="auto"/>
          </w:divBdr>
          <w:divsChild>
            <w:div w:id="15801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09426">
      <w:bodyDiv w:val="1"/>
      <w:marLeft w:val="0"/>
      <w:marRight w:val="0"/>
      <w:marTop w:val="0"/>
      <w:marBottom w:val="0"/>
      <w:divBdr>
        <w:top w:val="none" w:sz="0" w:space="0" w:color="auto"/>
        <w:left w:val="none" w:sz="0" w:space="0" w:color="auto"/>
        <w:bottom w:val="none" w:sz="0" w:space="0" w:color="auto"/>
        <w:right w:val="none" w:sz="0" w:space="0" w:color="auto"/>
      </w:divBdr>
      <w:divsChild>
        <w:div w:id="1191720411">
          <w:marLeft w:val="0"/>
          <w:marRight w:val="0"/>
          <w:marTop w:val="0"/>
          <w:marBottom w:val="0"/>
          <w:divBdr>
            <w:top w:val="none" w:sz="0" w:space="0" w:color="auto"/>
            <w:left w:val="none" w:sz="0" w:space="0" w:color="auto"/>
            <w:bottom w:val="none" w:sz="0" w:space="0" w:color="auto"/>
            <w:right w:val="none" w:sz="0" w:space="0" w:color="auto"/>
          </w:divBdr>
          <w:divsChild>
            <w:div w:id="10877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54438">
      <w:bodyDiv w:val="1"/>
      <w:marLeft w:val="0"/>
      <w:marRight w:val="0"/>
      <w:marTop w:val="0"/>
      <w:marBottom w:val="0"/>
      <w:divBdr>
        <w:top w:val="none" w:sz="0" w:space="0" w:color="auto"/>
        <w:left w:val="none" w:sz="0" w:space="0" w:color="auto"/>
        <w:bottom w:val="none" w:sz="0" w:space="0" w:color="auto"/>
        <w:right w:val="none" w:sz="0" w:space="0" w:color="auto"/>
      </w:divBdr>
      <w:divsChild>
        <w:div w:id="1100948697">
          <w:marLeft w:val="0"/>
          <w:marRight w:val="0"/>
          <w:marTop w:val="0"/>
          <w:marBottom w:val="0"/>
          <w:divBdr>
            <w:top w:val="none" w:sz="0" w:space="0" w:color="auto"/>
            <w:left w:val="none" w:sz="0" w:space="0" w:color="auto"/>
            <w:bottom w:val="none" w:sz="0" w:space="0" w:color="auto"/>
            <w:right w:val="none" w:sz="0" w:space="0" w:color="auto"/>
          </w:divBdr>
          <w:divsChild>
            <w:div w:id="170894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89622">
      <w:bodyDiv w:val="1"/>
      <w:marLeft w:val="0"/>
      <w:marRight w:val="0"/>
      <w:marTop w:val="0"/>
      <w:marBottom w:val="0"/>
      <w:divBdr>
        <w:top w:val="none" w:sz="0" w:space="0" w:color="auto"/>
        <w:left w:val="none" w:sz="0" w:space="0" w:color="auto"/>
        <w:bottom w:val="none" w:sz="0" w:space="0" w:color="auto"/>
        <w:right w:val="none" w:sz="0" w:space="0" w:color="auto"/>
      </w:divBdr>
      <w:divsChild>
        <w:div w:id="341443315">
          <w:marLeft w:val="0"/>
          <w:marRight w:val="0"/>
          <w:marTop w:val="0"/>
          <w:marBottom w:val="0"/>
          <w:divBdr>
            <w:top w:val="none" w:sz="0" w:space="0" w:color="auto"/>
            <w:left w:val="none" w:sz="0" w:space="0" w:color="auto"/>
            <w:bottom w:val="none" w:sz="0" w:space="0" w:color="auto"/>
            <w:right w:val="none" w:sz="0" w:space="0" w:color="auto"/>
          </w:divBdr>
          <w:divsChild>
            <w:div w:id="17361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75549">
      <w:bodyDiv w:val="1"/>
      <w:marLeft w:val="0"/>
      <w:marRight w:val="0"/>
      <w:marTop w:val="0"/>
      <w:marBottom w:val="0"/>
      <w:divBdr>
        <w:top w:val="none" w:sz="0" w:space="0" w:color="auto"/>
        <w:left w:val="none" w:sz="0" w:space="0" w:color="auto"/>
        <w:bottom w:val="none" w:sz="0" w:space="0" w:color="auto"/>
        <w:right w:val="none" w:sz="0" w:space="0" w:color="auto"/>
      </w:divBdr>
      <w:divsChild>
        <w:div w:id="312686019">
          <w:marLeft w:val="0"/>
          <w:marRight w:val="0"/>
          <w:marTop w:val="0"/>
          <w:marBottom w:val="0"/>
          <w:divBdr>
            <w:top w:val="none" w:sz="0" w:space="0" w:color="auto"/>
            <w:left w:val="none" w:sz="0" w:space="0" w:color="auto"/>
            <w:bottom w:val="none" w:sz="0" w:space="0" w:color="auto"/>
            <w:right w:val="none" w:sz="0" w:space="0" w:color="auto"/>
          </w:divBdr>
          <w:divsChild>
            <w:div w:id="37948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45630">
      <w:bodyDiv w:val="1"/>
      <w:marLeft w:val="0"/>
      <w:marRight w:val="0"/>
      <w:marTop w:val="0"/>
      <w:marBottom w:val="0"/>
      <w:divBdr>
        <w:top w:val="none" w:sz="0" w:space="0" w:color="auto"/>
        <w:left w:val="none" w:sz="0" w:space="0" w:color="auto"/>
        <w:bottom w:val="none" w:sz="0" w:space="0" w:color="auto"/>
        <w:right w:val="none" w:sz="0" w:space="0" w:color="auto"/>
      </w:divBdr>
      <w:divsChild>
        <w:div w:id="1430539874">
          <w:marLeft w:val="0"/>
          <w:marRight w:val="0"/>
          <w:marTop w:val="0"/>
          <w:marBottom w:val="0"/>
          <w:divBdr>
            <w:top w:val="none" w:sz="0" w:space="0" w:color="auto"/>
            <w:left w:val="none" w:sz="0" w:space="0" w:color="auto"/>
            <w:bottom w:val="none" w:sz="0" w:space="0" w:color="auto"/>
            <w:right w:val="none" w:sz="0" w:space="0" w:color="auto"/>
          </w:divBdr>
          <w:divsChild>
            <w:div w:id="147371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95489">
      <w:bodyDiv w:val="1"/>
      <w:marLeft w:val="0"/>
      <w:marRight w:val="0"/>
      <w:marTop w:val="0"/>
      <w:marBottom w:val="0"/>
      <w:divBdr>
        <w:top w:val="none" w:sz="0" w:space="0" w:color="auto"/>
        <w:left w:val="none" w:sz="0" w:space="0" w:color="auto"/>
        <w:bottom w:val="none" w:sz="0" w:space="0" w:color="auto"/>
        <w:right w:val="none" w:sz="0" w:space="0" w:color="auto"/>
      </w:divBdr>
      <w:divsChild>
        <w:div w:id="838731724">
          <w:marLeft w:val="0"/>
          <w:marRight w:val="0"/>
          <w:marTop w:val="0"/>
          <w:marBottom w:val="0"/>
          <w:divBdr>
            <w:top w:val="none" w:sz="0" w:space="0" w:color="auto"/>
            <w:left w:val="none" w:sz="0" w:space="0" w:color="auto"/>
            <w:bottom w:val="none" w:sz="0" w:space="0" w:color="auto"/>
            <w:right w:val="none" w:sz="0" w:space="0" w:color="auto"/>
          </w:divBdr>
          <w:divsChild>
            <w:div w:id="7069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24412">
      <w:bodyDiv w:val="1"/>
      <w:marLeft w:val="0"/>
      <w:marRight w:val="0"/>
      <w:marTop w:val="0"/>
      <w:marBottom w:val="0"/>
      <w:divBdr>
        <w:top w:val="none" w:sz="0" w:space="0" w:color="auto"/>
        <w:left w:val="none" w:sz="0" w:space="0" w:color="auto"/>
        <w:bottom w:val="none" w:sz="0" w:space="0" w:color="auto"/>
        <w:right w:val="none" w:sz="0" w:space="0" w:color="auto"/>
      </w:divBdr>
      <w:divsChild>
        <w:div w:id="1167399942">
          <w:marLeft w:val="0"/>
          <w:marRight w:val="0"/>
          <w:marTop w:val="0"/>
          <w:marBottom w:val="0"/>
          <w:divBdr>
            <w:top w:val="none" w:sz="0" w:space="0" w:color="auto"/>
            <w:left w:val="none" w:sz="0" w:space="0" w:color="auto"/>
            <w:bottom w:val="none" w:sz="0" w:space="0" w:color="auto"/>
            <w:right w:val="none" w:sz="0" w:space="0" w:color="auto"/>
          </w:divBdr>
          <w:divsChild>
            <w:div w:id="123616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09612">
      <w:bodyDiv w:val="1"/>
      <w:marLeft w:val="0"/>
      <w:marRight w:val="0"/>
      <w:marTop w:val="0"/>
      <w:marBottom w:val="0"/>
      <w:divBdr>
        <w:top w:val="none" w:sz="0" w:space="0" w:color="auto"/>
        <w:left w:val="none" w:sz="0" w:space="0" w:color="auto"/>
        <w:bottom w:val="none" w:sz="0" w:space="0" w:color="auto"/>
        <w:right w:val="none" w:sz="0" w:space="0" w:color="auto"/>
      </w:divBdr>
      <w:divsChild>
        <w:div w:id="193007174">
          <w:marLeft w:val="0"/>
          <w:marRight w:val="0"/>
          <w:marTop w:val="0"/>
          <w:marBottom w:val="0"/>
          <w:divBdr>
            <w:top w:val="none" w:sz="0" w:space="0" w:color="auto"/>
            <w:left w:val="none" w:sz="0" w:space="0" w:color="auto"/>
            <w:bottom w:val="none" w:sz="0" w:space="0" w:color="auto"/>
            <w:right w:val="none" w:sz="0" w:space="0" w:color="auto"/>
          </w:divBdr>
          <w:divsChild>
            <w:div w:id="213347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362056">
      <w:bodyDiv w:val="1"/>
      <w:marLeft w:val="0"/>
      <w:marRight w:val="0"/>
      <w:marTop w:val="0"/>
      <w:marBottom w:val="0"/>
      <w:divBdr>
        <w:top w:val="none" w:sz="0" w:space="0" w:color="auto"/>
        <w:left w:val="none" w:sz="0" w:space="0" w:color="auto"/>
        <w:bottom w:val="none" w:sz="0" w:space="0" w:color="auto"/>
        <w:right w:val="none" w:sz="0" w:space="0" w:color="auto"/>
      </w:divBdr>
      <w:divsChild>
        <w:div w:id="761991060">
          <w:marLeft w:val="0"/>
          <w:marRight w:val="0"/>
          <w:marTop w:val="0"/>
          <w:marBottom w:val="0"/>
          <w:divBdr>
            <w:top w:val="none" w:sz="0" w:space="0" w:color="auto"/>
            <w:left w:val="none" w:sz="0" w:space="0" w:color="auto"/>
            <w:bottom w:val="none" w:sz="0" w:space="0" w:color="auto"/>
            <w:right w:val="none" w:sz="0" w:space="0" w:color="auto"/>
          </w:divBdr>
          <w:divsChild>
            <w:div w:id="18951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1138">
      <w:bodyDiv w:val="1"/>
      <w:marLeft w:val="0"/>
      <w:marRight w:val="0"/>
      <w:marTop w:val="0"/>
      <w:marBottom w:val="0"/>
      <w:divBdr>
        <w:top w:val="none" w:sz="0" w:space="0" w:color="auto"/>
        <w:left w:val="none" w:sz="0" w:space="0" w:color="auto"/>
        <w:bottom w:val="none" w:sz="0" w:space="0" w:color="auto"/>
        <w:right w:val="none" w:sz="0" w:space="0" w:color="auto"/>
      </w:divBdr>
      <w:divsChild>
        <w:div w:id="1446608822">
          <w:marLeft w:val="0"/>
          <w:marRight w:val="0"/>
          <w:marTop w:val="0"/>
          <w:marBottom w:val="0"/>
          <w:divBdr>
            <w:top w:val="none" w:sz="0" w:space="0" w:color="auto"/>
            <w:left w:val="none" w:sz="0" w:space="0" w:color="auto"/>
            <w:bottom w:val="none" w:sz="0" w:space="0" w:color="auto"/>
            <w:right w:val="none" w:sz="0" w:space="0" w:color="auto"/>
          </w:divBdr>
          <w:divsChild>
            <w:div w:id="117789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66039816">
      <w:bodyDiv w:val="1"/>
      <w:marLeft w:val="0"/>
      <w:marRight w:val="0"/>
      <w:marTop w:val="0"/>
      <w:marBottom w:val="0"/>
      <w:divBdr>
        <w:top w:val="none" w:sz="0" w:space="0" w:color="auto"/>
        <w:left w:val="none" w:sz="0" w:space="0" w:color="auto"/>
        <w:bottom w:val="none" w:sz="0" w:space="0" w:color="auto"/>
        <w:right w:val="none" w:sz="0" w:space="0" w:color="auto"/>
      </w:divBdr>
      <w:divsChild>
        <w:div w:id="330059842">
          <w:marLeft w:val="0"/>
          <w:marRight w:val="0"/>
          <w:marTop w:val="0"/>
          <w:marBottom w:val="0"/>
          <w:divBdr>
            <w:top w:val="none" w:sz="0" w:space="0" w:color="auto"/>
            <w:left w:val="none" w:sz="0" w:space="0" w:color="auto"/>
            <w:bottom w:val="none" w:sz="0" w:space="0" w:color="auto"/>
            <w:right w:val="none" w:sz="0" w:space="0" w:color="auto"/>
          </w:divBdr>
          <w:divsChild>
            <w:div w:id="58040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5647">
      <w:bodyDiv w:val="1"/>
      <w:marLeft w:val="0"/>
      <w:marRight w:val="0"/>
      <w:marTop w:val="0"/>
      <w:marBottom w:val="0"/>
      <w:divBdr>
        <w:top w:val="none" w:sz="0" w:space="0" w:color="auto"/>
        <w:left w:val="none" w:sz="0" w:space="0" w:color="auto"/>
        <w:bottom w:val="none" w:sz="0" w:space="0" w:color="auto"/>
        <w:right w:val="none" w:sz="0" w:space="0" w:color="auto"/>
      </w:divBdr>
      <w:divsChild>
        <w:div w:id="680856884">
          <w:marLeft w:val="0"/>
          <w:marRight w:val="0"/>
          <w:marTop w:val="0"/>
          <w:marBottom w:val="0"/>
          <w:divBdr>
            <w:top w:val="none" w:sz="0" w:space="0" w:color="auto"/>
            <w:left w:val="none" w:sz="0" w:space="0" w:color="auto"/>
            <w:bottom w:val="none" w:sz="0" w:space="0" w:color="auto"/>
            <w:right w:val="none" w:sz="0" w:space="0" w:color="auto"/>
          </w:divBdr>
          <w:divsChild>
            <w:div w:id="74764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088953">
      <w:bodyDiv w:val="1"/>
      <w:marLeft w:val="0"/>
      <w:marRight w:val="0"/>
      <w:marTop w:val="0"/>
      <w:marBottom w:val="0"/>
      <w:divBdr>
        <w:top w:val="none" w:sz="0" w:space="0" w:color="auto"/>
        <w:left w:val="none" w:sz="0" w:space="0" w:color="auto"/>
        <w:bottom w:val="none" w:sz="0" w:space="0" w:color="auto"/>
        <w:right w:val="none" w:sz="0" w:space="0" w:color="auto"/>
      </w:divBdr>
      <w:divsChild>
        <w:div w:id="1874344815">
          <w:marLeft w:val="0"/>
          <w:marRight w:val="0"/>
          <w:marTop w:val="0"/>
          <w:marBottom w:val="0"/>
          <w:divBdr>
            <w:top w:val="none" w:sz="0" w:space="0" w:color="auto"/>
            <w:left w:val="none" w:sz="0" w:space="0" w:color="auto"/>
            <w:bottom w:val="none" w:sz="0" w:space="0" w:color="auto"/>
            <w:right w:val="none" w:sz="0" w:space="0" w:color="auto"/>
          </w:divBdr>
          <w:divsChild>
            <w:div w:id="130404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587270553">
      <w:bodyDiv w:val="1"/>
      <w:marLeft w:val="0"/>
      <w:marRight w:val="0"/>
      <w:marTop w:val="0"/>
      <w:marBottom w:val="0"/>
      <w:divBdr>
        <w:top w:val="none" w:sz="0" w:space="0" w:color="auto"/>
        <w:left w:val="none" w:sz="0" w:space="0" w:color="auto"/>
        <w:bottom w:val="none" w:sz="0" w:space="0" w:color="auto"/>
        <w:right w:val="none" w:sz="0" w:space="0" w:color="auto"/>
      </w:divBdr>
      <w:divsChild>
        <w:div w:id="899487363">
          <w:marLeft w:val="0"/>
          <w:marRight w:val="0"/>
          <w:marTop w:val="0"/>
          <w:marBottom w:val="0"/>
          <w:divBdr>
            <w:top w:val="none" w:sz="0" w:space="0" w:color="auto"/>
            <w:left w:val="none" w:sz="0" w:space="0" w:color="auto"/>
            <w:bottom w:val="none" w:sz="0" w:space="0" w:color="auto"/>
            <w:right w:val="none" w:sz="0" w:space="0" w:color="auto"/>
          </w:divBdr>
          <w:divsChild>
            <w:div w:id="209816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17505">
      <w:bodyDiv w:val="1"/>
      <w:marLeft w:val="0"/>
      <w:marRight w:val="0"/>
      <w:marTop w:val="0"/>
      <w:marBottom w:val="0"/>
      <w:divBdr>
        <w:top w:val="none" w:sz="0" w:space="0" w:color="auto"/>
        <w:left w:val="none" w:sz="0" w:space="0" w:color="auto"/>
        <w:bottom w:val="none" w:sz="0" w:space="0" w:color="auto"/>
        <w:right w:val="none" w:sz="0" w:space="0" w:color="auto"/>
      </w:divBdr>
      <w:divsChild>
        <w:div w:id="243805785">
          <w:marLeft w:val="0"/>
          <w:marRight w:val="0"/>
          <w:marTop w:val="0"/>
          <w:marBottom w:val="0"/>
          <w:divBdr>
            <w:top w:val="none" w:sz="0" w:space="0" w:color="auto"/>
            <w:left w:val="none" w:sz="0" w:space="0" w:color="auto"/>
            <w:bottom w:val="none" w:sz="0" w:space="0" w:color="auto"/>
            <w:right w:val="none" w:sz="0" w:space="0" w:color="auto"/>
          </w:divBdr>
          <w:divsChild>
            <w:div w:id="11929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29634">
      <w:bodyDiv w:val="1"/>
      <w:marLeft w:val="0"/>
      <w:marRight w:val="0"/>
      <w:marTop w:val="0"/>
      <w:marBottom w:val="0"/>
      <w:divBdr>
        <w:top w:val="none" w:sz="0" w:space="0" w:color="auto"/>
        <w:left w:val="none" w:sz="0" w:space="0" w:color="auto"/>
        <w:bottom w:val="none" w:sz="0" w:space="0" w:color="auto"/>
        <w:right w:val="none" w:sz="0" w:space="0" w:color="auto"/>
      </w:divBdr>
      <w:divsChild>
        <w:div w:id="373193164">
          <w:marLeft w:val="0"/>
          <w:marRight w:val="0"/>
          <w:marTop w:val="0"/>
          <w:marBottom w:val="0"/>
          <w:divBdr>
            <w:top w:val="none" w:sz="0" w:space="0" w:color="auto"/>
            <w:left w:val="none" w:sz="0" w:space="0" w:color="auto"/>
            <w:bottom w:val="none" w:sz="0" w:space="0" w:color="auto"/>
            <w:right w:val="none" w:sz="0" w:space="0" w:color="auto"/>
          </w:divBdr>
          <w:divsChild>
            <w:div w:id="9251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0240">
      <w:bodyDiv w:val="1"/>
      <w:marLeft w:val="0"/>
      <w:marRight w:val="0"/>
      <w:marTop w:val="0"/>
      <w:marBottom w:val="0"/>
      <w:divBdr>
        <w:top w:val="none" w:sz="0" w:space="0" w:color="auto"/>
        <w:left w:val="none" w:sz="0" w:space="0" w:color="auto"/>
        <w:bottom w:val="none" w:sz="0" w:space="0" w:color="auto"/>
        <w:right w:val="none" w:sz="0" w:space="0" w:color="auto"/>
      </w:divBdr>
      <w:divsChild>
        <w:div w:id="1188760498">
          <w:marLeft w:val="0"/>
          <w:marRight w:val="0"/>
          <w:marTop w:val="0"/>
          <w:marBottom w:val="0"/>
          <w:divBdr>
            <w:top w:val="none" w:sz="0" w:space="0" w:color="auto"/>
            <w:left w:val="none" w:sz="0" w:space="0" w:color="auto"/>
            <w:bottom w:val="none" w:sz="0" w:space="0" w:color="auto"/>
            <w:right w:val="none" w:sz="0" w:space="0" w:color="auto"/>
          </w:divBdr>
          <w:divsChild>
            <w:div w:id="88521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7524">
      <w:bodyDiv w:val="1"/>
      <w:marLeft w:val="0"/>
      <w:marRight w:val="0"/>
      <w:marTop w:val="0"/>
      <w:marBottom w:val="0"/>
      <w:divBdr>
        <w:top w:val="none" w:sz="0" w:space="0" w:color="auto"/>
        <w:left w:val="none" w:sz="0" w:space="0" w:color="auto"/>
        <w:bottom w:val="none" w:sz="0" w:space="0" w:color="auto"/>
        <w:right w:val="none" w:sz="0" w:space="0" w:color="auto"/>
      </w:divBdr>
      <w:divsChild>
        <w:div w:id="1801457075">
          <w:marLeft w:val="0"/>
          <w:marRight w:val="0"/>
          <w:marTop w:val="0"/>
          <w:marBottom w:val="0"/>
          <w:divBdr>
            <w:top w:val="none" w:sz="0" w:space="0" w:color="auto"/>
            <w:left w:val="none" w:sz="0" w:space="0" w:color="auto"/>
            <w:bottom w:val="none" w:sz="0" w:space="0" w:color="auto"/>
            <w:right w:val="none" w:sz="0" w:space="0" w:color="auto"/>
          </w:divBdr>
          <w:divsChild>
            <w:div w:id="15976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45963">
      <w:bodyDiv w:val="1"/>
      <w:marLeft w:val="0"/>
      <w:marRight w:val="0"/>
      <w:marTop w:val="0"/>
      <w:marBottom w:val="0"/>
      <w:divBdr>
        <w:top w:val="none" w:sz="0" w:space="0" w:color="auto"/>
        <w:left w:val="none" w:sz="0" w:space="0" w:color="auto"/>
        <w:bottom w:val="none" w:sz="0" w:space="0" w:color="auto"/>
        <w:right w:val="none" w:sz="0" w:space="0" w:color="auto"/>
      </w:divBdr>
      <w:divsChild>
        <w:div w:id="1190071688">
          <w:marLeft w:val="0"/>
          <w:marRight w:val="0"/>
          <w:marTop w:val="0"/>
          <w:marBottom w:val="0"/>
          <w:divBdr>
            <w:top w:val="none" w:sz="0" w:space="0" w:color="auto"/>
            <w:left w:val="none" w:sz="0" w:space="0" w:color="auto"/>
            <w:bottom w:val="none" w:sz="0" w:space="0" w:color="auto"/>
            <w:right w:val="none" w:sz="0" w:space="0" w:color="auto"/>
          </w:divBdr>
          <w:divsChild>
            <w:div w:id="170880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1904">
      <w:bodyDiv w:val="1"/>
      <w:marLeft w:val="0"/>
      <w:marRight w:val="0"/>
      <w:marTop w:val="0"/>
      <w:marBottom w:val="0"/>
      <w:divBdr>
        <w:top w:val="none" w:sz="0" w:space="0" w:color="auto"/>
        <w:left w:val="none" w:sz="0" w:space="0" w:color="auto"/>
        <w:bottom w:val="none" w:sz="0" w:space="0" w:color="auto"/>
        <w:right w:val="none" w:sz="0" w:space="0" w:color="auto"/>
      </w:divBdr>
      <w:divsChild>
        <w:div w:id="1783189814">
          <w:marLeft w:val="0"/>
          <w:marRight w:val="0"/>
          <w:marTop w:val="0"/>
          <w:marBottom w:val="0"/>
          <w:divBdr>
            <w:top w:val="none" w:sz="0" w:space="0" w:color="auto"/>
            <w:left w:val="none" w:sz="0" w:space="0" w:color="auto"/>
            <w:bottom w:val="none" w:sz="0" w:space="0" w:color="auto"/>
            <w:right w:val="none" w:sz="0" w:space="0" w:color="auto"/>
          </w:divBdr>
          <w:divsChild>
            <w:div w:id="211020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28324460">
      <w:bodyDiv w:val="1"/>
      <w:marLeft w:val="0"/>
      <w:marRight w:val="0"/>
      <w:marTop w:val="0"/>
      <w:marBottom w:val="0"/>
      <w:divBdr>
        <w:top w:val="none" w:sz="0" w:space="0" w:color="auto"/>
        <w:left w:val="none" w:sz="0" w:space="0" w:color="auto"/>
        <w:bottom w:val="none" w:sz="0" w:space="0" w:color="auto"/>
        <w:right w:val="none" w:sz="0" w:space="0" w:color="auto"/>
      </w:divBdr>
      <w:divsChild>
        <w:div w:id="434643054">
          <w:marLeft w:val="0"/>
          <w:marRight w:val="0"/>
          <w:marTop w:val="0"/>
          <w:marBottom w:val="0"/>
          <w:divBdr>
            <w:top w:val="none" w:sz="0" w:space="0" w:color="auto"/>
            <w:left w:val="none" w:sz="0" w:space="0" w:color="auto"/>
            <w:bottom w:val="none" w:sz="0" w:space="0" w:color="auto"/>
            <w:right w:val="none" w:sz="0" w:space="0" w:color="auto"/>
          </w:divBdr>
          <w:divsChild>
            <w:div w:id="19512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993280">
      <w:bodyDiv w:val="1"/>
      <w:marLeft w:val="0"/>
      <w:marRight w:val="0"/>
      <w:marTop w:val="0"/>
      <w:marBottom w:val="0"/>
      <w:divBdr>
        <w:top w:val="none" w:sz="0" w:space="0" w:color="auto"/>
        <w:left w:val="none" w:sz="0" w:space="0" w:color="auto"/>
        <w:bottom w:val="none" w:sz="0" w:space="0" w:color="auto"/>
        <w:right w:val="none" w:sz="0" w:space="0" w:color="auto"/>
      </w:divBdr>
      <w:divsChild>
        <w:div w:id="1976451831">
          <w:marLeft w:val="0"/>
          <w:marRight w:val="0"/>
          <w:marTop w:val="0"/>
          <w:marBottom w:val="0"/>
          <w:divBdr>
            <w:top w:val="none" w:sz="0" w:space="0" w:color="auto"/>
            <w:left w:val="none" w:sz="0" w:space="0" w:color="auto"/>
            <w:bottom w:val="none" w:sz="0" w:space="0" w:color="auto"/>
            <w:right w:val="none" w:sz="0" w:space="0" w:color="auto"/>
          </w:divBdr>
          <w:divsChild>
            <w:div w:id="4817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70087">
      <w:bodyDiv w:val="1"/>
      <w:marLeft w:val="0"/>
      <w:marRight w:val="0"/>
      <w:marTop w:val="0"/>
      <w:marBottom w:val="0"/>
      <w:divBdr>
        <w:top w:val="none" w:sz="0" w:space="0" w:color="auto"/>
        <w:left w:val="none" w:sz="0" w:space="0" w:color="auto"/>
        <w:bottom w:val="none" w:sz="0" w:space="0" w:color="auto"/>
        <w:right w:val="none" w:sz="0" w:space="0" w:color="auto"/>
      </w:divBdr>
      <w:divsChild>
        <w:div w:id="394473917">
          <w:marLeft w:val="0"/>
          <w:marRight w:val="0"/>
          <w:marTop w:val="0"/>
          <w:marBottom w:val="0"/>
          <w:divBdr>
            <w:top w:val="none" w:sz="0" w:space="0" w:color="auto"/>
            <w:left w:val="none" w:sz="0" w:space="0" w:color="auto"/>
            <w:bottom w:val="none" w:sz="0" w:space="0" w:color="auto"/>
            <w:right w:val="none" w:sz="0" w:space="0" w:color="auto"/>
          </w:divBdr>
          <w:divsChild>
            <w:div w:id="6116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0435">
      <w:bodyDiv w:val="1"/>
      <w:marLeft w:val="0"/>
      <w:marRight w:val="0"/>
      <w:marTop w:val="0"/>
      <w:marBottom w:val="0"/>
      <w:divBdr>
        <w:top w:val="none" w:sz="0" w:space="0" w:color="auto"/>
        <w:left w:val="none" w:sz="0" w:space="0" w:color="auto"/>
        <w:bottom w:val="none" w:sz="0" w:space="0" w:color="auto"/>
        <w:right w:val="none" w:sz="0" w:space="0" w:color="auto"/>
      </w:divBdr>
      <w:divsChild>
        <w:div w:id="1433473763">
          <w:marLeft w:val="0"/>
          <w:marRight w:val="0"/>
          <w:marTop w:val="0"/>
          <w:marBottom w:val="0"/>
          <w:divBdr>
            <w:top w:val="none" w:sz="0" w:space="0" w:color="auto"/>
            <w:left w:val="none" w:sz="0" w:space="0" w:color="auto"/>
            <w:bottom w:val="none" w:sz="0" w:space="0" w:color="auto"/>
            <w:right w:val="none" w:sz="0" w:space="0" w:color="auto"/>
          </w:divBdr>
          <w:divsChild>
            <w:div w:id="50104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5383">
      <w:bodyDiv w:val="1"/>
      <w:marLeft w:val="0"/>
      <w:marRight w:val="0"/>
      <w:marTop w:val="0"/>
      <w:marBottom w:val="0"/>
      <w:divBdr>
        <w:top w:val="none" w:sz="0" w:space="0" w:color="auto"/>
        <w:left w:val="none" w:sz="0" w:space="0" w:color="auto"/>
        <w:bottom w:val="none" w:sz="0" w:space="0" w:color="auto"/>
        <w:right w:val="none" w:sz="0" w:space="0" w:color="auto"/>
      </w:divBdr>
      <w:divsChild>
        <w:div w:id="1675644397">
          <w:marLeft w:val="0"/>
          <w:marRight w:val="0"/>
          <w:marTop w:val="0"/>
          <w:marBottom w:val="0"/>
          <w:divBdr>
            <w:top w:val="none" w:sz="0" w:space="0" w:color="auto"/>
            <w:left w:val="none" w:sz="0" w:space="0" w:color="auto"/>
            <w:bottom w:val="none" w:sz="0" w:space="0" w:color="auto"/>
            <w:right w:val="none" w:sz="0" w:space="0" w:color="auto"/>
          </w:divBdr>
          <w:divsChild>
            <w:div w:id="179767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84709">
      <w:bodyDiv w:val="1"/>
      <w:marLeft w:val="0"/>
      <w:marRight w:val="0"/>
      <w:marTop w:val="0"/>
      <w:marBottom w:val="0"/>
      <w:divBdr>
        <w:top w:val="none" w:sz="0" w:space="0" w:color="auto"/>
        <w:left w:val="none" w:sz="0" w:space="0" w:color="auto"/>
        <w:bottom w:val="none" w:sz="0" w:space="0" w:color="auto"/>
        <w:right w:val="none" w:sz="0" w:space="0" w:color="auto"/>
      </w:divBdr>
      <w:divsChild>
        <w:div w:id="1924988982">
          <w:marLeft w:val="0"/>
          <w:marRight w:val="0"/>
          <w:marTop w:val="0"/>
          <w:marBottom w:val="0"/>
          <w:divBdr>
            <w:top w:val="none" w:sz="0" w:space="0" w:color="auto"/>
            <w:left w:val="none" w:sz="0" w:space="0" w:color="auto"/>
            <w:bottom w:val="none" w:sz="0" w:space="0" w:color="auto"/>
            <w:right w:val="none" w:sz="0" w:space="0" w:color="auto"/>
          </w:divBdr>
          <w:divsChild>
            <w:div w:id="40989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55672">
      <w:bodyDiv w:val="1"/>
      <w:marLeft w:val="0"/>
      <w:marRight w:val="0"/>
      <w:marTop w:val="0"/>
      <w:marBottom w:val="0"/>
      <w:divBdr>
        <w:top w:val="none" w:sz="0" w:space="0" w:color="auto"/>
        <w:left w:val="none" w:sz="0" w:space="0" w:color="auto"/>
        <w:bottom w:val="none" w:sz="0" w:space="0" w:color="auto"/>
        <w:right w:val="none" w:sz="0" w:space="0" w:color="auto"/>
      </w:divBdr>
      <w:divsChild>
        <w:div w:id="1973516918">
          <w:marLeft w:val="0"/>
          <w:marRight w:val="0"/>
          <w:marTop w:val="0"/>
          <w:marBottom w:val="0"/>
          <w:divBdr>
            <w:top w:val="none" w:sz="0" w:space="0" w:color="auto"/>
            <w:left w:val="none" w:sz="0" w:space="0" w:color="auto"/>
            <w:bottom w:val="none" w:sz="0" w:space="0" w:color="auto"/>
            <w:right w:val="none" w:sz="0" w:space="0" w:color="auto"/>
          </w:divBdr>
          <w:divsChild>
            <w:div w:id="30305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80490">
      <w:bodyDiv w:val="1"/>
      <w:marLeft w:val="0"/>
      <w:marRight w:val="0"/>
      <w:marTop w:val="0"/>
      <w:marBottom w:val="0"/>
      <w:divBdr>
        <w:top w:val="none" w:sz="0" w:space="0" w:color="auto"/>
        <w:left w:val="none" w:sz="0" w:space="0" w:color="auto"/>
        <w:bottom w:val="none" w:sz="0" w:space="0" w:color="auto"/>
        <w:right w:val="none" w:sz="0" w:space="0" w:color="auto"/>
      </w:divBdr>
      <w:divsChild>
        <w:div w:id="1192458826">
          <w:marLeft w:val="0"/>
          <w:marRight w:val="0"/>
          <w:marTop w:val="0"/>
          <w:marBottom w:val="0"/>
          <w:divBdr>
            <w:top w:val="none" w:sz="0" w:space="0" w:color="auto"/>
            <w:left w:val="none" w:sz="0" w:space="0" w:color="auto"/>
            <w:bottom w:val="none" w:sz="0" w:space="0" w:color="auto"/>
            <w:right w:val="none" w:sz="0" w:space="0" w:color="auto"/>
          </w:divBdr>
          <w:divsChild>
            <w:div w:id="90029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176">
      <w:bodyDiv w:val="1"/>
      <w:marLeft w:val="0"/>
      <w:marRight w:val="0"/>
      <w:marTop w:val="0"/>
      <w:marBottom w:val="0"/>
      <w:divBdr>
        <w:top w:val="none" w:sz="0" w:space="0" w:color="auto"/>
        <w:left w:val="none" w:sz="0" w:space="0" w:color="auto"/>
        <w:bottom w:val="none" w:sz="0" w:space="0" w:color="auto"/>
        <w:right w:val="none" w:sz="0" w:space="0" w:color="auto"/>
      </w:divBdr>
      <w:divsChild>
        <w:div w:id="1793330638">
          <w:marLeft w:val="0"/>
          <w:marRight w:val="0"/>
          <w:marTop w:val="0"/>
          <w:marBottom w:val="0"/>
          <w:divBdr>
            <w:top w:val="none" w:sz="0" w:space="0" w:color="auto"/>
            <w:left w:val="none" w:sz="0" w:space="0" w:color="auto"/>
            <w:bottom w:val="none" w:sz="0" w:space="0" w:color="auto"/>
            <w:right w:val="none" w:sz="0" w:space="0" w:color="auto"/>
          </w:divBdr>
          <w:divsChild>
            <w:div w:id="1474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69530705">
      <w:bodyDiv w:val="1"/>
      <w:marLeft w:val="0"/>
      <w:marRight w:val="0"/>
      <w:marTop w:val="0"/>
      <w:marBottom w:val="0"/>
      <w:divBdr>
        <w:top w:val="none" w:sz="0" w:space="0" w:color="auto"/>
        <w:left w:val="none" w:sz="0" w:space="0" w:color="auto"/>
        <w:bottom w:val="none" w:sz="0" w:space="0" w:color="auto"/>
        <w:right w:val="none" w:sz="0" w:space="0" w:color="auto"/>
      </w:divBdr>
      <w:divsChild>
        <w:div w:id="1906643977">
          <w:marLeft w:val="0"/>
          <w:marRight w:val="0"/>
          <w:marTop w:val="0"/>
          <w:marBottom w:val="0"/>
          <w:divBdr>
            <w:top w:val="none" w:sz="0" w:space="0" w:color="auto"/>
            <w:left w:val="none" w:sz="0" w:space="0" w:color="auto"/>
            <w:bottom w:val="none" w:sz="0" w:space="0" w:color="auto"/>
            <w:right w:val="none" w:sz="0" w:space="0" w:color="auto"/>
          </w:divBdr>
          <w:divsChild>
            <w:div w:id="100428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95230">
      <w:bodyDiv w:val="1"/>
      <w:marLeft w:val="0"/>
      <w:marRight w:val="0"/>
      <w:marTop w:val="0"/>
      <w:marBottom w:val="0"/>
      <w:divBdr>
        <w:top w:val="none" w:sz="0" w:space="0" w:color="auto"/>
        <w:left w:val="none" w:sz="0" w:space="0" w:color="auto"/>
        <w:bottom w:val="none" w:sz="0" w:space="0" w:color="auto"/>
        <w:right w:val="none" w:sz="0" w:space="0" w:color="auto"/>
      </w:divBdr>
      <w:divsChild>
        <w:div w:id="437214028">
          <w:marLeft w:val="0"/>
          <w:marRight w:val="0"/>
          <w:marTop w:val="0"/>
          <w:marBottom w:val="0"/>
          <w:divBdr>
            <w:top w:val="none" w:sz="0" w:space="0" w:color="auto"/>
            <w:left w:val="none" w:sz="0" w:space="0" w:color="auto"/>
            <w:bottom w:val="none" w:sz="0" w:space="0" w:color="auto"/>
            <w:right w:val="none" w:sz="0" w:space="0" w:color="auto"/>
          </w:divBdr>
          <w:divsChild>
            <w:div w:id="210432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159931">
      <w:bodyDiv w:val="1"/>
      <w:marLeft w:val="0"/>
      <w:marRight w:val="0"/>
      <w:marTop w:val="0"/>
      <w:marBottom w:val="0"/>
      <w:divBdr>
        <w:top w:val="none" w:sz="0" w:space="0" w:color="auto"/>
        <w:left w:val="none" w:sz="0" w:space="0" w:color="auto"/>
        <w:bottom w:val="none" w:sz="0" w:space="0" w:color="auto"/>
        <w:right w:val="none" w:sz="0" w:space="0" w:color="auto"/>
      </w:divBdr>
      <w:divsChild>
        <w:div w:id="1915317704">
          <w:marLeft w:val="0"/>
          <w:marRight w:val="0"/>
          <w:marTop w:val="0"/>
          <w:marBottom w:val="0"/>
          <w:divBdr>
            <w:top w:val="none" w:sz="0" w:space="0" w:color="auto"/>
            <w:left w:val="none" w:sz="0" w:space="0" w:color="auto"/>
            <w:bottom w:val="none" w:sz="0" w:space="0" w:color="auto"/>
            <w:right w:val="none" w:sz="0" w:space="0" w:color="auto"/>
          </w:divBdr>
          <w:divsChild>
            <w:div w:id="169190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688801201">
      <w:bodyDiv w:val="1"/>
      <w:marLeft w:val="0"/>
      <w:marRight w:val="0"/>
      <w:marTop w:val="0"/>
      <w:marBottom w:val="0"/>
      <w:divBdr>
        <w:top w:val="none" w:sz="0" w:space="0" w:color="auto"/>
        <w:left w:val="none" w:sz="0" w:space="0" w:color="auto"/>
        <w:bottom w:val="none" w:sz="0" w:space="0" w:color="auto"/>
        <w:right w:val="none" w:sz="0" w:space="0" w:color="auto"/>
      </w:divBdr>
      <w:divsChild>
        <w:div w:id="776605037">
          <w:marLeft w:val="0"/>
          <w:marRight w:val="0"/>
          <w:marTop w:val="0"/>
          <w:marBottom w:val="0"/>
          <w:divBdr>
            <w:top w:val="none" w:sz="0" w:space="0" w:color="auto"/>
            <w:left w:val="none" w:sz="0" w:space="0" w:color="auto"/>
            <w:bottom w:val="none" w:sz="0" w:space="0" w:color="auto"/>
            <w:right w:val="none" w:sz="0" w:space="0" w:color="auto"/>
          </w:divBdr>
          <w:divsChild>
            <w:div w:id="85519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13059">
      <w:bodyDiv w:val="1"/>
      <w:marLeft w:val="0"/>
      <w:marRight w:val="0"/>
      <w:marTop w:val="0"/>
      <w:marBottom w:val="0"/>
      <w:divBdr>
        <w:top w:val="none" w:sz="0" w:space="0" w:color="auto"/>
        <w:left w:val="none" w:sz="0" w:space="0" w:color="auto"/>
        <w:bottom w:val="none" w:sz="0" w:space="0" w:color="auto"/>
        <w:right w:val="none" w:sz="0" w:space="0" w:color="auto"/>
      </w:divBdr>
      <w:divsChild>
        <w:div w:id="907181506">
          <w:marLeft w:val="0"/>
          <w:marRight w:val="0"/>
          <w:marTop w:val="0"/>
          <w:marBottom w:val="0"/>
          <w:divBdr>
            <w:top w:val="none" w:sz="0" w:space="0" w:color="auto"/>
            <w:left w:val="none" w:sz="0" w:space="0" w:color="auto"/>
            <w:bottom w:val="none" w:sz="0" w:space="0" w:color="auto"/>
            <w:right w:val="none" w:sz="0" w:space="0" w:color="auto"/>
          </w:divBdr>
          <w:divsChild>
            <w:div w:id="189172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8191">
      <w:bodyDiv w:val="1"/>
      <w:marLeft w:val="0"/>
      <w:marRight w:val="0"/>
      <w:marTop w:val="0"/>
      <w:marBottom w:val="0"/>
      <w:divBdr>
        <w:top w:val="none" w:sz="0" w:space="0" w:color="auto"/>
        <w:left w:val="none" w:sz="0" w:space="0" w:color="auto"/>
        <w:bottom w:val="none" w:sz="0" w:space="0" w:color="auto"/>
        <w:right w:val="none" w:sz="0" w:space="0" w:color="auto"/>
      </w:divBdr>
      <w:divsChild>
        <w:div w:id="555354247">
          <w:marLeft w:val="0"/>
          <w:marRight w:val="0"/>
          <w:marTop w:val="0"/>
          <w:marBottom w:val="0"/>
          <w:divBdr>
            <w:top w:val="none" w:sz="0" w:space="0" w:color="auto"/>
            <w:left w:val="none" w:sz="0" w:space="0" w:color="auto"/>
            <w:bottom w:val="none" w:sz="0" w:space="0" w:color="auto"/>
            <w:right w:val="none" w:sz="0" w:space="0" w:color="auto"/>
          </w:divBdr>
          <w:divsChild>
            <w:div w:id="1472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65760">
      <w:bodyDiv w:val="1"/>
      <w:marLeft w:val="0"/>
      <w:marRight w:val="0"/>
      <w:marTop w:val="0"/>
      <w:marBottom w:val="0"/>
      <w:divBdr>
        <w:top w:val="none" w:sz="0" w:space="0" w:color="auto"/>
        <w:left w:val="none" w:sz="0" w:space="0" w:color="auto"/>
        <w:bottom w:val="none" w:sz="0" w:space="0" w:color="auto"/>
        <w:right w:val="none" w:sz="0" w:space="0" w:color="auto"/>
      </w:divBdr>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17319508">
      <w:bodyDiv w:val="1"/>
      <w:marLeft w:val="0"/>
      <w:marRight w:val="0"/>
      <w:marTop w:val="0"/>
      <w:marBottom w:val="0"/>
      <w:divBdr>
        <w:top w:val="none" w:sz="0" w:space="0" w:color="auto"/>
        <w:left w:val="none" w:sz="0" w:space="0" w:color="auto"/>
        <w:bottom w:val="none" w:sz="0" w:space="0" w:color="auto"/>
        <w:right w:val="none" w:sz="0" w:space="0" w:color="auto"/>
      </w:divBdr>
      <w:divsChild>
        <w:div w:id="908737201">
          <w:marLeft w:val="0"/>
          <w:marRight w:val="0"/>
          <w:marTop w:val="0"/>
          <w:marBottom w:val="0"/>
          <w:divBdr>
            <w:top w:val="none" w:sz="0" w:space="0" w:color="auto"/>
            <w:left w:val="none" w:sz="0" w:space="0" w:color="auto"/>
            <w:bottom w:val="none" w:sz="0" w:space="0" w:color="auto"/>
            <w:right w:val="none" w:sz="0" w:space="0" w:color="auto"/>
          </w:divBdr>
          <w:divsChild>
            <w:div w:id="171981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164383">
      <w:bodyDiv w:val="1"/>
      <w:marLeft w:val="0"/>
      <w:marRight w:val="0"/>
      <w:marTop w:val="0"/>
      <w:marBottom w:val="0"/>
      <w:divBdr>
        <w:top w:val="none" w:sz="0" w:space="0" w:color="auto"/>
        <w:left w:val="none" w:sz="0" w:space="0" w:color="auto"/>
        <w:bottom w:val="none" w:sz="0" w:space="0" w:color="auto"/>
        <w:right w:val="none" w:sz="0" w:space="0" w:color="auto"/>
      </w:divBdr>
      <w:divsChild>
        <w:div w:id="2141608774">
          <w:marLeft w:val="0"/>
          <w:marRight w:val="0"/>
          <w:marTop w:val="0"/>
          <w:marBottom w:val="0"/>
          <w:divBdr>
            <w:top w:val="none" w:sz="0" w:space="0" w:color="auto"/>
            <w:left w:val="none" w:sz="0" w:space="0" w:color="auto"/>
            <w:bottom w:val="none" w:sz="0" w:space="0" w:color="auto"/>
            <w:right w:val="none" w:sz="0" w:space="0" w:color="auto"/>
          </w:divBdr>
          <w:divsChild>
            <w:div w:id="152313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3864">
      <w:bodyDiv w:val="1"/>
      <w:marLeft w:val="0"/>
      <w:marRight w:val="0"/>
      <w:marTop w:val="0"/>
      <w:marBottom w:val="0"/>
      <w:divBdr>
        <w:top w:val="none" w:sz="0" w:space="0" w:color="auto"/>
        <w:left w:val="none" w:sz="0" w:space="0" w:color="auto"/>
        <w:bottom w:val="none" w:sz="0" w:space="0" w:color="auto"/>
        <w:right w:val="none" w:sz="0" w:space="0" w:color="auto"/>
      </w:divBdr>
      <w:divsChild>
        <w:div w:id="88164248">
          <w:marLeft w:val="0"/>
          <w:marRight w:val="0"/>
          <w:marTop w:val="0"/>
          <w:marBottom w:val="0"/>
          <w:divBdr>
            <w:top w:val="none" w:sz="0" w:space="0" w:color="auto"/>
            <w:left w:val="none" w:sz="0" w:space="0" w:color="auto"/>
            <w:bottom w:val="none" w:sz="0" w:space="0" w:color="auto"/>
            <w:right w:val="none" w:sz="0" w:space="0" w:color="auto"/>
          </w:divBdr>
          <w:divsChild>
            <w:div w:id="11272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847220">
      <w:bodyDiv w:val="1"/>
      <w:marLeft w:val="0"/>
      <w:marRight w:val="0"/>
      <w:marTop w:val="0"/>
      <w:marBottom w:val="0"/>
      <w:divBdr>
        <w:top w:val="none" w:sz="0" w:space="0" w:color="auto"/>
        <w:left w:val="none" w:sz="0" w:space="0" w:color="auto"/>
        <w:bottom w:val="none" w:sz="0" w:space="0" w:color="auto"/>
        <w:right w:val="none" w:sz="0" w:space="0" w:color="auto"/>
      </w:divBdr>
      <w:divsChild>
        <w:div w:id="1523546048">
          <w:marLeft w:val="0"/>
          <w:marRight w:val="0"/>
          <w:marTop w:val="0"/>
          <w:marBottom w:val="0"/>
          <w:divBdr>
            <w:top w:val="none" w:sz="0" w:space="0" w:color="auto"/>
            <w:left w:val="none" w:sz="0" w:space="0" w:color="auto"/>
            <w:bottom w:val="none" w:sz="0" w:space="0" w:color="auto"/>
            <w:right w:val="none" w:sz="0" w:space="0" w:color="auto"/>
          </w:divBdr>
          <w:divsChild>
            <w:div w:id="35824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7181">
      <w:bodyDiv w:val="1"/>
      <w:marLeft w:val="0"/>
      <w:marRight w:val="0"/>
      <w:marTop w:val="0"/>
      <w:marBottom w:val="0"/>
      <w:divBdr>
        <w:top w:val="none" w:sz="0" w:space="0" w:color="auto"/>
        <w:left w:val="none" w:sz="0" w:space="0" w:color="auto"/>
        <w:bottom w:val="none" w:sz="0" w:space="0" w:color="auto"/>
        <w:right w:val="none" w:sz="0" w:space="0" w:color="auto"/>
      </w:divBdr>
      <w:divsChild>
        <w:div w:id="592396017">
          <w:marLeft w:val="0"/>
          <w:marRight w:val="0"/>
          <w:marTop w:val="0"/>
          <w:marBottom w:val="0"/>
          <w:divBdr>
            <w:top w:val="none" w:sz="0" w:space="0" w:color="auto"/>
            <w:left w:val="none" w:sz="0" w:space="0" w:color="auto"/>
            <w:bottom w:val="none" w:sz="0" w:space="0" w:color="auto"/>
            <w:right w:val="none" w:sz="0" w:space="0" w:color="auto"/>
          </w:divBdr>
          <w:divsChild>
            <w:div w:id="48775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1760402">
      <w:bodyDiv w:val="1"/>
      <w:marLeft w:val="0"/>
      <w:marRight w:val="0"/>
      <w:marTop w:val="0"/>
      <w:marBottom w:val="0"/>
      <w:divBdr>
        <w:top w:val="none" w:sz="0" w:space="0" w:color="auto"/>
        <w:left w:val="none" w:sz="0" w:space="0" w:color="auto"/>
        <w:bottom w:val="none" w:sz="0" w:space="0" w:color="auto"/>
        <w:right w:val="none" w:sz="0" w:space="0" w:color="auto"/>
      </w:divBdr>
      <w:divsChild>
        <w:div w:id="1992320185">
          <w:marLeft w:val="0"/>
          <w:marRight w:val="0"/>
          <w:marTop w:val="0"/>
          <w:marBottom w:val="0"/>
          <w:divBdr>
            <w:top w:val="none" w:sz="0" w:space="0" w:color="auto"/>
            <w:left w:val="none" w:sz="0" w:space="0" w:color="auto"/>
            <w:bottom w:val="none" w:sz="0" w:space="0" w:color="auto"/>
            <w:right w:val="none" w:sz="0" w:space="0" w:color="auto"/>
          </w:divBdr>
          <w:divsChild>
            <w:div w:id="130943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38385">
      <w:bodyDiv w:val="1"/>
      <w:marLeft w:val="0"/>
      <w:marRight w:val="0"/>
      <w:marTop w:val="0"/>
      <w:marBottom w:val="0"/>
      <w:divBdr>
        <w:top w:val="none" w:sz="0" w:space="0" w:color="auto"/>
        <w:left w:val="none" w:sz="0" w:space="0" w:color="auto"/>
        <w:bottom w:val="none" w:sz="0" w:space="0" w:color="auto"/>
        <w:right w:val="none" w:sz="0" w:space="0" w:color="auto"/>
      </w:divBdr>
      <w:divsChild>
        <w:div w:id="332494137">
          <w:marLeft w:val="0"/>
          <w:marRight w:val="0"/>
          <w:marTop w:val="0"/>
          <w:marBottom w:val="0"/>
          <w:divBdr>
            <w:top w:val="none" w:sz="0" w:space="0" w:color="auto"/>
            <w:left w:val="none" w:sz="0" w:space="0" w:color="auto"/>
            <w:bottom w:val="none" w:sz="0" w:space="0" w:color="auto"/>
            <w:right w:val="none" w:sz="0" w:space="0" w:color="auto"/>
          </w:divBdr>
          <w:divsChild>
            <w:div w:id="7070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51044001">
      <w:bodyDiv w:val="1"/>
      <w:marLeft w:val="0"/>
      <w:marRight w:val="0"/>
      <w:marTop w:val="0"/>
      <w:marBottom w:val="0"/>
      <w:divBdr>
        <w:top w:val="none" w:sz="0" w:space="0" w:color="auto"/>
        <w:left w:val="none" w:sz="0" w:space="0" w:color="auto"/>
        <w:bottom w:val="none" w:sz="0" w:space="0" w:color="auto"/>
        <w:right w:val="none" w:sz="0" w:space="0" w:color="auto"/>
      </w:divBdr>
      <w:divsChild>
        <w:div w:id="410734705">
          <w:marLeft w:val="0"/>
          <w:marRight w:val="0"/>
          <w:marTop w:val="0"/>
          <w:marBottom w:val="0"/>
          <w:divBdr>
            <w:top w:val="none" w:sz="0" w:space="0" w:color="auto"/>
            <w:left w:val="none" w:sz="0" w:space="0" w:color="auto"/>
            <w:bottom w:val="none" w:sz="0" w:space="0" w:color="auto"/>
            <w:right w:val="none" w:sz="0" w:space="0" w:color="auto"/>
          </w:divBdr>
          <w:divsChild>
            <w:div w:id="6701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128953">
      <w:bodyDiv w:val="1"/>
      <w:marLeft w:val="0"/>
      <w:marRight w:val="0"/>
      <w:marTop w:val="0"/>
      <w:marBottom w:val="0"/>
      <w:divBdr>
        <w:top w:val="none" w:sz="0" w:space="0" w:color="auto"/>
        <w:left w:val="none" w:sz="0" w:space="0" w:color="auto"/>
        <w:bottom w:val="none" w:sz="0" w:space="0" w:color="auto"/>
        <w:right w:val="none" w:sz="0" w:space="0" w:color="auto"/>
      </w:divBdr>
      <w:divsChild>
        <w:div w:id="1486507118">
          <w:marLeft w:val="0"/>
          <w:marRight w:val="0"/>
          <w:marTop w:val="0"/>
          <w:marBottom w:val="0"/>
          <w:divBdr>
            <w:top w:val="none" w:sz="0" w:space="0" w:color="auto"/>
            <w:left w:val="none" w:sz="0" w:space="0" w:color="auto"/>
            <w:bottom w:val="none" w:sz="0" w:space="0" w:color="auto"/>
            <w:right w:val="none" w:sz="0" w:space="0" w:color="auto"/>
          </w:divBdr>
          <w:divsChild>
            <w:div w:id="21036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91286">
      <w:bodyDiv w:val="1"/>
      <w:marLeft w:val="0"/>
      <w:marRight w:val="0"/>
      <w:marTop w:val="0"/>
      <w:marBottom w:val="0"/>
      <w:divBdr>
        <w:top w:val="none" w:sz="0" w:space="0" w:color="auto"/>
        <w:left w:val="none" w:sz="0" w:space="0" w:color="auto"/>
        <w:bottom w:val="none" w:sz="0" w:space="0" w:color="auto"/>
        <w:right w:val="none" w:sz="0" w:space="0" w:color="auto"/>
      </w:divBdr>
      <w:divsChild>
        <w:div w:id="1290168675">
          <w:marLeft w:val="0"/>
          <w:marRight w:val="0"/>
          <w:marTop w:val="0"/>
          <w:marBottom w:val="0"/>
          <w:divBdr>
            <w:top w:val="none" w:sz="0" w:space="0" w:color="auto"/>
            <w:left w:val="none" w:sz="0" w:space="0" w:color="auto"/>
            <w:bottom w:val="none" w:sz="0" w:space="0" w:color="auto"/>
            <w:right w:val="none" w:sz="0" w:space="0" w:color="auto"/>
          </w:divBdr>
          <w:divsChild>
            <w:div w:id="110973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7782">
      <w:bodyDiv w:val="1"/>
      <w:marLeft w:val="0"/>
      <w:marRight w:val="0"/>
      <w:marTop w:val="0"/>
      <w:marBottom w:val="0"/>
      <w:divBdr>
        <w:top w:val="none" w:sz="0" w:space="0" w:color="auto"/>
        <w:left w:val="none" w:sz="0" w:space="0" w:color="auto"/>
        <w:bottom w:val="none" w:sz="0" w:space="0" w:color="auto"/>
        <w:right w:val="none" w:sz="0" w:space="0" w:color="auto"/>
      </w:divBdr>
      <w:divsChild>
        <w:div w:id="741752377">
          <w:marLeft w:val="0"/>
          <w:marRight w:val="0"/>
          <w:marTop w:val="0"/>
          <w:marBottom w:val="0"/>
          <w:divBdr>
            <w:top w:val="none" w:sz="0" w:space="0" w:color="auto"/>
            <w:left w:val="none" w:sz="0" w:space="0" w:color="auto"/>
            <w:bottom w:val="none" w:sz="0" w:space="0" w:color="auto"/>
            <w:right w:val="none" w:sz="0" w:space="0" w:color="auto"/>
          </w:divBdr>
          <w:divsChild>
            <w:div w:id="15961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99822">
      <w:bodyDiv w:val="1"/>
      <w:marLeft w:val="0"/>
      <w:marRight w:val="0"/>
      <w:marTop w:val="0"/>
      <w:marBottom w:val="0"/>
      <w:divBdr>
        <w:top w:val="none" w:sz="0" w:space="0" w:color="auto"/>
        <w:left w:val="none" w:sz="0" w:space="0" w:color="auto"/>
        <w:bottom w:val="none" w:sz="0" w:space="0" w:color="auto"/>
        <w:right w:val="none" w:sz="0" w:space="0" w:color="auto"/>
      </w:divBdr>
      <w:divsChild>
        <w:div w:id="1596669020">
          <w:marLeft w:val="0"/>
          <w:marRight w:val="0"/>
          <w:marTop w:val="0"/>
          <w:marBottom w:val="0"/>
          <w:divBdr>
            <w:top w:val="none" w:sz="0" w:space="0" w:color="auto"/>
            <w:left w:val="none" w:sz="0" w:space="0" w:color="auto"/>
            <w:bottom w:val="none" w:sz="0" w:space="0" w:color="auto"/>
            <w:right w:val="none" w:sz="0" w:space="0" w:color="auto"/>
          </w:divBdr>
          <w:divsChild>
            <w:div w:id="47769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39440">
      <w:bodyDiv w:val="1"/>
      <w:marLeft w:val="0"/>
      <w:marRight w:val="0"/>
      <w:marTop w:val="0"/>
      <w:marBottom w:val="0"/>
      <w:divBdr>
        <w:top w:val="none" w:sz="0" w:space="0" w:color="auto"/>
        <w:left w:val="none" w:sz="0" w:space="0" w:color="auto"/>
        <w:bottom w:val="none" w:sz="0" w:space="0" w:color="auto"/>
        <w:right w:val="none" w:sz="0" w:space="0" w:color="auto"/>
      </w:divBdr>
      <w:divsChild>
        <w:div w:id="1011026372">
          <w:marLeft w:val="0"/>
          <w:marRight w:val="0"/>
          <w:marTop w:val="0"/>
          <w:marBottom w:val="0"/>
          <w:divBdr>
            <w:top w:val="none" w:sz="0" w:space="0" w:color="auto"/>
            <w:left w:val="none" w:sz="0" w:space="0" w:color="auto"/>
            <w:bottom w:val="none" w:sz="0" w:space="0" w:color="auto"/>
            <w:right w:val="none" w:sz="0" w:space="0" w:color="auto"/>
          </w:divBdr>
          <w:divsChild>
            <w:div w:id="3945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235308">
      <w:bodyDiv w:val="1"/>
      <w:marLeft w:val="0"/>
      <w:marRight w:val="0"/>
      <w:marTop w:val="0"/>
      <w:marBottom w:val="0"/>
      <w:divBdr>
        <w:top w:val="none" w:sz="0" w:space="0" w:color="auto"/>
        <w:left w:val="none" w:sz="0" w:space="0" w:color="auto"/>
        <w:bottom w:val="none" w:sz="0" w:space="0" w:color="auto"/>
        <w:right w:val="none" w:sz="0" w:space="0" w:color="auto"/>
      </w:divBdr>
      <w:divsChild>
        <w:div w:id="2046709199">
          <w:marLeft w:val="0"/>
          <w:marRight w:val="0"/>
          <w:marTop w:val="0"/>
          <w:marBottom w:val="0"/>
          <w:divBdr>
            <w:top w:val="none" w:sz="0" w:space="0" w:color="auto"/>
            <w:left w:val="none" w:sz="0" w:space="0" w:color="auto"/>
            <w:bottom w:val="none" w:sz="0" w:space="0" w:color="auto"/>
            <w:right w:val="none" w:sz="0" w:space="0" w:color="auto"/>
          </w:divBdr>
          <w:divsChild>
            <w:div w:id="38190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84481">
      <w:bodyDiv w:val="1"/>
      <w:marLeft w:val="0"/>
      <w:marRight w:val="0"/>
      <w:marTop w:val="0"/>
      <w:marBottom w:val="0"/>
      <w:divBdr>
        <w:top w:val="none" w:sz="0" w:space="0" w:color="auto"/>
        <w:left w:val="none" w:sz="0" w:space="0" w:color="auto"/>
        <w:bottom w:val="none" w:sz="0" w:space="0" w:color="auto"/>
        <w:right w:val="none" w:sz="0" w:space="0" w:color="auto"/>
      </w:divBdr>
      <w:divsChild>
        <w:div w:id="1297561532">
          <w:marLeft w:val="0"/>
          <w:marRight w:val="0"/>
          <w:marTop w:val="0"/>
          <w:marBottom w:val="0"/>
          <w:divBdr>
            <w:top w:val="none" w:sz="0" w:space="0" w:color="auto"/>
            <w:left w:val="none" w:sz="0" w:space="0" w:color="auto"/>
            <w:bottom w:val="none" w:sz="0" w:space="0" w:color="auto"/>
            <w:right w:val="none" w:sz="0" w:space="0" w:color="auto"/>
          </w:divBdr>
          <w:divsChild>
            <w:div w:id="17079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160660">
      <w:bodyDiv w:val="1"/>
      <w:marLeft w:val="0"/>
      <w:marRight w:val="0"/>
      <w:marTop w:val="0"/>
      <w:marBottom w:val="0"/>
      <w:divBdr>
        <w:top w:val="none" w:sz="0" w:space="0" w:color="auto"/>
        <w:left w:val="none" w:sz="0" w:space="0" w:color="auto"/>
        <w:bottom w:val="none" w:sz="0" w:space="0" w:color="auto"/>
        <w:right w:val="none" w:sz="0" w:space="0" w:color="auto"/>
      </w:divBdr>
      <w:divsChild>
        <w:div w:id="1834103049">
          <w:marLeft w:val="0"/>
          <w:marRight w:val="0"/>
          <w:marTop w:val="0"/>
          <w:marBottom w:val="0"/>
          <w:divBdr>
            <w:top w:val="none" w:sz="0" w:space="0" w:color="auto"/>
            <w:left w:val="none" w:sz="0" w:space="0" w:color="auto"/>
            <w:bottom w:val="none" w:sz="0" w:space="0" w:color="auto"/>
            <w:right w:val="none" w:sz="0" w:space="0" w:color="auto"/>
          </w:divBdr>
          <w:divsChild>
            <w:div w:id="3485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3440">
      <w:bodyDiv w:val="1"/>
      <w:marLeft w:val="0"/>
      <w:marRight w:val="0"/>
      <w:marTop w:val="0"/>
      <w:marBottom w:val="0"/>
      <w:divBdr>
        <w:top w:val="none" w:sz="0" w:space="0" w:color="auto"/>
        <w:left w:val="none" w:sz="0" w:space="0" w:color="auto"/>
        <w:bottom w:val="none" w:sz="0" w:space="0" w:color="auto"/>
        <w:right w:val="none" w:sz="0" w:space="0" w:color="auto"/>
      </w:divBdr>
      <w:divsChild>
        <w:div w:id="829908557">
          <w:marLeft w:val="0"/>
          <w:marRight w:val="0"/>
          <w:marTop w:val="0"/>
          <w:marBottom w:val="0"/>
          <w:divBdr>
            <w:top w:val="none" w:sz="0" w:space="0" w:color="auto"/>
            <w:left w:val="none" w:sz="0" w:space="0" w:color="auto"/>
            <w:bottom w:val="none" w:sz="0" w:space="0" w:color="auto"/>
            <w:right w:val="none" w:sz="0" w:space="0" w:color="auto"/>
          </w:divBdr>
          <w:divsChild>
            <w:div w:id="15587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96287">
      <w:bodyDiv w:val="1"/>
      <w:marLeft w:val="0"/>
      <w:marRight w:val="0"/>
      <w:marTop w:val="0"/>
      <w:marBottom w:val="0"/>
      <w:divBdr>
        <w:top w:val="none" w:sz="0" w:space="0" w:color="auto"/>
        <w:left w:val="none" w:sz="0" w:space="0" w:color="auto"/>
        <w:bottom w:val="none" w:sz="0" w:space="0" w:color="auto"/>
        <w:right w:val="none" w:sz="0" w:space="0" w:color="auto"/>
      </w:divBdr>
      <w:divsChild>
        <w:div w:id="150492427">
          <w:marLeft w:val="0"/>
          <w:marRight w:val="0"/>
          <w:marTop w:val="0"/>
          <w:marBottom w:val="0"/>
          <w:divBdr>
            <w:top w:val="none" w:sz="0" w:space="0" w:color="auto"/>
            <w:left w:val="none" w:sz="0" w:space="0" w:color="auto"/>
            <w:bottom w:val="none" w:sz="0" w:space="0" w:color="auto"/>
            <w:right w:val="none" w:sz="0" w:space="0" w:color="auto"/>
          </w:divBdr>
          <w:divsChild>
            <w:div w:id="4503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4739">
      <w:bodyDiv w:val="1"/>
      <w:marLeft w:val="0"/>
      <w:marRight w:val="0"/>
      <w:marTop w:val="0"/>
      <w:marBottom w:val="0"/>
      <w:divBdr>
        <w:top w:val="none" w:sz="0" w:space="0" w:color="auto"/>
        <w:left w:val="none" w:sz="0" w:space="0" w:color="auto"/>
        <w:bottom w:val="none" w:sz="0" w:space="0" w:color="auto"/>
        <w:right w:val="none" w:sz="0" w:space="0" w:color="auto"/>
      </w:divBdr>
      <w:divsChild>
        <w:div w:id="451094095">
          <w:marLeft w:val="0"/>
          <w:marRight w:val="0"/>
          <w:marTop w:val="0"/>
          <w:marBottom w:val="0"/>
          <w:divBdr>
            <w:top w:val="none" w:sz="0" w:space="0" w:color="auto"/>
            <w:left w:val="none" w:sz="0" w:space="0" w:color="auto"/>
            <w:bottom w:val="none" w:sz="0" w:space="0" w:color="auto"/>
            <w:right w:val="none" w:sz="0" w:space="0" w:color="auto"/>
          </w:divBdr>
          <w:divsChild>
            <w:div w:id="12087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3729">
      <w:bodyDiv w:val="1"/>
      <w:marLeft w:val="0"/>
      <w:marRight w:val="0"/>
      <w:marTop w:val="0"/>
      <w:marBottom w:val="0"/>
      <w:divBdr>
        <w:top w:val="none" w:sz="0" w:space="0" w:color="auto"/>
        <w:left w:val="none" w:sz="0" w:space="0" w:color="auto"/>
        <w:bottom w:val="none" w:sz="0" w:space="0" w:color="auto"/>
        <w:right w:val="none" w:sz="0" w:space="0" w:color="auto"/>
      </w:divBdr>
      <w:divsChild>
        <w:div w:id="1054308261">
          <w:marLeft w:val="0"/>
          <w:marRight w:val="0"/>
          <w:marTop w:val="0"/>
          <w:marBottom w:val="0"/>
          <w:divBdr>
            <w:top w:val="none" w:sz="0" w:space="0" w:color="auto"/>
            <w:left w:val="none" w:sz="0" w:space="0" w:color="auto"/>
            <w:bottom w:val="none" w:sz="0" w:space="0" w:color="auto"/>
            <w:right w:val="none" w:sz="0" w:space="0" w:color="auto"/>
          </w:divBdr>
          <w:divsChild>
            <w:div w:id="17372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83963397">
      <w:bodyDiv w:val="1"/>
      <w:marLeft w:val="0"/>
      <w:marRight w:val="0"/>
      <w:marTop w:val="0"/>
      <w:marBottom w:val="0"/>
      <w:divBdr>
        <w:top w:val="none" w:sz="0" w:space="0" w:color="auto"/>
        <w:left w:val="none" w:sz="0" w:space="0" w:color="auto"/>
        <w:bottom w:val="none" w:sz="0" w:space="0" w:color="auto"/>
        <w:right w:val="none" w:sz="0" w:space="0" w:color="auto"/>
      </w:divBdr>
      <w:divsChild>
        <w:div w:id="416943646">
          <w:marLeft w:val="0"/>
          <w:marRight w:val="0"/>
          <w:marTop w:val="0"/>
          <w:marBottom w:val="0"/>
          <w:divBdr>
            <w:top w:val="none" w:sz="0" w:space="0" w:color="auto"/>
            <w:left w:val="none" w:sz="0" w:space="0" w:color="auto"/>
            <w:bottom w:val="none" w:sz="0" w:space="0" w:color="auto"/>
            <w:right w:val="none" w:sz="0" w:space="0" w:color="auto"/>
          </w:divBdr>
          <w:divsChild>
            <w:div w:id="37566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0871">
      <w:bodyDiv w:val="1"/>
      <w:marLeft w:val="0"/>
      <w:marRight w:val="0"/>
      <w:marTop w:val="0"/>
      <w:marBottom w:val="0"/>
      <w:divBdr>
        <w:top w:val="none" w:sz="0" w:space="0" w:color="auto"/>
        <w:left w:val="none" w:sz="0" w:space="0" w:color="auto"/>
        <w:bottom w:val="none" w:sz="0" w:space="0" w:color="auto"/>
        <w:right w:val="none" w:sz="0" w:space="0" w:color="auto"/>
      </w:divBdr>
      <w:divsChild>
        <w:div w:id="1430541779">
          <w:marLeft w:val="0"/>
          <w:marRight w:val="0"/>
          <w:marTop w:val="0"/>
          <w:marBottom w:val="0"/>
          <w:divBdr>
            <w:top w:val="none" w:sz="0" w:space="0" w:color="auto"/>
            <w:left w:val="none" w:sz="0" w:space="0" w:color="auto"/>
            <w:bottom w:val="none" w:sz="0" w:space="0" w:color="auto"/>
            <w:right w:val="none" w:sz="0" w:space="0" w:color="auto"/>
          </w:divBdr>
          <w:divsChild>
            <w:div w:id="18124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1836">
      <w:bodyDiv w:val="1"/>
      <w:marLeft w:val="0"/>
      <w:marRight w:val="0"/>
      <w:marTop w:val="0"/>
      <w:marBottom w:val="0"/>
      <w:divBdr>
        <w:top w:val="none" w:sz="0" w:space="0" w:color="auto"/>
        <w:left w:val="none" w:sz="0" w:space="0" w:color="auto"/>
        <w:bottom w:val="none" w:sz="0" w:space="0" w:color="auto"/>
        <w:right w:val="none" w:sz="0" w:space="0" w:color="auto"/>
      </w:divBdr>
      <w:divsChild>
        <w:div w:id="1967853784">
          <w:marLeft w:val="0"/>
          <w:marRight w:val="0"/>
          <w:marTop w:val="0"/>
          <w:marBottom w:val="0"/>
          <w:divBdr>
            <w:top w:val="none" w:sz="0" w:space="0" w:color="auto"/>
            <w:left w:val="none" w:sz="0" w:space="0" w:color="auto"/>
            <w:bottom w:val="none" w:sz="0" w:space="0" w:color="auto"/>
            <w:right w:val="none" w:sz="0" w:space="0" w:color="auto"/>
          </w:divBdr>
          <w:divsChild>
            <w:div w:id="25691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01655441">
      <w:bodyDiv w:val="1"/>
      <w:marLeft w:val="0"/>
      <w:marRight w:val="0"/>
      <w:marTop w:val="0"/>
      <w:marBottom w:val="0"/>
      <w:divBdr>
        <w:top w:val="none" w:sz="0" w:space="0" w:color="auto"/>
        <w:left w:val="none" w:sz="0" w:space="0" w:color="auto"/>
        <w:bottom w:val="none" w:sz="0" w:space="0" w:color="auto"/>
        <w:right w:val="none" w:sz="0" w:space="0" w:color="auto"/>
      </w:divBdr>
      <w:divsChild>
        <w:div w:id="1896315560">
          <w:marLeft w:val="0"/>
          <w:marRight w:val="0"/>
          <w:marTop w:val="0"/>
          <w:marBottom w:val="0"/>
          <w:divBdr>
            <w:top w:val="none" w:sz="0" w:space="0" w:color="auto"/>
            <w:left w:val="none" w:sz="0" w:space="0" w:color="auto"/>
            <w:bottom w:val="none" w:sz="0" w:space="0" w:color="auto"/>
            <w:right w:val="none" w:sz="0" w:space="0" w:color="auto"/>
          </w:divBdr>
          <w:divsChild>
            <w:div w:id="2729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31895">
      <w:bodyDiv w:val="1"/>
      <w:marLeft w:val="0"/>
      <w:marRight w:val="0"/>
      <w:marTop w:val="0"/>
      <w:marBottom w:val="0"/>
      <w:divBdr>
        <w:top w:val="none" w:sz="0" w:space="0" w:color="auto"/>
        <w:left w:val="none" w:sz="0" w:space="0" w:color="auto"/>
        <w:bottom w:val="none" w:sz="0" w:space="0" w:color="auto"/>
        <w:right w:val="none" w:sz="0" w:space="0" w:color="auto"/>
      </w:divBdr>
      <w:divsChild>
        <w:div w:id="549416298">
          <w:marLeft w:val="0"/>
          <w:marRight w:val="0"/>
          <w:marTop w:val="0"/>
          <w:marBottom w:val="0"/>
          <w:divBdr>
            <w:top w:val="none" w:sz="0" w:space="0" w:color="auto"/>
            <w:left w:val="none" w:sz="0" w:space="0" w:color="auto"/>
            <w:bottom w:val="none" w:sz="0" w:space="0" w:color="auto"/>
            <w:right w:val="none" w:sz="0" w:space="0" w:color="auto"/>
          </w:divBdr>
          <w:divsChild>
            <w:div w:id="108449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88015">
      <w:bodyDiv w:val="1"/>
      <w:marLeft w:val="0"/>
      <w:marRight w:val="0"/>
      <w:marTop w:val="0"/>
      <w:marBottom w:val="0"/>
      <w:divBdr>
        <w:top w:val="none" w:sz="0" w:space="0" w:color="auto"/>
        <w:left w:val="none" w:sz="0" w:space="0" w:color="auto"/>
        <w:bottom w:val="none" w:sz="0" w:space="0" w:color="auto"/>
        <w:right w:val="none" w:sz="0" w:space="0" w:color="auto"/>
      </w:divBdr>
      <w:divsChild>
        <w:div w:id="254216851">
          <w:marLeft w:val="0"/>
          <w:marRight w:val="0"/>
          <w:marTop w:val="0"/>
          <w:marBottom w:val="0"/>
          <w:divBdr>
            <w:top w:val="none" w:sz="0" w:space="0" w:color="auto"/>
            <w:left w:val="none" w:sz="0" w:space="0" w:color="auto"/>
            <w:bottom w:val="none" w:sz="0" w:space="0" w:color="auto"/>
            <w:right w:val="none" w:sz="0" w:space="0" w:color="auto"/>
          </w:divBdr>
          <w:divsChild>
            <w:div w:id="21882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258971">
      <w:bodyDiv w:val="1"/>
      <w:marLeft w:val="0"/>
      <w:marRight w:val="0"/>
      <w:marTop w:val="0"/>
      <w:marBottom w:val="0"/>
      <w:divBdr>
        <w:top w:val="none" w:sz="0" w:space="0" w:color="auto"/>
        <w:left w:val="none" w:sz="0" w:space="0" w:color="auto"/>
        <w:bottom w:val="none" w:sz="0" w:space="0" w:color="auto"/>
        <w:right w:val="none" w:sz="0" w:space="0" w:color="auto"/>
      </w:divBdr>
      <w:divsChild>
        <w:div w:id="2114548935">
          <w:marLeft w:val="0"/>
          <w:marRight w:val="0"/>
          <w:marTop w:val="0"/>
          <w:marBottom w:val="0"/>
          <w:divBdr>
            <w:top w:val="none" w:sz="0" w:space="0" w:color="auto"/>
            <w:left w:val="none" w:sz="0" w:space="0" w:color="auto"/>
            <w:bottom w:val="none" w:sz="0" w:space="0" w:color="auto"/>
            <w:right w:val="none" w:sz="0" w:space="0" w:color="auto"/>
          </w:divBdr>
          <w:divsChild>
            <w:div w:id="57829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836762">
      <w:bodyDiv w:val="1"/>
      <w:marLeft w:val="0"/>
      <w:marRight w:val="0"/>
      <w:marTop w:val="0"/>
      <w:marBottom w:val="0"/>
      <w:divBdr>
        <w:top w:val="none" w:sz="0" w:space="0" w:color="auto"/>
        <w:left w:val="none" w:sz="0" w:space="0" w:color="auto"/>
        <w:bottom w:val="none" w:sz="0" w:space="0" w:color="auto"/>
        <w:right w:val="none" w:sz="0" w:space="0" w:color="auto"/>
      </w:divBdr>
      <w:divsChild>
        <w:div w:id="1936204627">
          <w:marLeft w:val="0"/>
          <w:marRight w:val="0"/>
          <w:marTop w:val="0"/>
          <w:marBottom w:val="0"/>
          <w:divBdr>
            <w:top w:val="none" w:sz="0" w:space="0" w:color="auto"/>
            <w:left w:val="none" w:sz="0" w:space="0" w:color="auto"/>
            <w:bottom w:val="none" w:sz="0" w:space="0" w:color="auto"/>
            <w:right w:val="none" w:sz="0" w:space="0" w:color="auto"/>
          </w:divBdr>
          <w:divsChild>
            <w:div w:id="84267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820148578">
      <w:bodyDiv w:val="1"/>
      <w:marLeft w:val="0"/>
      <w:marRight w:val="0"/>
      <w:marTop w:val="0"/>
      <w:marBottom w:val="0"/>
      <w:divBdr>
        <w:top w:val="none" w:sz="0" w:space="0" w:color="auto"/>
        <w:left w:val="none" w:sz="0" w:space="0" w:color="auto"/>
        <w:bottom w:val="none" w:sz="0" w:space="0" w:color="auto"/>
        <w:right w:val="none" w:sz="0" w:space="0" w:color="auto"/>
      </w:divBdr>
      <w:divsChild>
        <w:div w:id="996230383">
          <w:marLeft w:val="0"/>
          <w:marRight w:val="0"/>
          <w:marTop w:val="0"/>
          <w:marBottom w:val="0"/>
          <w:divBdr>
            <w:top w:val="none" w:sz="0" w:space="0" w:color="auto"/>
            <w:left w:val="none" w:sz="0" w:space="0" w:color="auto"/>
            <w:bottom w:val="none" w:sz="0" w:space="0" w:color="auto"/>
            <w:right w:val="none" w:sz="0" w:space="0" w:color="auto"/>
          </w:divBdr>
          <w:divsChild>
            <w:div w:id="137581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5826">
      <w:bodyDiv w:val="1"/>
      <w:marLeft w:val="0"/>
      <w:marRight w:val="0"/>
      <w:marTop w:val="0"/>
      <w:marBottom w:val="0"/>
      <w:divBdr>
        <w:top w:val="none" w:sz="0" w:space="0" w:color="auto"/>
        <w:left w:val="none" w:sz="0" w:space="0" w:color="auto"/>
        <w:bottom w:val="none" w:sz="0" w:space="0" w:color="auto"/>
        <w:right w:val="none" w:sz="0" w:space="0" w:color="auto"/>
      </w:divBdr>
      <w:divsChild>
        <w:div w:id="1734235687">
          <w:marLeft w:val="0"/>
          <w:marRight w:val="0"/>
          <w:marTop w:val="0"/>
          <w:marBottom w:val="0"/>
          <w:divBdr>
            <w:top w:val="none" w:sz="0" w:space="0" w:color="auto"/>
            <w:left w:val="none" w:sz="0" w:space="0" w:color="auto"/>
            <w:bottom w:val="none" w:sz="0" w:space="0" w:color="auto"/>
            <w:right w:val="none" w:sz="0" w:space="0" w:color="auto"/>
          </w:divBdr>
          <w:divsChild>
            <w:div w:id="1186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13412">
      <w:bodyDiv w:val="1"/>
      <w:marLeft w:val="0"/>
      <w:marRight w:val="0"/>
      <w:marTop w:val="0"/>
      <w:marBottom w:val="0"/>
      <w:divBdr>
        <w:top w:val="none" w:sz="0" w:space="0" w:color="auto"/>
        <w:left w:val="none" w:sz="0" w:space="0" w:color="auto"/>
        <w:bottom w:val="none" w:sz="0" w:space="0" w:color="auto"/>
        <w:right w:val="none" w:sz="0" w:space="0" w:color="auto"/>
      </w:divBdr>
      <w:divsChild>
        <w:div w:id="374235064">
          <w:marLeft w:val="0"/>
          <w:marRight w:val="0"/>
          <w:marTop w:val="0"/>
          <w:marBottom w:val="0"/>
          <w:divBdr>
            <w:top w:val="none" w:sz="0" w:space="0" w:color="auto"/>
            <w:left w:val="none" w:sz="0" w:space="0" w:color="auto"/>
            <w:bottom w:val="none" w:sz="0" w:space="0" w:color="auto"/>
            <w:right w:val="none" w:sz="0" w:space="0" w:color="auto"/>
          </w:divBdr>
          <w:divsChild>
            <w:div w:id="165132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140520">
      <w:bodyDiv w:val="1"/>
      <w:marLeft w:val="0"/>
      <w:marRight w:val="0"/>
      <w:marTop w:val="0"/>
      <w:marBottom w:val="0"/>
      <w:divBdr>
        <w:top w:val="none" w:sz="0" w:space="0" w:color="auto"/>
        <w:left w:val="none" w:sz="0" w:space="0" w:color="auto"/>
        <w:bottom w:val="none" w:sz="0" w:space="0" w:color="auto"/>
        <w:right w:val="none" w:sz="0" w:space="0" w:color="auto"/>
      </w:divBdr>
      <w:divsChild>
        <w:div w:id="492992939">
          <w:marLeft w:val="0"/>
          <w:marRight w:val="0"/>
          <w:marTop w:val="0"/>
          <w:marBottom w:val="0"/>
          <w:divBdr>
            <w:top w:val="none" w:sz="0" w:space="0" w:color="auto"/>
            <w:left w:val="none" w:sz="0" w:space="0" w:color="auto"/>
            <w:bottom w:val="none" w:sz="0" w:space="0" w:color="auto"/>
            <w:right w:val="none" w:sz="0" w:space="0" w:color="auto"/>
          </w:divBdr>
          <w:divsChild>
            <w:div w:id="18222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10815">
      <w:bodyDiv w:val="1"/>
      <w:marLeft w:val="0"/>
      <w:marRight w:val="0"/>
      <w:marTop w:val="0"/>
      <w:marBottom w:val="0"/>
      <w:divBdr>
        <w:top w:val="none" w:sz="0" w:space="0" w:color="auto"/>
        <w:left w:val="none" w:sz="0" w:space="0" w:color="auto"/>
        <w:bottom w:val="none" w:sz="0" w:space="0" w:color="auto"/>
        <w:right w:val="none" w:sz="0" w:space="0" w:color="auto"/>
      </w:divBdr>
      <w:divsChild>
        <w:div w:id="1002666501">
          <w:marLeft w:val="0"/>
          <w:marRight w:val="0"/>
          <w:marTop w:val="0"/>
          <w:marBottom w:val="0"/>
          <w:divBdr>
            <w:top w:val="none" w:sz="0" w:space="0" w:color="auto"/>
            <w:left w:val="none" w:sz="0" w:space="0" w:color="auto"/>
            <w:bottom w:val="none" w:sz="0" w:space="0" w:color="auto"/>
            <w:right w:val="none" w:sz="0" w:space="0" w:color="auto"/>
          </w:divBdr>
          <w:divsChild>
            <w:div w:id="31256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0000">
      <w:bodyDiv w:val="1"/>
      <w:marLeft w:val="0"/>
      <w:marRight w:val="0"/>
      <w:marTop w:val="0"/>
      <w:marBottom w:val="0"/>
      <w:divBdr>
        <w:top w:val="none" w:sz="0" w:space="0" w:color="auto"/>
        <w:left w:val="none" w:sz="0" w:space="0" w:color="auto"/>
        <w:bottom w:val="none" w:sz="0" w:space="0" w:color="auto"/>
        <w:right w:val="none" w:sz="0" w:space="0" w:color="auto"/>
      </w:divBdr>
      <w:divsChild>
        <w:div w:id="2147114182">
          <w:marLeft w:val="0"/>
          <w:marRight w:val="0"/>
          <w:marTop w:val="0"/>
          <w:marBottom w:val="0"/>
          <w:divBdr>
            <w:top w:val="none" w:sz="0" w:space="0" w:color="auto"/>
            <w:left w:val="none" w:sz="0" w:space="0" w:color="auto"/>
            <w:bottom w:val="none" w:sz="0" w:space="0" w:color="auto"/>
            <w:right w:val="none" w:sz="0" w:space="0" w:color="auto"/>
          </w:divBdr>
          <w:divsChild>
            <w:div w:id="177709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29279">
      <w:bodyDiv w:val="1"/>
      <w:marLeft w:val="0"/>
      <w:marRight w:val="0"/>
      <w:marTop w:val="0"/>
      <w:marBottom w:val="0"/>
      <w:divBdr>
        <w:top w:val="none" w:sz="0" w:space="0" w:color="auto"/>
        <w:left w:val="none" w:sz="0" w:space="0" w:color="auto"/>
        <w:bottom w:val="none" w:sz="0" w:space="0" w:color="auto"/>
        <w:right w:val="none" w:sz="0" w:space="0" w:color="auto"/>
      </w:divBdr>
      <w:divsChild>
        <w:div w:id="1101027679">
          <w:marLeft w:val="0"/>
          <w:marRight w:val="0"/>
          <w:marTop w:val="0"/>
          <w:marBottom w:val="0"/>
          <w:divBdr>
            <w:top w:val="none" w:sz="0" w:space="0" w:color="auto"/>
            <w:left w:val="none" w:sz="0" w:space="0" w:color="auto"/>
            <w:bottom w:val="none" w:sz="0" w:space="0" w:color="auto"/>
            <w:right w:val="none" w:sz="0" w:space="0" w:color="auto"/>
          </w:divBdr>
          <w:divsChild>
            <w:div w:id="129086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48930">
      <w:bodyDiv w:val="1"/>
      <w:marLeft w:val="0"/>
      <w:marRight w:val="0"/>
      <w:marTop w:val="0"/>
      <w:marBottom w:val="0"/>
      <w:divBdr>
        <w:top w:val="none" w:sz="0" w:space="0" w:color="auto"/>
        <w:left w:val="none" w:sz="0" w:space="0" w:color="auto"/>
        <w:bottom w:val="none" w:sz="0" w:space="0" w:color="auto"/>
        <w:right w:val="none" w:sz="0" w:space="0" w:color="auto"/>
      </w:divBdr>
      <w:divsChild>
        <w:div w:id="1017584693">
          <w:marLeft w:val="0"/>
          <w:marRight w:val="0"/>
          <w:marTop w:val="0"/>
          <w:marBottom w:val="0"/>
          <w:divBdr>
            <w:top w:val="none" w:sz="0" w:space="0" w:color="auto"/>
            <w:left w:val="none" w:sz="0" w:space="0" w:color="auto"/>
            <w:bottom w:val="none" w:sz="0" w:space="0" w:color="auto"/>
            <w:right w:val="none" w:sz="0" w:space="0" w:color="auto"/>
          </w:divBdr>
          <w:divsChild>
            <w:div w:id="114238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59143">
      <w:bodyDiv w:val="1"/>
      <w:marLeft w:val="0"/>
      <w:marRight w:val="0"/>
      <w:marTop w:val="0"/>
      <w:marBottom w:val="0"/>
      <w:divBdr>
        <w:top w:val="none" w:sz="0" w:space="0" w:color="auto"/>
        <w:left w:val="none" w:sz="0" w:space="0" w:color="auto"/>
        <w:bottom w:val="none" w:sz="0" w:space="0" w:color="auto"/>
        <w:right w:val="none" w:sz="0" w:space="0" w:color="auto"/>
      </w:divBdr>
      <w:divsChild>
        <w:div w:id="699234954">
          <w:marLeft w:val="0"/>
          <w:marRight w:val="0"/>
          <w:marTop w:val="0"/>
          <w:marBottom w:val="0"/>
          <w:divBdr>
            <w:top w:val="none" w:sz="0" w:space="0" w:color="auto"/>
            <w:left w:val="none" w:sz="0" w:space="0" w:color="auto"/>
            <w:bottom w:val="none" w:sz="0" w:space="0" w:color="auto"/>
            <w:right w:val="none" w:sz="0" w:space="0" w:color="auto"/>
          </w:divBdr>
          <w:divsChild>
            <w:div w:id="5873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50942">
      <w:bodyDiv w:val="1"/>
      <w:marLeft w:val="0"/>
      <w:marRight w:val="0"/>
      <w:marTop w:val="0"/>
      <w:marBottom w:val="0"/>
      <w:divBdr>
        <w:top w:val="none" w:sz="0" w:space="0" w:color="auto"/>
        <w:left w:val="none" w:sz="0" w:space="0" w:color="auto"/>
        <w:bottom w:val="none" w:sz="0" w:space="0" w:color="auto"/>
        <w:right w:val="none" w:sz="0" w:space="0" w:color="auto"/>
      </w:divBdr>
      <w:divsChild>
        <w:div w:id="1673487158">
          <w:marLeft w:val="0"/>
          <w:marRight w:val="0"/>
          <w:marTop w:val="0"/>
          <w:marBottom w:val="0"/>
          <w:divBdr>
            <w:top w:val="none" w:sz="0" w:space="0" w:color="auto"/>
            <w:left w:val="none" w:sz="0" w:space="0" w:color="auto"/>
            <w:bottom w:val="none" w:sz="0" w:space="0" w:color="auto"/>
            <w:right w:val="none" w:sz="0" w:space="0" w:color="auto"/>
          </w:divBdr>
          <w:divsChild>
            <w:div w:id="17563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88488">
      <w:bodyDiv w:val="1"/>
      <w:marLeft w:val="0"/>
      <w:marRight w:val="0"/>
      <w:marTop w:val="0"/>
      <w:marBottom w:val="0"/>
      <w:divBdr>
        <w:top w:val="none" w:sz="0" w:space="0" w:color="auto"/>
        <w:left w:val="none" w:sz="0" w:space="0" w:color="auto"/>
        <w:bottom w:val="none" w:sz="0" w:space="0" w:color="auto"/>
        <w:right w:val="none" w:sz="0" w:space="0" w:color="auto"/>
      </w:divBdr>
      <w:divsChild>
        <w:div w:id="1830822939">
          <w:marLeft w:val="0"/>
          <w:marRight w:val="0"/>
          <w:marTop w:val="0"/>
          <w:marBottom w:val="0"/>
          <w:divBdr>
            <w:top w:val="none" w:sz="0" w:space="0" w:color="auto"/>
            <w:left w:val="none" w:sz="0" w:space="0" w:color="auto"/>
            <w:bottom w:val="none" w:sz="0" w:space="0" w:color="auto"/>
            <w:right w:val="none" w:sz="0" w:space="0" w:color="auto"/>
          </w:divBdr>
          <w:divsChild>
            <w:div w:id="5913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86684">
      <w:bodyDiv w:val="1"/>
      <w:marLeft w:val="0"/>
      <w:marRight w:val="0"/>
      <w:marTop w:val="0"/>
      <w:marBottom w:val="0"/>
      <w:divBdr>
        <w:top w:val="none" w:sz="0" w:space="0" w:color="auto"/>
        <w:left w:val="none" w:sz="0" w:space="0" w:color="auto"/>
        <w:bottom w:val="none" w:sz="0" w:space="0" w:color="auto"/>
        <w:right w:val="none" w:sz="0" w:space="0" w:color="auto"/>
      </w:divBdr>
      <w:divsChild>
        <w:div w:id="1659075277">
          <w:marLeft w:val="0"/>
          <w:marRight w:val="0"/>
          <w:marTop w:val="0"/>
          <w:marBottom w:val="0"/>
          <w:divBdr>
            <w:top w:val="none" w:sz="0" w:space="0" w:color="auto"/>
            <w:left w:val="none" w:sz="0" w:space="0" w:color="auto"/>
            <w:bottom w:val="none" w:sz="0" w:space="0" w:color="auto"/>
            <w:right w:val="none" w:sz="0" w:space="0" w:color="auto"/>
          </w:divBdr>
          <w:divsChild>
            <w:div w:id="137685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18592">
      <w:bodyDiv w:val="1"/>
      <w:marLeft w:val="0"/>
      <w:marRight w:val="0"/>
      <w:marTop w:val="0"/>
      <w:marBottom w:val="0"/>
      <w:divBdr>
        <w:top w:val="none" w:sz="0" w:space="0" w:color="auto"/>
        <w:left w:val="none" w:sz="0" w:space="0" w:color="auto"/>
        <w:bottom w:val="none" w:sz="0" w:space="0" w:color="auto"/>
        <w:right w:val="none" w:sz="0" w:space="0" w:color="auto"/>
      </w:divBdr>
      <w:divsChild>
        <w:div w:id="48847036">
          <w:marLeft w:val="0"/>
          <w:marRight w:val="0"/>
          <w:marTop w:val="0"/>
          <w:marBottom w:val="0"/>
          <w:divBdr>
            <w:top w:val="none" w:sz="0" w:space="0" w:color="auto"/>
            <w:left w:val="none" w:sz="0" w:space="0" w:color="auto"/>
            <w:bottom w:val="none" w:sz="0" w:space="0" w:color="auto"/>
            <w:right w:val="none" w:sz="0" w:space="0" w:color="auto"/>
          </w:divBdr>
          <w:divsChild>
            <w:div w:id="47463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26142">
      <w:bodyDiv w:val="1"/>
      <w:marLeft w:val="0"/>
      <w:marRight w:val="0"/>
      <w:marTop w:val="0"/>
      <w:marBottom w:val="0"/>
      <w:divBdr>
        <w:top w:val="none" w:sz="0" w:space="0" w:color="auto"/>
        <w:left w:val="none" w:sz="0" w:space="0" w:color="auto"/>
        <w:bottom w:val="none" w:sz="0" w:space="0" w:color="auto"/>
        <w:right w:val="none" w:sz="0" w:space="0" w:color="auto"/>
      </w:divBdr>
      <w:divsChild>
        <w:div w:id="973366143">
          <w:marLeft w:val="0"/>
          <w:marRight w:val="0"/>
          <w:marTop w:val="0"/>
          <w:marBottom w:val="0"/>
          <w:divBdr>
            <w:top w:val="none" w:sz="0" w:space="0" w:color="auto"/>
            <w:left w:val="none" w:sz="0" w:space="0" w:color="auto"/>
            <w:bottom w:val="none" w:sz="0" w:space="0" w:color="auto"/>
            <w:right w:val="none" w:sz="0" w:space="0" w:color="auto"/>
          </w:divBdr>
          <w:divsChild>
            <w:div w:id="3887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77124">
      <w:bodyDiv w:val="1"/>
      <w:marLeft w:val="0"/>
      <w:marRight w:val="0"/>
      <w:marTop w:val="0"/>
      <w:marBottom w:val="0"/>
      <w:divBdr>
        <w:top w:val="none" w:sz="0" w:space="0" w:color="auto"/>
        <w:left w:val="none" w:sz="0" w:space="0" w:color="auto"/>
        <w:bottom w:val="none" w:sz="0" w:space="0" w:color="auto"/>
        <w:right w:val="none" w:sz="0" w:space="0" w:color="auto"/>
      </w:divBdr>
      <w:divsChild>
        <w:div w:id="2123528108">
          <w:marLeft w:val="0"/>
          <w:marRight w:val="0"/>
          <w:marTop w:val="0"/>
          <w:marBottom w:val="0"/>
          <w:divBdr>
            <w:top w:val="none" w:sz="0" w:space="0" w:color="auto"/>
            <w:left w:val="none" w:sz="0" w:space="0" w:color="auto"/>
            <w:bottom w:val="none" w:sz="0" w:space="0" w:color="auto"/>
            <w:right w:val="none" w:sz="0" w:space="0" w:color="auto"/>
          </w:divBdr>
          <w:divsChild>
            <w:div w:id="93640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908">
      <w:bodyDiv w:val="1"/>
      <w:marLeft w:val="0"/>
      <w:marRight w:val="0"/>
      <w:marTop w:val="0"/>
      <w:marBottom w:val="0"/>
      <w:divBdr>
        <w:top w:val="none" w:sz="0" w:space="0" w:color="auto"/>
        <w:left w:val="none" w:sz="0" w:space="0" w:color="auto"/>
        <w:bottom w:val="none" w:sz="0" w:space="0" w:color="auto"/>
        <w:right w:val="none" w:sz="0" w:space="0" w:color="auto"/>
      </w:divBdr>
      <w:divsChild>
        <w:div w:id="1078819113">
          <w:marLeft w:val="0"/>
          <w:marRight w:val="0"/>
          <w:marTop w:val="0"/>
          <w:marBottom w:val="0"/>
          <w:divBdr>
            <w:top w:val="none" w:sz="0" w:space="0" w:color="auto"/>
            <w:left w:val="none" w:sz="0" w:space="0" w:color="auto"/>
            <w:bottom w:val="none" w:sz="0" w:space="0" w:color="auto"/>
            <w:right w:val="none" w:sz="0" w:space="0" w:color="auto"/>
          </w:divBdr>
          <w:divsChild>
            <w:div w:id="158931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68853">
      <w:bodyDiv w:val="1"/>
      <w:marLeft w:val="0"/>
      <w:marRight w:val="0"/>
      <w:marTop w:val="0"/>
      <w:marBottom w:val="0"/>
      <w:divBdr>
        <w:top w:val="none" w:sz="0" w:space="0" w:color="auto"/>
        <w:left w:val="none" w:sz="0" w:space="0" w:color="auto"/>
        <w:bottom w:val="none" w:sz="0" w:space="0" w:color="auto"/>
        <w:right w:val="none" w:sz="0" w:space="0" w:color="auto"/>
      </w:divBdr>
      <w:divsChild>
        <w:div w:id="1138298479">
          <w:marLeft w:val="0"/>
          <w:marRight w:val="0"/>
          <w:marTop w:val="0"/>
          <w:marBottom w:val="0"/>
          <w:divBdr>
            <w:top w:val="none" w:sz="0" w:space="0" w:color="auto"/>
            <w:left w:val="none" w:sz="0" w:space="0" w:color="auto"/>
            <w:bottom w:val="none" w:sz="0" w:space="0" w:color="auto"/>
            <w:right w:val="none" w:sz="0" w:space="0" w:color="auto"/>
          </w:divBdr>
          <w:divsChild>
            <w:div w:id="148781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300110">
      <w:bodyDiv w:val="1"/>
      <w:marLeft w:val="0"/>
      <w:marRight w:val="0"/>
      <w:marTop w:val="0"/>
      <w:marBottom w:val="0"/>
      <w:divBdr>
        <w:top w:val="none" w:sz="0" w:space="0" w:color="auto"/>
        <w:left w:val="none" w:sz="0" w:space="0" w:color="auto"/>
        <w:bottom w:val="none" w:sz="0" w:space="0" w:color="auto"/>
        <w:right w:val="none" w:sz="0" w:space="0" w:color="auto"/>
      </w:divBdr>
      <w:divsChild>
        <w:div w:id="197554142">
          <w:marLeft w:val="0"/>
          <w:marRight w:val="0"/>
          <w:marTop w:val="0"/>
          <w:marBottom w:val="0"/>
          <w:divBdr>
            <w:top w:val="none" w:sz="0" w:space="0" w:color="auto"/>
            <w:left w:val="none" w:sz="0" w:space="0" w:color="auto"/>
            <w:bottom w:val="none" w:sz="0" w:space="0" w:color="auto"/>
            <w:right w:val="none" w:sz="0" w:space="0" w:color="auto"/>
          </w:divBdr>
          <w:divsChild>
            <w:div w:id="18061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29454">
      <w:bodyDiv w:val="1"/>
      <w:marLeft w:val="0"/>
      <w:marRight w:val="0"/>
      <w:marTop w:val="0"/>
      <w:marBottom w:val="0"/>
      <w:divBdr>
        <w:top w:val="none" w:sz="0" w:space="0" w:color="auto"/>
        <w:left w:val="none" w:sz="0" w:space="0" w:color="auto"/>
        <w:bottom w:val="none" w:sz="0" w:space="0" w:color="auto"/>
        <w:right w:val="none" w:sz="0" w:space="0" w:color="auto"/>
      </w:divBdr>
      <w:divsChild>
        <w:div w:id="507907107">
          <w:marLeft w:val="0"/>
          <w:marRight w:val="0"/>
          <w:marTop w:val="0"/>
          <w:marBottom w:val="0"/>
          <w:divBdr>
            <w:top w:val="none" w:sz="0" w:space="0" w:color="auto"/>
            <w:left w:val="none" w:sz="0" w:space="0" w:color="auto"/>
            <w:bottom w:val="none" w:sz="0" w:space="0" w:color="auto"/>
            <w:right w:val="none" w:sz="0" w:space="0" w:color="auto"/>
          </w:divBdr>
          <w:divsChild>
            <w:div w:id="13686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4068">
      <w:bodyDiv w:val="1"/>
      <w:marLeft w:val="0"/>
      <w:marRight w:val="0"/>
      <w:marTop w:val="0"/>
      <w:marBottom w:val="0"/>
      <w:divBdr>
        <w:top w:val="none" w:sz="0" w:space="0" w:color="auto"/>
        <w:left w:val="none" w:sz="0" w:space="0" w:color="auto"/>
        <w:bottom w:val="none" w:sz="0" w:space="0" w:color="auto"/>
        <w:right w:val="none" w:sz="0" w:space="0" w:color="auto"/>
      </w:divBdr>
      <w:divsChild>
        <w:div w:id="2019116068">
          <w:marLeft w:val="0"/>
          <w:marRight w:val="0"/>
          <w:marTop w:val="0"/>
          <w:marBottom w:val="0"/>
          <w:divBdr>
            <w:top w:val="none" w:sz="0" w:space="0" w:color="auto"/>
            <w:left w:val="none" w:sz="0" w:space="0" w:color="auto"/>
            <w:bottom w:val="none" w:sz="0" w:space="0" w:color="auto"/>
            <w:right w:val="none" w:sz="0" w:space="0" w:color="auto"/>
          </w:divBdr>
          <w:divsChild>
            <w:div w:id="60931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034911">
      <w:bodyDiv w:val="1"/>
      <w:marLeft w:val="0"/>
      <w:marRight w:val="0"/>
      <w:marTop w:val="0"/>
      <w:marBottom w:val="0"/>
      <w:divBdr>
        <w:top w:val="none" w:sz="0" w:space="0" w:color="auto"/>
        <w:left w:val="none" w:sz="0" w:space="0" w:color="auto"/>
        <w:bottom w:val="none" w:sz="0" w:space="0" w:color="auto"/>
        <w:right w:val="none" w:sz="0" w:space="0" w:color="auto"/>
      </w:divBdr>
      <w:divsChild>
        <w:div w:id="1332561880">
          <w:marLeft w:val="0"/>
          <w:marRight w:val="0"/>
          <w:marTop w:val="0"/>
          <w:marBottom w:val="0"/>
          <w:divBdr>
            <w:top w:val="none" w:sz="0" w:space="0" w:color="auto"/>
            <w:left w:val="none" w:sz="0" w:space="0" w:color="auto"/>
            <w:bottom w:val="none" w:sz="0" w:space="0" w:color="auto"/>
            <w:right w:val="none" w:sz="0" w:space="0" w:color="auto"/>
          </w:divBdr>
          <w:divsChild>
            <w:div w:id="143485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51182">
      <w:bodyDiv w:val="1"/>
      <w:marLeft w:val="0"/>
      <w:marRight w:val="0"/>
      <w:marTop w:val="0"/>
      <w:marBottom w:val="0"/>
      <w:divBdr>
        <w:top w:val="none" w:sz="0" w:space="0" w:color="auto"/>
        <w:left w:val="none" w:sz="0" w:space="0" w:color="auto"/>
        <w:bottom w:val="none" w:sz="0" w:space="0" w:color="auto"/>
        <w:right w:val="none" w:sz="0" w:space="0" w:color="auto"/>
      </w:divBdr>
      <w:divsChild>
        <w:div w:id="369649683">
          <w:marLeft w:val="0"/>
          <w:marRight w:val="0"/>
          <w:marTop w:val="0"/>
          <w:marBottom w:val="0"/>
          <w:divBdr>
            <w:top w:val="none" w:sz="0" w:space="0" w:color="auto"/>
            <w:left w:val="none" w:sz="0" w:space="0" w:color="auto"/>
            <w:bottom w:val="none" w:sz="0" w:space="0" w:color="auto"/>
            <w:right w:val="none" w:sz="0" w:space="0" w:color="auto"/>
          </w:divBdr>
          <w:divsChild>
            <w:div w:id="10739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55904">
      <w:bodyDiv w:val="1"/>
      <w:marLeft w:val="0"/>
      <w:marRight w:val="0"/>
      <w:marTop w:val="0"/>
      <w:marBottom w:val="0"/>
      <w:divBdr>
        <w:top w:val="none" w:sz="0" w:space="0" w:color="auto"/>
        <w:left w:val="none" w:sz="0" w:space="0" w:color="auto"/>
        <w:bottom w:val="none" w:sz="0" w:space="0" w:color="auto"/>
        <w:right w:val="none" w:sz="0" w:space="0" w:color="auto"/>
      </w:divBdr>
      <w:divsChild>
        <w:div w:id="1811745187">
          <w:marLeft w:val="0"/>
          <w:marRight w:val="0"/>
          <w:marTop w:val="0"/>
          <w:marBottom w:val="0"/>
          <w:divBdr>
            <w:top w:val="none" w:sz="0" w:space="0" w:color="auto"/>
            <w:left w:val="none" w:sz="0" w:space="0" w:color="auto"/>
            <w:bottom w:val="none" w:sz="0" w:space="0" w:color="auto"/>
            <w:right w:val="none" w:sz="0" w:space="0" w:color="auto"/>
          </w:divBdr>
          <w:divsChild>
            <w:div w:id="72915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7424966">
      <w:bodyDiv w:val="1"/>
      <w:marLeft w:val="0"/>
      <w:marRight w:val="0"/>
      <w:marTop w:val="0"/>
      <w:marBottom w:val="0"/>
      <w:divBdr>
        <w:top w:val="none" w:sz="0" w:space="0" w:color="auto"/>
        <w:left w:val="none" w:sz="0" w:space="0" w:color="auto"/>
        <w:bottom w:val="none" w:sz="0" w:space="0" w:color="auto"/>
        <w:right w:val="none" w:sz="0" w:space="0" w:color="auto"/>
      </w:divBdr>
      <w:divsChild>
        <w:div w:id="2050454557">
          <w:marLeft w:val="0"/>
          <w:marRight w:val="0"/>
          <w:marTop w:val="0"/>
          <w:marBottom w:val="0"/>
          <w:divBdr>
            <w:top w:val="none" w:sz="0" w:space="0" w:color="auto"/>
            <w:left w:val="none" w:sz="0" w:space="0" w:color="auto"/>
            <w:bottom w:val="none" w:sz="0" w:space="0" w:color="auto"/>
            <w:right w:val="none" w:sz="0" w:space="0" w:color="auto"/>
          </w:divBdr>
          <w:divsChild>
            <w:div w:id="25856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6061003">
      <w:bodyDiv w:val="1"/>
      <w:marLeft w:val="0"/>
      <w:marRight w:val="0"/>
      <w:marTop w:val="0"/>
      <w:marBottom w:val="0"/>
      <w:divBdr>
        <w:top w:val="none" w:sz="0" w:space="0" w:color="auto"/>
        <w:left w:val="none" w:sz="0" w:space="0" w:color="auto"/>
        <w:bottom w:val="none" w:sz="0" w:space="0" w:color="auto"/>
        <w:right w:val="none" w:sz="0" w:space="0" w:color="auto"/>
      </w:divBdr>
      <w:divsChild>
        <w:div w:id="2027365767">
          <w:marLeft w:val="0"/>
          <w:marRight w:val="0"/>
          <w:marTop w:val="0"/>
          <w:marBottom w:val="0"/>
          <w:divBdr>
            <w:top w:val="none" w:sz="0" w:space="0" w:color="auto"/>
            <w:left w:val="none" w:sz="0" w:space="0" w:color="auto"/>
            <w:bottom w:val="none" w:sz="0" w:space="0" w:color="auto"/>
            <w:right w:val="none" w:sz="0" w:space="0" w:color="auto"/>
          </w:divBdr>
          <w:divsChild>
            <w:div w:id="211828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24184">
      <w:bodyDiv w:val="1"/>
      <w:marLeft w:val="0"/>
      <w:marRight w:val="0"/>
      <w:marTop w:val="0"/>
      <w:marBottom w:val="0"/>
      <w:divBdr>
        <w:top w:val="none" w:sz="0" w:space="0" w:color="auto"/>
        <w:left w:val="none" w:sz="0" w:space="0" w:color="auto"/>
        <w:bottom w:val="none" w:sz="0" w:space="0" w:color="auto"/>
        <w:right w:val="none" w:sz="0" w:space="0" w:color="auto"/>
      </w:divBdr>
      <w:divsChild>
        <w:div w:id="1608779848">
          <w:marLeft w:val="0"/>
          <w:marRight w:val="0"/>
          <w:marTop w:val="0"/>
          <w:marBottom w:val="0"/>
          <w:divBdr>
            <w:top w:val="none" w:sz="0" w:space="0" w:color="auto"/>
            <w:left w:val="none" w:sz="0" w:space="0" w:color="auto"/>
            <w:bottom w:val="none" w:sz="0" w:space="0" w:color="auto"/>
            <w:right w:val="none" w:sz="0" w:space="0" w:color="auto"/>
          </w:divBdr>
          <w:divsChild>
            <w:div w:id="157358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44506596">
      <w:bodyDiv w:val="1"/>
      <w:marLeft w:val="0"/>
      <w:marRight w:val="0"/>
      <w:marTop w:val="0"/>
      <w:marBottom w:val="0"/>
      <w:divBdr>
        <w:top w:val="none" w:sz="0" w:space="0" w:color="auto"/>
        <w:left w:val="none" w:sz="0" w:space="0" w:color="auto"/>
        <w:bottom w:val="none" w:sz="0" w:space="0" w:color="auto"/>
        <w:right w:val="none" w:sz="0" w:space="0" w:color="auto"/>
      </w:divBdr>
      <w:divsChild>
        <w:div w:id="2107654066">
          <w:marLeft w:val="0"/>
          <w:marRight w:val="0"/>
          <w:marTop w:val="0"/>
          <w:marBottom w:val="0"/>
          <w:divBdr>
            <w:top w:val="none" w:sz="0" w:space="0" w:color="auto"/>
            <w:left w:val="none" w:sz="0" w:space="0" w:color="auto"/>
            <w:bottom w:val="none" w:sz="0" w:space="0" w:color="auto"/>
            <w:right w:val="none" w:sz="0" w:space="0" w:color="auto"/>
          </w:divBdr>
          <w:divsChild>
            <w:div w:id="15422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61">
      <w:bodyDiv w:val="1"/>
      <w:marLeft w:val="0"/>
      <w:marRight w:val="0"/>
      <w:marTop w:val="0"/>
      <w:marBottom w:val="0"/>
      <w:divBdr>
        <w:top w:val="none" w:sz="0" w:space="0" w:color="auto"/>
        <w:left w:val="none" w:sz="0" w:space="0" w:color="auto"/>
        <w:bottom w:val="none" w:sz="0" w:space="0" w:color="auto"/>
        <w:right w:val="none" w:sz="0" w:space="0" w:color="auto"/>
      </w:divBdr>
      <w:divsChild>
        <w:div w:id="1228342694">
          <w:marLeft w:val="0"/>
          <w:marRight w:val="0"/>
          <w:marTop w:val="0"/>
          <w:marBottom w:val="0"/>
          <w:divBdr>
            <w:top w:val="none" w:sz="0" w:space="0" w:color="auto"/>
            <w:left w:val="none" w:sz="0" w:space="0" w:color="auto"/>
            <w:bottom w:val="none" w:sz="0" w:space="0" w:color="auto"/>
            <w:right w:val="none" w:sz="0" w:space="0" w:color="auto"/>
          </w:divBdr>
          <w:divsChild>
            <w:div w:id="77374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58683360">
      <w:bodyDiv w:val="1"/>
      <w:marLeft w:val="0"/>
      <w:marRight w:val="0"/>
      <w:marTop w:val="0"/>
      <w:marBottom w:val="0"/>
      <w:divBdr>
        <w:top w:val="none" w:sz="0" w:space="0" w:color="auto"/>
        <w:left w:val="none" w:sz="0" w:space="0" w:color="auto"/>
        <w:bottom w:val="none" w:sz="0" w:space="0" w:color="auto"/>
        <w:right w:val="none" w:sz="0" w:space="0" w:color="auto"/>
      </w:divBdr>
      <w:divsChild>
        <w:div w:id="1234969747">
          <w:marLeft w:val="0"/>
          <w:marRight w:val="0"/>
          <w:marTop w:val="0"/>
          <w:marBottom w:val="0"/>
          <w:divBdr>
            <w:top w:val="none" w:sz="0" w:space="0" w:color="auto"/>
            <w:left w:val="none" w:sz="0" w:space="0" w:color="auto"/>
            <w:bottom w:val="none" w:sz="0" w:space="0" w:color="auto"/>
            <w:right w:val="none" w:sz="0" w:space="0" w:color="auto"/>
          </w:divBdr>
          <w:divsChild>
            <w:div w:id="19982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11867">
      <w:bodyDiv w:val="1"/>
      <w:marLeft w:val="0"/>
      <w:marRight w:val="0"/>
      <w:marTop w:val="0"/>
      <w:marBottom w:val="0"/>
      <w:divBdr>
        <w:top w:val="none" w:sz="0" w:space="0" w:color="auto"/>
        <w:left w:val="none" w:sz="0" w:space="0" w:color="auto"/>
        <w:bottom w:val="none" w:sz="0" w:space="0" w:color="auto"/>
        <w:right w:val="none" w:sz="0" w:space="0" w:color="auto"/>
      </w:divBdr>
      <w:divsChild>
        <w:div w:id="1565800987">
          <w:marLeft w:val="0"/>
          <w:marRight w:val="0"/>
          <w:marTop w:val="0"/>
          <w:marBottom w:val="0"/>
          <w:divBdr>
            <w:top w:val="none" w:sz="0" w:space="0" w:color="auto"/>
            <w:left w:val="none" w:sz="0" w:space="0" w:color="auto"/>
            <w:bottom w:val="none" w:sz="0" w:space="0" w:color="auto"/>
            <w:right w:val="none" w:sz="0" w:space="0" w:color="auto"/>
          </w:divBdr>
          <w:divsChild>
            <w:div w:id="143517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7681">
      <w:bodyDiv w:val="1"/>
      <w:marLeft w:val="0"/>
      <w:marRight w:val="0"/>
      <w:marTop w:val="0"/>
      <w:marBottom w:val="0"/>
      <w:divBdr>
        <w:top w:val="none" w:sz="0" w:space="0" w:color="auto"/>
        <w:left w:val="none" w:sz="0" w:space="0" w:color="auto"/>
        <w:bottom w:val="none" w:sz="0" w:space="0" w:color="auto"/>
        <w:right w:val="none" w:sz="0" w:space="0" w:color="auto"/>
      </w:divBdr>
      <w:divsChild>
        <w:div w:id="561331512">
          <w:marLeft w:val="0"/>
          <w:marRight w:val="0"/>
          <w:marTop w:val="0"/>
          <w:marBottom w:val="0"/>
          <w:divBdr>
            <w:top w:val="none" w:sz="0" w:space="0" w:color="auto"/>
            <w:left w:val="none" w:sz="0" w:space="0" w:color="auto"/>
            <w:bottom w:val="none" w:sz="0" w:space="0" w:color="auto"/>
            <w:right w:val="none" w:sz="0" w:space="0" w:color="auto"/>
          </w:divBdr>
          <w:divsChild>
            <w:div w:id="181163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7925">
      <w:bodyDiv w:val="1"/>
      <w:marLeft w:val="0"/>
      <w:marRight w:val="0"/>
      <w:marTop w:val="0"/>
      <w:marBottom w:val="0"/>
      <w:divBdr>
        <w:top w:val="none" w:sz="0" w:space="0" w:color="auto"/>
        <w:left w:val="none" w:sz="0" w:space="0" w:color="auto"/>
        <w:bottom w:val="none" w:sz="0" w:space="0" w:color="auto"/>
        <w:right w:val="none" w:sz="0" w:space="0" w:color="auto"/>
      </w:divBdr>
      <w:divsChild>
        <w:div w:id="1514420423">
          <w:marLeft w:val="0"/>
          <w:marRight w:val="0"/>
          <w:marTop w:val="0"/>
          <w:marBottom w:val="0"/>
          <w:divBdr>
            <w:top w:val="none" w:sz="0" w:space="0" w:color="auto"/>
            <w:left w:val="none" w:sz="0" w:space="0" w:color="auto"/>
            <w:bottom w:val="none" w:sz="0" w:space="0" w:color="auto"/>
            <w:right w:val="none" w:sz="0" w:space="0" w:color="auto"/>
          </w:divBdr>
          <w:divsChild>
            <w:div w:id="22349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8197">
      <w:bodyDiv w:val="1"/>
      <w:marLeft w:val="0"/>
      <w:marRight w:val="0"/>
      <w:marTop w:val="0"/>
      <w:marBottom w:val="0"/>
      <w:divBdr>
        <w:top w:val="none" w:sz="0" w:space="0" w:color="auto"/>
        <w:left w:val="none" w:sz="0" w:space="0" w:color="auto"/>
        <w:bottom w:val="none" w:sz="0" w:space="0" w:color="auto"/>
        <w:right w:val="none" w:sz="0" w:space="0" w:color="auto"/>
      </w:divBdr>
      <w:divsChild>
        <w:div w:id="1495487655">
          <w:marLeft w:val="0"/>
          <w:marRight w:val="0"/>
          <w:marTop w:val="0"/>
          <w:marBottom w:val="0"/>
          <w:divBdr>
            <w:top w:val="none" w:sz="0" w:space="0" w:color="auto"/>
            <w:left w:val="none" w:sz="0" w:space="0" w:color="auto"/>
            <w:bottom w:val="none" w:sz="0" w:space="0" w:color="auto"/>
            <w:right w:val="none" w:sz="0" w:space="0" w:color="auto"/>
          </w:divBdr>
          <w:divsChild>
            <w:div w:id="3069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98949">
      <w:bodyDiv w:val="1"/>
      <w:marLeft w:val="0"/>
      <w:marRight w:val="0"/>
      <w:marTop w:val="0"/>
      <w:marBottom w:val="0"/>
      <w:divBdr>
        <w:top w:val="none" w:sz="0" w:space="0" w:color="auto"/>
        <w:left w:val="none" w:sz="0" w:space="0" w:color="auto"/>
        <w:bottom w:val="none" w:sz="0" w:space="0" w:color="auto"/>
        <w:right w:val="none" w:sz="0" w:space="0" w:color="auto"/>
      </w:divBdr>
      <w:divsChild>
        <w:div w:id="819031119">
          <w:marLeft w:val="0"/>
          <w:marRight w:val="0"/>
          <w:marTop w:val="0"/>
          <w:marBottom w:val="0"/>
          <w:divBdr>
            <w:top w:val="none" w:sz="0" w:space="0" w:color="auto"/>
            <w:left w:val="none" w:sz="0" w:space="0" w:color="auto"/>
            <w:bottom w:val="none" w:sz="0" w:space="0" w:color="auto"/>
            <w:right w:val="none" w:sz="0" w:space="0" w:color="auto"/>
          </w:divBdr>
          <w:divsChild>
            <w:div w:id="11635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77610111">
      <w:bodyDiv w:val="1"/>
      <w:marLeft w:val="0"/>
      <w:marRight w:val="0"/>
      <w:marTop w:val="0"/>
      <w:marBottom w:val="0"/>
      <w:divBdr>
        <w:top w:val="none" w:sz="0" w:space="0" w:color="auto"/>
        <w:left w:val="none" w:sz="0" w:space="0" w:color="auto"/>
        <w:bottom w:val="none" w:sz="0" w:space="0" w:color="auto"/>
        <w:right w:val="none" w:sz="0" w:space="0" w:color="auto"/>
      </w:divBdr>
      <w:divsChild>
        <w:div w:id="2033528860">
          <w:marLeft w:val="0"/>
          <w:marRight w:val="0"/>
          <w:marTop w:val="0"/>
          <w:marBottom w:val="0"/>
          <w:divBdr>
            <w:top w:val="none" w:sz="0" w:space="0" w:color="auto"/>
            <w:left w:val="none" w:sz="0" w:space="0" w:color="auto"/>
            <w:bottom w:val="none" w:sz="0" w:space="0" w:color="auto"/>
            <w:right w:val="none" w:sz="0" w:space="0" w:color="auto"/>
          </w:divBdr>
          <w:divsChild>
            <w:div w:id="147536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96785">
      <w:bodyDiv w:val="1"/>
      <w:marLeft w:val="0"/>
      <w:marRight w:val="0"/>
      <w:marTop w:val="0"/>
      <w:marBottom w:val="0"/>
      <w:divBdr>
        <w:top w:val="none" w:sz="0" w:space="0" w:color="auto"/>
        <w:left w:val="none" w:sz="0" w:space="0" w:color="auto"/>
        <w:bottom w:val="none" w:sz="0" w:space="0" w:color="auto"/>
        <w:right w:val="none" w:sz="0" w:space="0" w:color="auto"/>
      </w:divBdr>
      <w:divsChild>
        <w:div w:id="1275745467">
          <w:marLeft w:val="0"/>
          <w:marRight w:val="0"/>
          <w:marTop w:val="0"/>
          <w:marBottom w:val="0"/>
          <w:divBdr>
            <w:top w:val="none" w:sz="0" w:space="0" w:color="auto"/>
            <w:left w:val="none" w:sz="0" w:space="0" w:color="auto"/>
            <w:bottom w:val="none" w:sz="0" w:space="0" w:color="auto"/>
            <w:right w:val="none" w:sz="0" w:space="0" w:color="auto"/>
          </w:divBdr>
          <w:divsChild>
            <w:div w:id="181247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7219">
      <w:bodyDiv w:val="1"/>
      <w:marLeft w:val="0"/>
      <w:marRight w:val="0"/>
      <w:marTop w:val="0"/>
      <w:marBottom w:val="0"/>
      <w:divBdr>
        <w:top w:val="none" w:sz="0" w:space="0" w:color="auto"/>
        <w:left w:val="none" w:sz="0" w:space="0" w:color="auto"/>
        <w:bottom w:val="none" w:sz="0" w:space="0" w:color="auto"/>
        <w:right w:val="none" w:sz="0" w:space="0" w:color="auto"/>
      </w:divBdr>
      <w:divsChild>
        <w:div w:id="179585237">
          <w:marLeft w:val="0"/>
          <w:marRight w:val="0"/>
          <w:marTop w:val="0"/>
          <w:marBottom w:val="0"/>
          <w:divBdr>
            <w:top w:val="none" w:sz="0" w:space="0" w:color="auto"/>
            <w:left w:val="none" w:sz="0" w:space="0" w:color="auto"/>
            <w:bottom w:val="none" w:sz="0" w:space="0" w:color="auto"/>
            <w:right w:val="none" w:sz="0" w:space="0" w:color="auto"/>
          </w:divBdr>
          <w:divsChild>
            <w:div w:id="162549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49537">
      <w:bodyDiv w:val="1"/>
      <w:marLeft w:val="0"/>
      <w:marRight w:val="0"/>
      <w:marTop w:val="0"/>
      <w:marBottom w:val="0"/>
      <w:divBdr>
        <w:top w:val="none" w:sz="0" w:space="0" w:color="auto"/>
        <w:left w:val="none" w:sz="0" w:space="0" w:color="auto"/>
        <w:bottom w:val="none" w:sz="0" w:space="0" w:color="auto"/>
        <w:right w:val="none" w:sz="0" w:space="0" w:color="auto"/>
      </w:divBdr>
      <w:divsChild>
        <w:div w:id="1449010834">
          <w:marLeft w:val="0"/>
          <w:marRight w:val="0"/>
          <w:marTop w:val="0"/>
          <w:marBottom w:val="0"/>
          <w:divBdr>
            <w:top w:val="none" w:sz="0" w:space="0" w:color="auto"/>
            <w:left w:val="none" w:sz="0" w:space="0" w:color="auto"/>
            <w:bottom w:val="none" w:sz="0" w:space="0" w:color="auto"/>
            <w:right w:val="none" w:sz="0" w:space="0" w:color="auto"/>
          </w:divBdr>
          <w:divsChild>
            <w:div w:id="20041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992757113">
      <w:bodyDiv w:val="1"/>
      <w:marLeft w:val="0"/>
      <w:marRight w:val="0"/>
      <w:marTop w:val="0"/>
      <w:marBottom w:val="0"/>
      <w:divBdr>
        <w:top w:val="none" w:sz="0" w:space="0" w:color="auto"/>
        <w:left w:val="none" w:sz="0" w:space="0" w:color="auto"/>
        <w:bottom w:val="none" w:sz="0" w:space="0" w:color="auto"/>
        <w:right w:val="none" w:sz="0" w:space="0" w:color="auto"/>
      </w:divBdr>
      <w:divsChild>
        <w:div w:id="158161788">
          <w:marLeft w:val="0"/>
          <w:marRight w:val="0"/>
          <w:marTop w:val="0"/>
          <w:marBottom w:val="0"/>
          <w:divBdr>
            <w:top w:val="none" w:sz="0" w:space="0" w:color="auto"/>
            <w:left w:val="none" w:sz="0" w:space="0" w:color="auto"/>
            <w:bottom w:val="none" w:sz="0" w:space="0" w:color="auto"/>
            <w:right w:val="none" w:sz="0" w:space="0" w:color="auto"/>
          </w:divBdr>
          <w:divsChild>
            <w:div w:id="186655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52130">
      <w:bodyDiv w:val="1"/>
      <w:marLeft w:val="0"/>
      <w:marRight w:val="0"/>
      <w:marTop w:val="0"/>
      <w:marBottom w:val="0"/>
      <w:divBdr>
        <w:top w:val="none" w:sz="0" w:space="0" w:color="auto"/>
        <w:left w:val="none" w:sz="0" w:space="0" w:color="auto"/>
        <w:bottom w:val="none" w:sz="0" w:space="0" w:color="auto"/>
        <w:right w:val="none" w:sz="0" w:space="0" w:color="auto"/>
      </w:divBdr>
      <w:divsChild>
        <w:div w:id="1378504334">
          <w:marLeft w:val="0"/>
          <w:marRight w:val="0"/>
          <w:marTop w:val="0"/>
          <w:marBottom w:val="0"/>
          <w:divBdr>
            <w:top w:val="none" w:sz="0" w:space="0" w:color="auto"/>
            <w:left w:val="none" w:sz="0" w:space="0" w:color="auto"/>
            <w:bottom w:val="none" w:sz="0" w:space="0" w:color="auto"/>
            <w:right w:val="none" w:sz="0" w:space="0" w:color="auto"/>
          </w:divBdr>
          <w:divsChild>
            <w:div w:id="3717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83408">
      <w:bodyDiv w:val="1"/>
      <w:marLeft w:val="0"/>
      <w:marRight w:val="0"/>
      <w:marTop w:val="0"/>
      <w:marBottom w:val="0"/>
      <w:divBdr>
        <w:top w:val="none" w:sz="0" w:space="0" w:color="auto"/>
        <w:left w:val="none" w:sz="0" w:space="0" w:color="auto"/>
        <w:bottom w:val="none" w:sz="0" w:space="0" w:color="auto"/>
        <w:right w:val="none" w:sz="0" w:space="0" w:color="auto"/>
      </w:divBdr>
      <w:divsChild>
        <w:div w:id="771315316">
          <w:marLeft w:val="0"/>
          <w:marRight w:val="0"/>
          <w:marTop w:val="0"/>
          <w:marBottom w:val="0"/>
          <w:divBdr>
            <w:top w:val="none" w:sz="0" w:space="0" w:color="auto"/>
            <w:left w:val="none" w:sz="0" w:space="0" w:color="auto"/>
            <w:bottom w:val="none" w:sz="0" w:space="0" w:color="auto"/>
            <w:right w:val="none" w:sz="0" w:space="0" w:color="auto"/>
          </w:divBdr>
          <w:divsChild>
            <w:div w:id="94407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01651">
      <w:bodyDiv w:val="1"/>
      <w:marLeft w:val="0"/>
      <w:marRight w:val="0"/>
      <w:marTop w:val="0"/>
      <w:marBottom w:val="0"/>
      <w:divBdr>
        <w:top w:val="none" w:sz="0" w:space="0" w:color="auto"/>
        <w:left w:val="none" w:sz="0" w:space="0" w:color="auto"/>
        <w:bottom w:val="none" w:sz="0" w:space="0" w:color="auto"/>
        <w:right w:val="none" w:sz="0" w:space="0" w:color="auto"/>
      </w:divBdr>
      <w:divsChild>
        <w:div w:id="1998457958">
          <w:marLeft w:val="0"/>
          <w:marRight w:val="0"/>
          <w:marTop w:val="0"/>
          <w:marBottom w:val="0"/>
          <w:divBdr>
            <w:top w:val="none" w:sz="0" w:space="0" w:color="auto"/>
            <w:left w:val="none" w:sz="0" w:space="0" w:color="auto"/>
            <w:bottom w:val="none" w:sz="0" w:space="0" w:color="auto"/>
            <w:right w:val="none" w:sz="0" w:space="0" w:color="auto"/>
          </w:divBdr>
          <w:divsChild>
            <w:div w:id="5957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5876">
      <w:bodyDiv w:val="1"/>
      <w:marLeft w:val="0"/>
      <w:marRight w:val="0"/>
      <w:marTop w:val="0"/>
      <w:marBottom w:val="0"/>
      <w:divBdr>
        <w:top w:val="none" w:sz="0" w:space="0" w:color="auto"/>
        <w:left w:val="none" w:sz="0" w:space="0" w:color="auto"/>
        <w:bottom w:val="none" w:sz="0" w:space="0" w:color="auto"/>
        <w:right w:val="none" w:sz="0" w:space="0" w:color="auto"/>
      </w:divBdr>
      <w:divsChild>
        <w:div w:id="1839735505">
          <w:marLeft w:val="0"/>
          <w:marRight w:val="0"/>
          <w:marTop w:val="0"/>
          <w:marBottom w:val="0"/>
          <w:divBdr>
            <w:top w:val="none" w:sz="0" w:space="0" w:color="auto"/>
            <w:left w:val="none" w:sz="0" w:space="0" w:color="auto"/>
            <w:bottom w:val="none" w:sz="0" w:space="0" w:color="auto"/>
            <w:right w:val="none" w:sz="0" w:space="0" w:color="auto"/>
          </w:divBdr>
          <w:divsChild>
            <w:div w:id="171376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00985">
      <w:bodyDiv w:val="1"/>
      <w:marLeft w:val="0"/>
      <w:marRight w:val="0"/>
      <w:marTop w:val="0"/>
      <w:marBottom w:val="0"/>
      <w:divBdr>
        <w:top w:val="none" w:sz="0" w:space="0" w:color="auto"/>
        <w:left w:val="none" w:sz="0" w:space="0" w:color="auto"/>
        <w:bottom w:val="none" w:sz="0" w:space="0" w:color="auto"/>
        <w:right w:val="none" w:sz="0" w:space="0" w:color="auto"/>
      </w:divBdr>
      <w:divsChild>
        <w:div w:id="201792719">
          <w:marLeft w:val="0"/>
          <w:marRight w:val="0"/>
          <w:marTop w:val="0"/>
          <w:marBottom w:val="0"/>
          <w:divBdr>
            <w:top w:val="none" w:sz="0" w:space="0" w:color="auto"/>
            <w:left w:val="none" w:sz="0" w:space="0" w:color="auto"/>
            <w:bottom w:val="none" w:sz="0" w:space="0" w:color="auto"/>
            <w:right w:val="none" w:sz="0" w:space="0" w:color="auto"/>
          </w:divBdr>
          <w:divsChild>
            <w:div w:id="13844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25473518">
      <w:bodyDiv w:val="1"/>
      <w:marLeft w:val="0"/>
      <w:marRight w:val="0"/>
      <w:marTop w:val="0"/>
      <w:marBottom w:val="0"/>
      <w:divBdr>
        <w:top w:val="none" w:sz="0" w:space="0" w:color="auto"/>
        <w:left w:val="none" w:sz="0" w:space="0" w:color="auto"/>
        <w:bottom w:val="none" w:sz="0" w:space="0" w:color="auto"/>
        <w:right w:val="none" w:sz="0" w:space="0" w:color="auto"/>
      </w:divBdr>
      <w:divsChild>
        <w:div w:id="780340770">
          <w:marLeft w:val="0"/>
          <w:marRight w:val="0"/>
          <w:marTop w:val="0"/>
          <w:marBottom w:val="0"/>
          <w:divBdr>
            <w:top w:val="none" w:sz="0" w:space="0" w:color="auto"/>
            <w:left w:val="none" w:sz="0" w:space="0" w:color="auto"/>
            <w:bottom w:val="none" w:sz="0" w:space="0" w:color="auto"/>
            <w:right w:val="none" w:sz="0" w:space="0" w:color="auto"/>
          </w:divBdr>
          <w:divsChild>
            <w:div w:id="892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3919">
      <w:bodyDiv w:val="1"/>
      <w:marLeft w:val="0"/>
      <w:marRight w:val="0"/>
      <w:marTop w:val="0"/>
      <w:marBottom w:val="0"/>
      <w:divBdr>
        <w:top w:val="none" w:sz="0" w:space="0" w:color="auto"/>
        <w:left w:val="none" w:sz="0" w:space="0" w:color="auto"/>
        <w:bottom w:val="none" w:sz="0" w:space="0" w:color="auto"/>
        <w:right w:val="none" w:sz="0" w:space="0" w:color="auto"/>
      </w:divBdr>
      <w:divsChild>
        <w:div w:id="1101801329">
          <w:marLeft w:val="0"/>
          <w:marRight w:val="0"/>
          <w:marTop w:val="0"/>
          <w:marBottom w:val="0"/>
          <w:divBdr>
            <w:top w:val="none" w:sz="0" w:space="0" w:color="auto"/>
            <w:left w:val="none" w:sz="0" w:space="0" w:color="auto"/>
            <w:bottom w:val="none" w:sz="0" w:space="0" w:color="auto"/>
            <w:right w:val="none" w:sz="0" w:space="0" w:color="auto"/>
          </w:divBdr>
          <w:divsChild>
            <w:div w:id="15421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092">
      <w:bodyDiv w:val="1"/>
      <w:marLeft w:val="0"/>
      <w:marRight w:val="0"/>
      <w:marTop w:val="0"/>
      <w:marBottom w:val="0"/>
      <w:divBdr>
        <w:top w:val="none" w:sz="0" w:space="0" w:color="auto"/>
        <w:left w:val="none" w:sz="0" w:space="0" w:color="auto"/>
        <w:bottom w:val="none" w:sz="0" w:space="0" w:color="auto"/>
        <w:right w:val="none" w:sz="0" w:space="0" w:color="auto"/>
      </w:divBdr>
      <w:divsChild>
        <w:div w:id="931931767">
          <w:marLeft w:val="0"/>
          <w:marRight w:val="0"/>
          <w:marTop w:val="0"/>
          <w:marBottom w:val="0"/>
          <w:divBdr>
            <w:top w:val="none" w:sz="0" w:space="0" w:color="auto"/>
            <w:left w:val="none" w:sz="0" w:space="0" w:color="auto"/>
            <w:bottom w:val="none" w:sz="0" w:space="0" w:color="auto"/>
            <w:right w:val="none" w:sz="0" w:space="0" w:color="auto"/>
          </w:divBdr>
          <w:divsChild>
            <w:div w:id="2509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4767855">
      <w:bodyDiv w:val="1"/>
      <w:marLeft w:val="0"/>
      <w:marRight w:val="0"/>
      <w:marTop w:val="0"/>
      <w:marBottom w:val="0"/>
      <w:divBdr>
        <w:top w:val="none" w:sz="0" w:space="0" w:color="auto"/>
        <w:left w:val="none" w:sz="0" w:space="0" w:color="auto"/>
        <w:bottom w:val="none" w:sz="0" w:space="0" w:color="auto"/>
        <w:right w:val="none" w:sz="0" w:space="0" w:color="auto"/>
      </w:divBdr>
      <w:divsChild>
        <w:div w:id="1755128546">
          <w:marLeft w:val="0"/>
          <w:marRight w:val="0"/>
          <w:marTop w:val="0"/>
          <w:marBottom w:val="0"/>
          <w:divBdr>
            <w:top w:val="none" w:sz="0" w:space="0" w:color="auto"/>
            <w:left w:val="none" w:sz="0" w:space="0" w:color="auto"/>
            <w:bottom w:val="none" w:sz="0" w:space="0" w:color="auto"/>
            <w:right w:val="none" w:sz="0" w:space="0" w:color="auto"/>
          </w:divBdr>
          <w:divsChild>
            <w:div w:id="39789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65640659">
      <w:bodyDiv w:val="1"/>
      <w:marLeft w:val="0"/>
      <w:marRight w:val="0"/>
      <w:marTop w:val="0"/>
      <w:marBottom w:val="0"/>
      <w:divBdr>
        <w:top w:val="none" w:sz="0" w:space="0" w:color="auto"/>
        <w:left w:val="none" w:sz="0" w:space="0" w:color="auto"/>
        <w:bottom w:val="none" w:sz="0" w:space="0" w:color="auto"/>
        <w:right w:val="none" w:sz="0" w:space="0" w:color="auto"/>
      </w:divBdr>
      <w:divsChild>
        <w:div w:id="2068801745">
          <w:marLeft w:val="0"/>
          <w:marRight w:val="0"/>
          <w:marTop w:val="0"/>
          <w:marBottom w:val="0"/>
          <w:divBdr>
            <w:top w:val="none" w:sz="0" w:space="0" w:color="auto"/>
            <w:left w:val="none" w:sz="0" w:space="0" w:color="auto"/>
            <w:bottom w:val="none" w:sz="0" w:space="0" w:color="auto"/>
            <w:right w:val="none" w:sz="0" w:space="0" w:color="auto"/>
          </w:divBdr>
          <w:divsChild>
            <w:div w:id="82539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764765">
      <w:bodyDiv w:val="1"/>
      <w:marLeft w:val="0"/>
      <w:marRight w:val="0"/>
      <w:marTop w:val="0"/>
      <w:marBottom w:val="0"/>
      <w:divBdr>
        <w:top w:val="none" w:sz="0" w:space="0" w:color="auto"/>
        <w:left w:val="none" w:sz="0" w:space="0" w:color="auto"/>
        <w:bottom w:val="none" w:sz="0" w:space="0" w:color="auto"/>
        <w:right w:val="none" w:sz="0" w:space="0" w:color="auto"/>
      </w:divBdr>
      <w:divsChild>
        <w:div w:id="154538160">
          <w:marLeft w:val="0"/>
          <w:marRight w:val="0"/>
          <w:marTop w:val="0"/>
          <w:marBottom w:val="0"/>
          <w:divBdr>
            <w:top w:val="none" w:sz="0" w:space="0" w:color="auto"/>
            <w:left w:val="none" w:sz="0" w:space="0" w:color="auto"/>
            <w:bottom w:val="none" w:sz="0" w:space="0" w:color="auto"/>
            <w:right w:val="none" w:sz="0" w:space="0" w:color="auto"/>
          </w:divBdr>
          <w:divsChild>
            <w:div w:id="171206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85627">
      <w:bodyDiv w:val="1"/>
      <w:marLeft w:val="0"/>
      <w:marRight w:val="0"/>
      <w:marTop w:val="0"/>
      <w:marBottom w:val="0"/>
      <w:divBdr>
        <w:top w:val="none" w:sz="0" w:space="0" w:color="auto"/>
        <w:left w:val="none" w:sz="0" w:space="0" w:color="auto"/>
        <w:bottom w:val="none" w:sz="0" w:space="0" w:color="auto"/>
        <w:right w:val="none" w:sz="0" w:space="0" w:color="auto"/>
      </w:divBdr>
      <w:divsChild>
        <w:div w:id="1734238286">
          <w:marLeft w:val="0"/>
          <w:marRight w:val="0"/>
          <w:marTop w:val="0"/>
          <w:marBottom w:val="0"/>
          <w:divBdr>
            <w:top w:val="none" w:sz="0" w:space="0" w:color="auto"/>
            <w:left w:val="none" w:sz="0" w:space="0" w:color="auto"/>
            <w:bottom w:val="none" w:sz="0" w:space="0" w:color="auto"/>
            <w:right w:val="none" w:sz="0" w:space="0" w:color="auto"/>
          </w:divBdr>
          <w:divsChild>
            <w:div w:id="8933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0835">
      <w:bodyDiv w:val="1"/>
      <w:marLeft w:val="0"/>
      <w:marRight w:val="0"/>
      <w:marTop w:val="0"/>
      <w:marBottom w:val="0"/>
      <w:divBdr>
        <w:top w:val="none" w:sz="0" w:space="0" w:color="auto"/>
        <w:left w:val="none" w:sz="0" w:space="0" w:color="auto"/>
        <w:bottom w:val="none" w:sz="0" w:space="0" w:color="auto"/>
        <w:right w:val="none" w:sz="0" w:space="0" w:color="auto"/>
      </w:divBdr>
      <w:divsChild>
        <w:div w:id="1396970155">
          <w:marLeft w:val="0"/>
          <w:marRight w:val="0"/>
          <w:marTop w:val="0"/>
          <w:marBottom w:val="0"/>
          <w:divBdr>
            <w:top w:val="none" w:sz="0" w:space="0" w:color="auto"/>
            <w:left w:val="none" w:sz="0" w:space="0" w:color="auto"/>
            <w:bottom w:val="none" w:sz="0" w:space="0" w:color="auto"/>
            <w:right w:val="none" w:sz="0" w:space="0" w:color="auto"/>
          </w:divBdr>
          <w:divsChild>
            <w:div w:id="123635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5864">
      <w:bodyDiv w:val="1"/>
      <w:marLeft w:val="0"/>
      <w:marRight w:val="0"/>
      <w:marTop w:val="0"/>
      <w:marBottom w:val="0"/>
      <w:divBdr>
        <w:top w:val="none" w:sz="0" w:space="0" w:color="auto"/>
        <w:left w:val="none" w:sz="0" w:space="0" w:color="auto"/>
        <w:bottom w:val="none" w:sz="0" w:space="0" w:color="auto"/>
        <w:right w:val="none" w:sz="0" w:space="0" w:color="auto"/>
      </w:divBdr>
      <w:divsChild>
        <w:div w:id="2001351552">
          <w:marLeft w:val="0"/>
          <w:marRight w:val="0"/>
          <w:marTop w:val="0"/>
          <w:marBottom w:val="0"/>
          <w:divBdr>
            <w:top w:val="none" w:sz="0" w:space="0" w:color="auto"/>
            <w:left w:val="none" w:sz="0" w:space="0" w:color="auto"/>
            <w:bottom w:val="none" w:sz="0" w:space="0" w:color="auto"/>
            <w:right w:val="none" w:sz="0" w:space="0" w:color="auto"/>
          </w:divBdr>
          <w:divsChild>
            <w:div w:id="171442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79794994">
      <w:bodyDiv w:val="1"/>
      <w:marLeft w:val="0"/>
      <w:marRight w:val="0"/>
      <w:marTop w:val="0"/>
      <w:marBottom w:val="0"/>
      <w:divBdr>
        <w:top w:val="none" w:sz="0" w:space="0" w:color="auto"/>
        <w:left w:val="none" w:sz="0" w:space="0" w:color="auto"/>
        <w:bottom w:val="none" w:sz="0" w:space="0" w:color="auto"/>
        <w:right w:val="none" w:sz="0" w:space="0" w:color="auto"/>
      </w:divBdr>
      <w:divsChild>
        <w:div w:id="1543204770">
          <w:marLeft w:val="0"/>
          <w:marRight w:val="0"/>
          <w:marTop w:val="0"/>
          <w:marBottom w:val="0"/>
          <w:divBdr>
            <w:top w:val="none" w:sz="0" w:space="0" w:color="auto"/>
            <w:left w:val="none" w:sz="0" w:space="0" w:color="auto"/>
            <w:bottom w:val="none" w:sz="0" w:space="0" w:color="auto"/>
            <w:right w:val="none" w:sz="0" w:space="0" w:color="auto"/>
          </w:divBdr>
          <w:divsChild>
            <w:div w:id="19446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8607">
      <w:bodyDiv w:val="1"/>
      <w:marLeft w:val="0"/>
      <w:marRight w:val="0"/>
      <w:marTop w:val="0"/>
      <w:marBottom w:val="0"/>
      <w:divBdr>
        <w:top w:val="none" w:sz="0" w:space="0" w:color="auto"/>
        <w:left w:val="none" w:sz="0" w:space="0" w:color="auto"/>
        <w:bottom w:val="none" w:sz="0" w:space="0" w:color="auto"/>
        <w:right w:val="none" w:sz="0" w:space="0" w:color="auto"/>
      </w:divBdr>
      <w:divsChild>
        <w:div w:id="1792554907">
          <w:marLeft w:val="0"/>
          <w:marRight w:val="0"/>
          <w:marTop w:val="0"/>
          <w:marBottom w:val="0"/>
          <w:divBdr>
            <w:top w:val="none" w:sz="0" w:space="0" w:color="auto"/>
            <w:left w:val="none" w:sz="0" w:space="0" w:color="auto"/>
            <w:bottom w:val="none" w:sz="0" w:space="0" w:color="auto"/>
            <w:right w:val="none" w:sz="0" w:space="0" w:color="auto"/>
          </w:divBdr>
          <w:divsChild>
            <w:div w:id="4510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082802373">
      <w:bodyDiv w:val="1"/>
      <w:marLeft w:val="0"/>
      <w:marRight w:val="0"/>
      <w:marTop w:val="0"/>
      <w:marBottom w:val="0"/>
      <w:divBdr>
        <w:top w:val="none" w:sz="0" w:space="0" w:color="auto"/>
        <w:left w:val="none" w:sz="0" w:space="0" w:color="auto"/>
        <w:bottom w:val="none" w:sz="0" w:space="0" w:color="auto"/>
        <w:right w:val="none" w:sz="0" w:space="0" w:color="auto"/>
      </w:divBdr>
      <w:divsChild>
        <w:div w:id="1867714876">
          <w:marLeft w:val="0"/>
          <w:marRight w:val="0"/>
          <w:marTop w:val="0"/>
          <w:marBottom w:val="0"/>
          <w:divBdr>
            <w:top w:val="none" w:sz="0" w:space="0" w:color="auto"/>
            <w:left w:val="none" w:sz="0" w:space="0" w:color="auto"/>
            <w:bottom w:val="none" w:sz="0" w:space="0" w:color="auto"/>
            <w:right w:val="none" w:sz="0" w:space="0" w:color="auto"/>
          </w:divBdr>
          <w:divsChild>
            <w:div w:id="142989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89877">
      <w:bodyDiv w:val="1"/>
      <w:marLeft w:val="0"/>
      <w:marRight w:val="0"/>
      <w:marTop w:val="0"/>
      <w:marBottom w:val="0"/>
      <w:divBdr>
        <w:top w:val="none" w:sz="0" w:space="0" w:color="auto"/>
        <w:left w:val="none" w:sz="0" w:space="0" w:color="auto"/>
        <w:bottom w:val="none" w:sz="0" w:space="0" w:color="auto"/>
        <w:right w:val="none" w:sz="0" w:space="0" w:color="auto"/>
      </w:divBdr>
      <w:divsChild>
        <w:div w:id="1218249983">
          <w:marLeft w:val="0"/>
          <w:marRight w:val="0"/>
          <w:marTop w:val="0"/>
          <w:marBottom w:val="0"/>
          <w:divBdr>
            <w:top w:val="none" w:sz="0" w:space="0" w:color="auto"/>
            <w:left w:val="none" w:sz="0" w:space="0" w:color="auto"/>
            <w:bottom w:val="none" w:sz="0" w:space="0" w:color="auto"/>
            <w:right w:val="none" w:sz="0" w:space="0" w:color="auto"/>
          </w:divBdr>
          <w:divsChild>
            <w:div w:id="19280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0146">
      <w:bodyDiv w:val="1"/>
      <w:marLeft w:val="0"/>
      <w:marRight w:val="0"/>
      <w:marTop w:val="0"/>
      <w:marBottom w:val="0"/>
      <w:divBdr>
        <w:top w:val="none" w:sz="0" w:space="0" w:color="auto"/>
        <w:left w:val="none" w:sz="0" w:space="0" w:color="auto"/>
        <w:bottom w:val="none" w:sz="0" w:space="0" w:color="auto"/>
        <w:right w:val="none" w:sz="0" w:space="0" w:color="auto"/>
      </w:divBdr>
      <w:divsChild>
        <w:div w:id="1795245616">
          <w:marLeft w:val="0"/>
          <w:marRight w:val="0"/>
          <w:marTop w:val="0"/>
          <w:marBottom w:val="0"/>
          <w:divBdr>
            <w:top w:val="none" w:sz="0" w:space="0" w:color="auto"/>
            <w:left w:val="none" w:sz="0" w:space="0" w:color="auto"/>
            <w:bottom w:val="none" w:sz="0" w:space="0" w:color="auto"/>
            <w:right w:val="none" w:sz="0" w:space="0" w:color="auto"/>
          </w:divBdr>
          <w:divsChild>
            <w:div w:id="91805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126">
      <w:bodyDiv w:val="1"/>
      <w:marLeft w:val="0"/>
      <w:marRight w:val="0"/>
      <w:marTop w:val="0"/>
      <w:marBottom w:val="0"/>
      <w:divBdr>
        <w:top w:val="none" w:sz="0" w:space="0" w:color="auto"/>
        <w:left w:val="none" w:sz="0" w:space="0" w:color="auto"/>
        <w:bottom w:val="none" w:sz="0" w:space="0" w:color="auto"/>
        <w:right w:val="none" w:sz="0" w:space="0" w:color="auto"/>
      </w:divBdr>
      <w:divsChild>
        <w:div w:id="156893993">
          <w:marLeft w:val="0"/>
          <w:marRight w:val="0"/>
          <w:marTop w:val="0"/>
          <w:marBottom w:val="0"/>
          <w:divBdr>
            <w:top w:val="none" w:sz="0" w:space="0" w:color="auto"/>
            <w:left w:val="none" w:sz="0" w:space="0" w:color="auto"/>
            <w:bottom w:val="none" w:sz="0" w:space="0" w:color="auto"/>
            <w:right w:val="none" w:sz="0" w:space="0" w:color="auto"/>
          </w:divBdr>
          <w:divsChild>
            <w:div w:id="668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2555">
      <w:bodyDiv w:val="1"/>
      <w:marLeft w:val="0"/>
      <w:marRight w:val="0"/>
      <w:marTop w:val="0"/>
      <w:marBottom w:val="0"/>
      <w:divBdr>
        <w:top w:val="none" w:sz="0" w:space="0" w:color="auto"/>
        <w:left w:val="none" w:sz="0" w:space="0" w:color="auto"/>
        <w:bottom w:val="none" w:sz="0" w:space="0" w:color="auto"/>
        <w:right w:val="none" w:sz="0" w:space="0" w:color="auto"/>
      </w:divBdr>
      <w:divsChild>
        <w:div w:id="2078045501">
          <w:marLeft w:val="0"/>
          <w:marRight w:val="0"/>
          <w:marTop w:val="0"/>
          <w:marBottom w:val="0"/>
          <w:divBdr>
            <w:top w:val="none" w:sz="0" w:space="0" w:color="auto"/>
            <w:left w:val="none" w:sz="0" w:space="0" w:color="auto"/>
            <w:bottom w:val="none" w:sz="0" w:space="0" w:color="auto"/>
            <w:right w:val="none" w:sz="0" w:space="0" w:color="auto"/>
          </w:divBdr>
          <w:divsChild>
            <w:div w:id="17536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23495">
      <w:bodyDiv w:val="1"/>
      <w:marLeft w:val="0"/>
      <w:marRight w:val="0"/>
      <w:marTop w:val="0"/>
      <w:marBottom w:val="0"/>
      <w:divBdr>
        <w:top w:val="none" w:sz="0" w:space="0" w:color="auto"/>
        <w:left w:val="none" w:sz="0" w:space="0" w:color="auto"/>
        <w:bottom w:val="none" w:sz="0" w:space="0" w:color="auto"/>
        <w:right w:val="none" w:sz="0" w:space="0" w:color="auto"/>
      </w:divBdr>
      <w:divsChild>
        <w:div w:id="2094354663">
          <w:marLeft w:val="0"/>
          <w:marRight w:val="0"/>
          <w:marTop w:val="0"/>
          <w:marBottom w:val="0"/>
          <w:divBdr>
            <w:top w:val="none" w:sz="0" w:space="0" w:color="auto"/>
            <w:left w:val="none" w:sz="0" w:space="0" w:color="auto"/>
            <w:bottom w:val="none" w:sz="0" w:space="0" w:color="auto"/>
            <w:right w:val="none" w:sz="0" w:space="0" w:color="auto"/>
          </w:divBdr>
          <w:divsChild>
            <w:div w:id="38518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146687">
      <w:bodyDiv w:val="1"/>
      <w:marLeft w:val="0"/>
      <w:marRight w:val="0"/>
      <w:marTop w:val="0"/>
      <w:marBottom w:val="0"/>
      <w:divBdr>
        <w:top w:val="none" w:sz="0" w:space="0" w:color="auto"/>
        <w:left w:val="none" w:sz="0" w:space="0" w:color="auto"/>
        <w:bottom w:val="none" w:sz="0" w:space="0" w:color="auto"/>
        <w:right w:val="none" w:sz="0" w:space="0" w:color="auto"/>
      </w:divBdr>
      <w:divsChild>
        <w:div w:id="456804148">
          <w:marLeft w:val="0"/>
          <w:marRight w:val="0"/>
          <w:marTop w:val="0"/>
          <w:marBottom w:val="0"/>
          <w:divBdr>
            <w:top w:val="none" w:sz="0" w:space="0" w:color="auto"/>
            <w:left w:val="none" w:sz="0" w:space="0" w:color="auto"/>
            <w:bottom w:val="none" w:sz="0" w:space="0" w:color="auto"/>
            <w:right w:val="none" w:sz="0" w:space="0" w:color="auto"/>
          </w:divBdr>
          <w:divsChild>
            <w:div w:id="711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467">
      <w:bodyDiv w:val="1"/>
      <w:marLeft w:val="0"/>
      <w:marRight w:val="0"/>
      <w:marTop w:val="0"/>
      <w:marBottom w:val="0"/>
      <w:divBdr>
        <w:top w:val="none" w:sz="0" w:space="0" w:color="auto"/>
        <w:left w:val="none" w:sz="0" w:space="0" w:color="auto"/>
        <w:bottom w:val="none" w:sz="0" w:space="0" w:color="auto"/>
        <w:right w:val="none" w:sz="0" w:space="0" w:color="auto"/>
      </w:divBdr>
      <w:divsChild>
        <w:div w:id="936249263">
          <w:marLeft w:val="0"/>
          <w:marRight w:val="0"/>
          <w:marTop w:val="0"/>
          <w:marBottom w:val="0"/>
          <w:divBdr>
            <w:top w:val="none" w:sz="0" w:space="0" w:color="auto"/>
            <w:left w:val="none" w:sz="0" w:space="0" w:color="auto"/>
            <w:bottom w:val="none" w:sz="0" w:space="0" w:color="auto"/>
            <w:right w:val="none" w:sz="0" w:space="0" w:color="auto"/>
          </w:divBdr>
          <w:divsChild>
            <w:div w:id="11939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0850">
      <w:bodyDiv w:val="1"/>
      <w:marLeft w:val="0"/>
      <w:marRight w:val="0"/>
      <w:marTop w:val="0"/>
      <w:marBottom w:val="0"/>
      <w:divBdr>
        <w:top w:val="none" w:sz="0" w:space="0" w:color="auto"/>
        <w:left w:val="none" w:sz="0" w:space="0" w:color="auto"/>
        <w:bottom w:val="none" w:sz="0" w:space="0" w:color="auto"/>
        <w:right w:val="none" w:sz="0" w:space="0" w:color="auto"/>
      </w:divBdr>
      <w:divsChild>
        <w:div w:id="350568594">
          <w:marLeft w:val="0"/>
          <w:marRight w:val="0"/>
          <w:marTop w:val="0"/>
          <w:marBottom w:val="0"/>
          <w:divBdr>
            <w:top w:val="none" w:sz="0" w:space="0" w:color="auto"/>
            <w:left w:val="none" w:sz="0" w:space="0" w:color="auto"/>
            <w:bottom w:val="none" w:sz="0" w:space="0" w:color="auto"/>
            <w:right w:val="none" w:sz="0" w:space="0" w:color="auto"/>
          </w:divBdr>
          <w:divsChild>
            <w:div w:id="207666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59342511">
      <w:bodyDiv w:val="1"/>
      <w:marLeft w:val="0"/>
      <w:marRight w:val="0"/>
      <w:marTop w:val="0"/>
      <w:marBottom w:val="0"/>
      <w:divBdr>
        <w:top w:val="none" w:sz="0" w:space="0" w:color="auto"/>
        <w:left w:val="none" w:sz="0" w:space="0" w:color="auto"/>
        <w:bottom w:val="none" w:sz="0" w:space="0" w:color="auto"/>
        <w:right w:val="none" w:sz="0" w:space="0" w:color="auto"/>
      </w:divBdr>
      <w:divsChild>
        <w:div w:id="1450707740">
          <w:marLeft w:val="0"/>
          <w:marRight w:val="0"/>
          <w:marTop w:val="0"/>
          <w:marBottom w:val="0"/>
          <w:divBdr>
            <w:top w:val="none" w:sz="0" w:space="0" w:color="auto"/>
            <w:left w:val="none" w:sz="0" w:space="0" w:color="auto"/>
            <w:bottom w:val="none" w:sz="0" w:space="0" w:color="auto"/>
            <w:right w:val="none" w:sz="0" w:space="0" w:color="auto"/>
          </w:divBdr>
          <w:divsChild>
            <w:div w:id="6503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2619">
      <w:bodyDiv w:val="1"/>
      <w:marLeft w:val="0"/>
      <w:marRight w:val="0"/>
      <w:marTop w:val="0"/>
      <w:marBottom w:val="0"/>
      <w:divBdr>
        <w:top w:val="none" w:sz="0" w:space="0" w:color="auto"/>
        <w:left w:val="none" w:sz="0" w:space="0" w:color="auto"/>
        <w:bottom w:val="none" w:sz="0" w:space="0" w:color="auto"/>
        <w:right w:val="none" w:sz="0" w:space="0" w:color="auto"/>
      </w:divBdr>
      <w:divsChild>
        <w:div w:id="679084931">
          <w:marLeft w:val="0"/>
          <w:marRight w:val="0"/>
          <w:marTop w:val="0"/>
          <w:marBottom w:val="0"/>
          <w:divBdr>
            <w:top w:val="none" w:sz="0" w:space="0" w:color="auto"/>
            <w:left w:val="none" w:sz="0" w:space="0" w:color="auto"/>
            <w:bottom w:val="none" w:sz="0" w:space="0" w:color="auto"/>
            <w:right w:val="none" w:sz="0" w:space="0" w:color="auto"/>
          </w:divBdr>
          <w:divsChild>
            <w:div w:id="96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199469">
      <w:bodyDiv w:val="1"/>
      <w:marLeft w:val="0"/>
      <w:marRight w:val="0"/>
      <w:marTop w:val="0"/>
      <w:marBottom w:val="0"/>
      <w:divBdr>
        <w:top w:val="none" w:sz="0" w:space="0" w:color="auto"/>
        <w:left w:val="none" w:sz="0" w:space="0" w:color="auto"/>
        <w:bottom w:val="none" w:sz="0" w:space="0" w:color="auto"/>
        <w:right w:val="none" w:sz="0" w:space="0" w:color="auto"/>
      </w:divBdr>
      <w:divsChild>
        <w:div w:id="231081592">
          <w:marLeft w:val="0"/>
          <w:marRight w:val="0"/>
          <w:marTop w:val="0"/>
          <w:marBottom w:val="0"/>
          <w:divBdr>
            <w:top w:val="none" w:sz="0" w:space="0" w:color="auto"/>
            <w:left w:val="none" w:sz="0" w:space="0" w:color="auto"/>
            <w:bottom w:val="none" w:sz="0" w:space="0" w:color="auto"/>
            <w:right w:val="none" w:sz="0" w:space="0" w:color="auto"/>
          </w:divBdr>
          <w:divsChild>
            <w:div w:id="25050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14499">
      <w:bodyDiv w:val="1"/>
      <w:marLeft w:val="0"/>
      <w:marRight w:val="0"/>
      <w:marTop w:val="0"/>
      <w:marBottom w:val="0"/>
      <w:divBdr>
        <w:top w:val="none" w:sz="0" w:space="0" w:color="auto"/>
        <w:left w:val="none" w:sz="0" w:space="0" w:color="auto"/>
        <w:bottom w:val="none" w:sz="0" w:space="0" w:color="auto"/>
        <w:right w:val="none" w:sz="0" w:space="0" w:color="auto"/>
      </w:divBdr>
      <w:divsChild>
        <w:div w:id="1872954877">
          <w:marLeft w:val="0"/>
          <w:marRight w:val="0"/>
          <w:marTop w:val="0"/>
          <w:marBottom w:val="0"/>
          <w:divBdr>
            <w:top w:val="none" w:sz="0" w:space="0" w:color="auto"/>
            <w:left w:val="none" w:sz="0" w:space="0" w:color="auto"/>
            <w:bottom w:val="none" w:sz="0" w:space="0" w:color="auto"/>
            <w:right w:val="none" w:sz="0" w:space="0" w:color="auto"/>
          </w:divBdr>
          <w:divsChild>
            <w:div w:id="162237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99438">
      <w:bodyDiv w:val="1"/>
      <w:marLeft w:val="0"/>
      <w:marRight w:val="0"/>
      <w:marTop w:val="0"/>
      <w:marBottom w:val="0"/>
      <w:divBdr>
        <w:top w:val="none" w:sz="0" w:space="0" w:color="auto"/>
        <w:left w:val="none" w:sz="0" w:space="0" w:color="auto"/>
        <w:bottom w:val="none" w:sz="0" w:space="0" w:color="auto"/>
        <w:right w:val="none" w:sz="0" w:space="0" w:color="auto"/>
      </w:divBdr>
      <w:divsChild>
        <w:div w:id="119421698">
          <w:marLeft w:val="0"/>
          <w:marRight w:val="0"/>
          <w:marTop w:val="0"/>
          <w:marBottom w:val="0"/>
          <w:divBdr>
            <w:top w:val="none" w:sz="0" w:space="0" w:color="auto"/>
            <w:left w:val="none" w:sz="0" w:space="0" w:color="auto"/>
            <w:bottom w:val="none" w:sz="0" w:space="0" w:color="auto"/>
            <w:right w:val="none" w:sz="0" w:space="0" w:color="auto"/>
          </w:divBdr>
          <w:divsChild>
            <w:div w:id="32219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35981">
      <w:bodyDiv w:val="1"/>
      <w:marLeft w:val="0"/>
      <w:marRight w:val="0"/>
      <w:marTop w:val="0"/>
      <w:marBottom w:val="0"/>
      <w:divBdr>
        <w:top w:val="none" w:sz="0" w:space="0" w:color="auto"/>
        <w:left w:val="none" w:sz="0" w:space="0" w:color="auto"/>
        <w:bottom w:val="none" w:sz="0" w:space="0" w:color="auto"/>
        <w:right w:val="none" w:sz="0" w:space="0" w:color="auto"/>
      </w:divBdr>
      <w:divsChild>
        <w:div w:id="1692075123">
          <w:marLeft w:val="0"/>
          <w:marRight w:val="0"/>
          <w:marTop w:val="0"/>
          <w:marBottom w:val="0"/>
          <w:divBdr>
            <w:top w:val="none" w:sz="0" w:space="0" w:color="auto"/>
            <w:left w:val="none" w:sz="0" w:space="0" w:color="auto"/>
            <w:bottom w:val="none" w:sz="0" w:space="0" w:color="auto"/>
            <w:right w:val="none" w:sz="0" w:space="0" w:color="auto"/>
          </w:divBdr>
          <w:divsChild>
            <w:div w:id="20439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7015401">
      <w:bodyDiv w:val="1"/>
      <w:marLeft w:val="0"/>
      <w:marRight w:val="0"/>
      <w:marTop w:val="0"/>
      <w:marBottom w:val="0"/>
      <w:divBdr>
        <w:top w:val="none" w:sz="0" w:space="0" w:color="auto"/>
        <w:left w:val="none" w:sz="0" w:space="0" w:color="auto"/>
        <w:bottom w:val="none" w:sz="0" w:space="0" w:color="auto"/>
        <w:right w:val="none" w:sz="0" w:space="0" w:color="auto"/>
      </w:divBdr>
      <w:divsChild>
        <w:div w:id="314191643">
          <w:marLeft w:val="0"/>
          <w:marRight w:val="0"/>
          <w:marTop w:val="0"/>
          <w:marBottom w:val="0"/>
          <w:divBdr>
            <w:top w:val="none" w:sz="0" w:space="0" w:color="auto"/>
            <w:left w:val="none" w:sz="0" w:space="0" w:color="auto"/>
            <w:bottom w:val="none" w:sz="0" w:space="0" w:color="auto"/>
            <w:right w:val="none" w:sz="0" w:space="0" w:color="auto"/>
          </w:divBdr>
          <w:divsChild>
            <w:div w:id="180199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1145327">
      <w:bodyDiv w:val="1"/>
      <w:marLeft w:val="0"/>
      <w:marRight w:val="0"/>
      <w:marTop w:val="0"/>
      <w:marBottom w:val="0"/>
      <w:divBdr>
        <w:top w:val="none" w:sz="0" w:space="0" w:color="auto"/>
        <w:left w:val="none" w:sz="0" w:space="0" w:color="auto"/>
        <w:bottom w:val="none" w:sz="0" w:space="0" w:color="auto"/>
        <w:right w:val="none" w:sz="0" w:space="0" w:color="auto"/>
      </w:divBdr>
      <w:divsChild>
        <w:div w:id="1150639309">
          <w:marLeft w:val="0"/>
          <w:marRight w:val="0"/>
          <w:marTop w:val="0"/>
          <w:marBottom w:val="0"/>
          <w:divBdr>
            <w:top w:val="none" w:sz="0" w:space="0" w:color="auto"/>
            <w:left w:val="none" w:sz="0" w:space="0" w:color="auto"/>
            <w:bottom w:val="none" w:sz="0" w:space="0" w:color="auto"/>
            <w:right w:val="none" w:sz="0" w:space="0" w:color="auto"/>
          </w:divBdr>
          <w:divsChild>
            <w:div w:id="210804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8047">
      <w:bodyDiv w:val="1"/>
      <w:marLeft w:val="0"/>
      <w:marRight w:val="0"/>
      <w:marTop w:val="0"/>
      <w:marBottom w:val="0"/>
      <w:divBdr>
        <w:top w:val="none" w:sz="0" w:space="0" w:color="auto"/>
        <w:left w:val="none" w:sz="0" w:space="0" w:color="auto"/>
        <w:bottom w:val="none" w:sz="0" w:space="0" w:color="auto"/>
        <w:right w:val="none" w:sz="0" w:space="0" w:color="auto"/>
      </w:divBdr>
      <w:divsChild>
        <w:div w:id="59210499">
          <w:marLeft w:val="0"/>
          <w:marRight w:val="0"/>
          <w:marTop w:val="0"/>
          <w:marBottom w:val="0"/>
          <w:divBdr>
            <w:top w:val="none" w:sz="0" w:space="0" w:color="auto"/>
            <w:left w:val="none" w:sz="0" w:space="0" w:color="auto"/>
            <w:bottom w:val="none" w:sz="0" w:space="0" w:color="auto"/>
            <w:right w:val="none" w:sz="0" w:space="0" w:color="auto"/>
          </w:divBdr>
          <w:divsChild>
            <w:div w:id="39747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04586">
      <w:bodyDiv w:val="1"/>
      <w:marLeft w:val="0"/>
      <w:marRight w:val="0"/>
      <w:marTop w:val="0"/>
      <w:marBottom w:val="0"/>
      <w:divBdr>
        <w:top w:val="none" w:sz="0" w:space="0" w:color="auto"/>
        <w:left w:val="none" w:sz="0" w:space="0" w:color="auto"/>
        <w:bottom w:val="none" w:sz="0" w:space="0" w:color="auto"/>
        <w:right w:val="none" w:sz="0" w:space="0" w:color="auto"/>
      </w:divBdr>
      <w:divsChild>
        <w:div w:id="77336812">
          <w:marLeft w:val="0"/>
          <w:marRight w:val="0"/>
          <w:marTop w:val="0"/>
          <w:marBottom w:val="0"/>
          <w:divBdr>
            <w:top w:val="none" w:sz="0" w:space="0" w:color="auto"/>
            <w:left w:val="none" w:sz="0" w:space="0" w:color="auto"/>
            <w:bottom w:val="none" w:sz="0" w:space="0" w:color="auto"/>
            <w:right w:val="none" w:sz="0" w:space="0" w:color="auto"/>
          </w:divBdr>
          <w:divsChild>
            <w:div w:id="814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573306">
      <w:bodyDiv w:val="1"/>
      <w:marLeft w:val="0"/>
      <w:marRight w:val="0"/>
      <w:marTop w:val="0"/>
      <w:marBottom w:val="0"/>
      <w:divBdr>
        <w:top w:val="none" w:sz="0" w:space="0" w:color="auto"/>
        <w:left w:val="none" w:sz="0" w:space="0" w:color="auto"/>
        <w:bottom w:val="none" w:sz="0" w:space="0" w:color="auto"/>
        <w:right w:val="none" w:sz="0" w:space="0" w:color="auto"/>
      </w:divBdr>
      <w:divsChild>
        <w:div w:id="655493162">
          <w:marLeft w:val="0"/>
          <w:marRight w:val="0"/>
          <w:marTop w:val="0"/>
          <w:marBottom w:val="0"/>
          <w:divBdr>
            <w:top w:val="none" w:sz="0" w:space="0" w:color="auto"/>
            <w:left w:val="none" w:sz="0" w:space="0" w:color="auto"/>
            <w:bottom w:val="none" w:sz="0" w:space="0" w:color="auto"/>
            <w:right w:val="none" w:sz="0" w:space="0" w:color="auto"/>
          </w:divBdr>
          <w:divsChild>
            <w:div w:id="121615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01549929">
      <w:bodyDiv w:val="1"/>
      <w:marLeft w:val="0"/>
      <w:marRight w:val="0"/>
      <w:marTop w:val="0"/>
      <w:marBottom w:val="0"/>
      <w:divBdr>
        <w:top w:val="none" w:sz="0" w:space="0" w:color="auto"/>
        <w:left w:val="none" w:sz="0" w:space="0" w:color="auto"/>
        <w:bottom w:val="none" w:sz="0" w:space="0" w:color="auto"/>
        <w:right w:val="none" w:sz="0" w:space="0" w:color="auto"/>
      </w:divBdr>
      <w:divsChild>
        <w:div w:id="1320310545">
          <w:marLeft w:val="0"/>
          <w:marRight w:val="0"/>
          <w:marTop w:val="0"/>
          <w:marBottom w:val="0"/>
          <w:divBdr>
            <w:top w:val="none" w:sz="0" w:space="0" w:color="auto"/>
            <w:left w:val="none" w:sz="0" w:space="0" w:color="auto"/>
            <w:bottom w:val="none" w:sz="0" w:space="0" w:color="auto"/>
            <w:right w:val="none" w:sz="0" w:space="0" w:color="auto"/>
          </w:divBdr>
          <w:divsChild>
            <w:div w:id="94484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65708">
      <w:bodyDiv w:val="1"/>
      <w:marLeft w:val="0"/>
      <w:marRight w:val="0"/>
      <w:marTop w:val="0"/>
      <w:marBottom w:val="0"/>
      <w:divBdr>
        <w:top w:val="none" w:sz="0" w:space="0" w:color="auto"/>
        <w:left w:val="none" w:sz="0" w:space="0" w:color="auto"/>
        <w:bottom w:val="none" w:sz="0" w:space="0" w:color="auto"/>
        <w:right w:val="none" w:sz="0" w:space="0" w:color="auto"/>
      </w:divBdr>
      <w:divsChild>
        <w:div w:id="39288215">
          <w:marLeft w:val="0"/>
          <w:marRight w:val="0"/>
          <w:marTop w:val="0"/>
          <w:marBottom w:val="0"/>
          <w:divBdr>
            <w:top w:val="none" w:sz="0" w:space="0" w:color="auto"/>
            <w:left w:val="none" w:sz="0" w:space="0" w:color="auto"/>
            <w:bottom w:val="none" w:sz="0" w:space="0" w:color="auto"/>
            <w:right w:val="none" w:sz="0" w:space="0" w:color="auto"/>
          </w:divBdr>
          <w:divsChild>
            <w:div w:id="16250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12047">
      <w:bodyDiv w:val="1"/>
      <w:marLeft w:val="0"/>
      <w:marRight w:val="0"/>
      <w:marTop w:val="0"/>
      <w:marBottom w:val="0"/>
      <w:divBdr>
        <w:top w:val="none" w:sz="0" w:space="0" w:color="auto"/>
        <w:left w:val="none" w:sz="0" w:space="0" w:color="auto"/>
        <w:bottom w:val="none" w:sz="0" w:space="0" w:color="auto"/>
        <w:right w:val="none" w:sz="0" w:space="0" w:color="auto"/>
      </w:divBdr>
      <w:divsChild>
        <w:div w:id="1486123772">
          <w:marLeft w:val="0"/>
          <w:marRight w:val="0"/>
          <w:marTop w:val="0"/>
          <w:marBottom w:val="0"/>
          <w:divBdr>
            <w:top w:val="none" w:sz="0" w:space="0" w:color="auto"/>
            <w:left w:val="none" w:sz="0" w:space="0" w:color="auto"/>
            <w:bottom w:val="none" w:sz="0" w:space="0" w:color="auto"/>
            <w:right w:val="none" w:sz="0" w:space="0" w:color="auto"/>
          </w:divBdr>
          <w:divsChild>
            <w:div w:id="5485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99375">
      <w:bodyDiv w:val="1"/>
      <w:marLeft w:val="0"/>
      <w:marRight w:val="0"/>
      <w:marTop w:val="0"/>
      <w:marBottom w:val="0"/>
      <w:divBdr>
        <w:top w:val="none" w:sz="0" w:space="0" w:color="auto"/>
        <w:left w:val="none" w:sz="0" w:space="0" w:color="auto"/>
        <w:bottom w:val="none" w:sz="0" w:space="0" w:color="auto"/>
        <w:right w:val="none" w:sz="0" w:space="0" w:color="auto"/>
      </w:divBdr>
      <w:divsChild>
        <w:div w:id="1848666978">
          <w:marLeft w:val="0"/>
          <w:marRight w:val="0"/>
          <w:marTop w:val="0"/>
          <w:marBottom w:val="0"/>
          <w:divBdr>
            <w:top w:val="none" w:sz="0" w:space="0" w:color="auto"/>
            <w:left w:val="none" w:sz="0" w:space="0" w:color="auto"/>
            <w:bottom w:val="none" w:sz="0" w:space="0" w:color="auto"/>
            <w:right w:val="none" w:sz="0" w:space="0" w:color="auto"/>
          </w:divBdr>
          <w:divsChild>
            <w:div w:id="11113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3519">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3">
          <w:marLeft w:val="0"/>
          <w:marRight w:val="0"/>
          <w:marTop w:val="0"/>
          <w:marBottom w:val="0"/>
          <w:divBdr>
            <w:top w:val="none" w:sz="0" w:space="0" w:color="auto"/>
            <w:left w:val="none" w:sz="0" w:space="0" w:color="auto"/>
            <w:bottom w:val="none" w:sz="0" w:space="0" w:color="auto"/>
            <w:right w:val="none" w:sz="0" w:space="0" w:color="auto"/>
          </w:divBdr>
          <w:divsChild>
            <w:div w:id="116578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2198">
      <w:bodyDiv w:val="1"/>
      <w:marLeft w:val="0"/>
      <w:marRight w:val="0"/>
      <w:marTop w:val="0"/>
      <w:marBottom w:val="0"/>
      <w:divBdr>
        <w:top w:val="none" w:sz="0" w:space="0" w:color="auto"/>
        <w:left w:val="none" w:sz="0" w:space="0" w:color="auto"/>
        <w:bottom w:val="none" w:sz="0" w:space="0" w:color="auto"/>
        <w:right w:val="none" w:sz="0" w:space="0" w:color="auto"/>
      </w:divBdr>
      <w:divsChild>
        <w:div w:id="1133905005">
          <w:marLeft w:val="0"/>
          <w:marRight w:val="0"/>
          <w:marTop w:val="0"/>
          <w:marBottom w:val="0"/>
          <w:divBdr>
            <w:top w:val="none" w:sz="0" w:space="0" w:color="auto"/>
            <w:left w:val="none" w:sz="0" w:space="0" w:color="auto"/>
            <w:bottom w:val="none" w:sz="0" w:space="0" w:color="auto"/>
            <w:right w:val="none" w:sz="0" w:space="0" w:color="auto"/>
          </w:divBdr>
          <w:divsChild>
            <w:div w:id="187774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13789">
      <w:bodyDiv w:val="1"/>
      <w:marLeft w:val="0"/>
      <w:marRight w:val="0"/>
      <w:marTop w:val="0"/>
      <w:marBottom w:val="0"/>
      <w:divBdr>
        <w:top w:val="none" w:sz="0" w:space="0" w:color="auto"/>
        <w:left w:val="none" w:sz="0" w:space="0" w:color="auto"/>
        <w:bottom w:val="none" w:sz="0" w:space="0" w:color="auto"/>
        <w:right w:val="none" w:sz="0" w:space="0" w:color="auto"/>
      </w:divBdr>
      <w:divsChild>
        <w:div w:id="84376216">
          <w:marLeft w:val="0"/>
          <w:marRight w:val="0"/>
          <w:marTop w:val="0"/>
          <w:marBottom w:val="0"/>
          <w:divBdr>
            <w:top w:val="none" w:sz="0" w:space="0" w:color="auto"/>
            <w:left w:val="none" w:sz="0" w:space="0" w:color="auto"/>
            <w:bottom w:val="none" w:sz="0" w:space="0" w:color="auto"/>
            <w:right w:val="none" w:sz="0" w:space="0" w:color="auto"/>
          </w:divBdr>
          <w:divsChild>
            <w:div w:id="7840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91281">
      <w:bodyDiv w:val="1"/>
      <w:marLeft w:val="0"/>
      <w:marRight w:val="0"/>
      <w:marTop w:val="0"/>
      <w:marBottom w:val="0"/>
      <w:divBdr>
        <w:top w:val="none" w:sz="0" w:space="0" w:color="auto"/>
        <w:left w:val="none" w:sz="0" w:space="0" w:color="auto"/>
        <w:bottom w:val="none" w:sz="0" w:space="0" w:color="auto"/>
        <w:right w:val="none" w:sz="0" w:space="0" w:color="auto"/>
      </w:divBdr>
      <w:divsChild>
        <w:div w:id="1808233051">
          <w:marLeft w:val="0"/>
          <w:marRight w:val="0"/>
          <w:marTop w:val="0"/>
          <w:marBottom w:val="0"/>
          <w:divBdr>
            <w:top w:val="none" w:sz="0" w:space="0" w:color="auto"/>
            <w:left w:val="none" w:sz="0" w:space="0" w:color="auto"/>
            <w:bottom w:val="none" w:sz="0" w:space="0" w:color="auto"/>
            <w:right w:val="none" w:sz="0" w:space="0" w:color="auto"/>
          </w:divBdr>
          <w:divsChild>
            <w:div w:id="10676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45297">
      <w:bodyDiv w:val="1"/>
      <w:marLeft w:val="0"/>
      <w:marRight w:val="0"/>
      <w:marTop w:val="0"/>
      <w:marBottom w:val="0"/>
      <w:divBdr>
        <w:top w:val="none" w:sz="0" w:space="0" w:color="auto"/>
        <w:left w:val="none" w:sz="0" w:space="0" w:color="auto"/>
        <w:bottom w:val="none" w:sz="0" w:space="0" w:color="auto"/>
        <w:right w:val="none" w:sz="0" w:space="0" w:color="auto"/>
      </w:divBdr>
      <w:divsChild>
        <w:div w:id="1532454848">
          <w:marLeft w:val="0"/>
          <w:marRight w:val="0"/>
          <w:marTop w:val="0"/>
          <w:marBottom w:val="0"/>
          <w:divBdr>
            <w:top w:val="none" w:sz="0" w:space="0" w:color="auto"/>
            <w:left w:val="none" w:sz="0" w:space="0" w:color="auto"/>
            <w:bottom w:val="none" w:sz="0" w:space="0" w:color="auto"/>
            <w:right w:val="none" w:sz="0" w:space="0" w:color="auto"/>
          </w:divBdr>
          <w:divsChild>
            <w:div w:id="192757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57528">
      <w:bodyDiv w:val="1"/>
      <w:marLeft w:val="0"/>
      <w:marRight w:val="0"/>
      <w:marTop w:val="0"/>
      <w:marBottom w:val="0"/>
      <w:divBdr>
        <w:top w:val="none" w:sz="0" w:space="0" w:color="auto"/>
        <w:left w:val="none" w:sz="0" w:space="0" w:color="auto"/>
        <w:bottom w:val="none" w:sz="0" w:space="0" w:color="auto"/>
        <w:right w:val="none" w:sz="0" w:space="0" w:color="auto"/>
      </w:divBdr>
      <w:divsChild>
        <w:div w:id="1691952619">
          <w:marLeft w:val="0"/>
          <w:marRight w:val="0"/>
          <w:marTop w:val="0"/>
          <w:marBottom w:val="0"/>
          <w:divBdr>
            <w:top w:val="none" w:sz="0" w:space="0" w:color="auto"/>
            <w:left w:val="none" w:sz="0" w:space="0" w:color="auto"/>
            <w:bottom w:val="none" w:sz="0" w:space="0" w:color="auto"/>
            <w:right w:val="none" w:sz="0" w:space="0" w:color="auto"/>
          </w:divBdr>
          <w:divsChild>
            <w:div w:id="7736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01064">
      <w:bodyDiv w:val="1"/>
      <w:marLeft w:val="0"/>
      <w:marRight w:val="0"/>
      <w:marTop w:val="0"/>
      <w:marBottom w:val="0"/>
      <w:divBdr>
        <w:top w:val="none" w:sz="0" w:space="0" w:color="auto"/>
        <w:left w:val="none" w:sz="0" w:space="0" w:color="auto"/>
        <w:bottom w:val="none" w:sz="0" w:space="0" w:color="auto"/>
        <w:right w:val="none" w:sz="0" w:space="0" w:color="auto"/>
      </w:divBdr>
      <w:divsChild>
        <w:div w:id="254171781">
          <w:marLeft w:val="0"/>
          <w:marRight w:val="0"/>
          <w:marTop w:val="0"/>
          <w:marBottom w:val="0"/>
          <w:divBdr>
            <w:top w:val="none" w:sz="0" w:space="0" w:color="auto"/>
            <w:left w:val="none" w:sz="0" w:space="0" w:color="auto"/>
            <w:bottom w:val="none" w:sz="0" w:space="0" w:color="auto"/>
            <w:right w:val="none" w:sz="0" w:space="0" w:color="auto"/>
          </w:divBdr>
          <w:divsChild>
            <w:div w:id="52464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3532">
      <w:bodyDiv w:val="1"/>
      <w:marLeft w:val="0"/>
      <w:marRight w:val="0"/>
      <w:marTop w:val="0"/>
      <w:marBottom w:val="0"/>
      <w:divBdr>
        <w:top w:val="none" w:sz="0" w:space="0" w:color="auto"/>
        <w:left w:val="none" w:sz="0" w:space="0" w:color="auto"/>
        <w:bottom w:val="none" w:sz="0" w:space="0" w:color="auto"/>
        <w:right w:val="none" w:sz="0" w:space="0" w:color="auto"/>
      </w:divBdr>
      <w:divsChild>
        <w:div w:id="1537430649">
          <w:marLeft w:val="0"/>
          <w:marRight w:val="0"/>
          <w:marTop w:val="0"/>
          <w:marBottom w:val="0"/>
          <w:divBdr>
            <w:top w:val="none" w:sz="0" w:space="0" w:color="auto"/>
            <w:left w:val="none" w:sz="0" w:space="0" w:color="auto"/>
            <w:bottom w:val="none" w:sz="0" w:space="0" w:color="auto"/>
            <w:right w:val="none" w:sz="0" w:space="0" w:color="auto"/>
          </w:divBdr>
          <w:divsChild>
            <w:div w:id="19888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2611">
      <w:bodyDiv w:val="1"/>
      <w:marLeft w:val="0"/>
      <w:marRight w:val="0"/>
      <w:marTop w:val="0"/>
      <w:marBottom w:val="0"/>
      <w:divBdr>
        <w:top w:val="none" w:sz="0" w:space="0" w:color="auto"/>
        <w:left w:val="none" w:sz="0" w:space="0" w:color="auto"/>
        <w:bottom w:val="none" w:sz="0" w:space="0" w:color="auto"/>
        <w:right w:val="none" w:sz="0" w:space="0" w:color="auto"/>
      </w:divBdr>
      <w:divsChild>
        <w:div w:id="929851047">
          <w:marLeft w:val="0"/>
          <w:marRight w:val="0"/>
          <w:marTop w:val="0"/>
          <w:marBottom w:val="0"/>
          <w:divBdr>
            <w:top w:val="none" w:sz="0" w:space="0" w:color="auto"/>
            <w:left w:val="none" w:sz="0" w:space="0" w:color="auto"/>
            <w:bottom w:val="none" w:sz="0" w:space="0" w:color="auto"/>
            <w:right w:val="none" w:sz="0" w:space="0" w:color="auto"/>
          </w:divBdr>
          <w:divsChild>
            <w:div w:id="20168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243874568">
      <w:bodyDiv w:val="1"/>
      <w:marLeft w:val="0"/>
      <w:marRight w:val="0"/>
      <w:marTop w:val="0"/>
      <w:marBottom w:val="0"/>
      <w:divBdr>
        <w:top w:val="none" w:sz="0" w:space="0" w:color="auto"/>
        <w:left w:val="none" w:sz="0" w:space="0" w:color="auto"/>
        <w:bottom w:val="none" w:sz="0" w:space="0" w:color="auto"/>
        <w:right w:val="none" w:sz="0" w:space="0" w:color="auto"/>
      </w:divBdr>
      <w:divsChild>
        <w:div w:id="1419325519">
          <w:marLeft w:val="0"/>
          <w:marRight w:val="0"/>
          <w:marTop w:val="0"/>
          <w:marBottom w:val="0"/>
          <w:divBdr>
            <w:top w:val="none" w:sz="0" w:space="0" w:color="auto"/>
            <w:left w:val="none" w:sz="0" w:space="0" w:color="auto"/>
            <w:bottom w:val="none" w:sz="0" w:space="0" w:color="auto"/>
            <w:right w:val="none" w:sz="0" w:space="0" w:color="auto"/>
          </w:divBdr>
          <w:divsChild>
            <w:div w:id="34197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83323">
      <w:bodyDiv w:val="1"/>
      <w:marLeft w:val="0"/>
      <w:marRight w:val="0"/>
      <w:marTop w:val="0"/>
      <w:marBottom w:val="0"/>
      <w:divBdr>
        <w:top w:val="none" w:sz="0" w:space="0" w:color="auto"/>
        <w:left w:val="none" w:sz="0" w:space="0" w:color="auto"/>
        <w:bottom w:val="none" w:sz="0" w:space="0" w:color="auto"/>
        <w:right w:val="none" w:sz="0" w:space="0" w:color="auto"/>
      </w:divBdr>
      <w:divsChild>
        <w:div w:id="25720812">
          <w:marLeft w:val="0"/>
          <w:marRight w:val="0"/>
          <w:marTop w:val="0"/>
          <w:marBottom w:val="0"/>
          <w:divBdr>
            <w:top w:val="none" w:sz="0" w:space="0" w:color="auto"/>
            <w:left w:val="none" w:sz="0" w:space="0" w:color="auto"/>
            <w:bottom w:val="none" w:sz="0" w:space="0" w:color="auto"/>
            <w:right w:val="none" w:sz="0" w:space="0" w:color="auto"/>
          </w:divBdr>
          <w:divsChild>
            <w:div w:id="5802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2004">
      <w:bodyDiv w:val="1"/>
      <w:marLeft w:val="0"/>
      <w:marRight w:val="0"/>
      <w:marTop w:val="0"/>
      <w:marBottom w:val="0"/>
      <w:divBdr>
        <w:top w:val="none" w:sz="0" w:space="0" w:color="auto"/>
        <w:left w:val="none" w:sz="0" w:space="0" w:color="auto"/>
        <w:bottom w:val="none" w:sz="0" w:space="0" w:color="auto"/>
        <w:right w:val="none" w:sz="0" w:space="0" w:color="auto"/>
      </w:divBdr>
      <w:divsChild>
        <w:div w:id="188420459">
          <w:marLeft w:val="0"/>
          <w:marRight w:val="0"/>
          <w:marTop w:val="0"/>
          <w:marBottom w:val="0"/>
          <w:divBdr>
            <w:top w:val="none" w:sz="0" w:space="0" w:color="auto"/>
            <w:left w:val="none" w:sz="0" w:space="0" w:color="auto"/>
            <w:bottom w:val="none" w:sz="0" w:space="0" w:color="auto"/>
            <w:right w:val="none" w:sz="0" w:space="0" w:color="auto"/>
          </w:divBdr>
          <w:divsChild>
            <w:div w:id="20593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265">
      <w:bodyDiv w:val="1"/>
      <w:marLeft w:val="0"/>
      <w:marRight w:val="0"/>
      <w:marTop w:val="0"/>
      <w:marBottom w:val="0"/>
      <w:divBdr>
        <w:top w:val="none" w:sz="0" w:space="0" w:color="auto"/>
        <w:left w:val="none" w:sz="0" w:space="0" w:color="auto"/>
        <w:bottom w:val="none" w:sz="0" w:space="0" w:color="auto"/>
        <w:right w:val="none" w:sz="0" w:space="0" w:color="auto"/>
      </w:divBdr>
      <w:divsChild>
        <w:div w:id="1446121645">
          <w:marLeft w:val="0"/>
          <w:marRight w:val="0"/>
          <w:marTop w:val="0"/>
          <w:marBottom w:val="0"/>
          <w:divBdr>
            <w:top w:val="none" w:sz="0" w:space="0" w:color="auto"/>
            <w:left w:val="none" w:sz="0" w:space="0" w:color="auto"/>
            <w:bottom w:val="none" w:sz="0" w:space="0" w:color="auto"/>
            <w:right w:val="none" w:sz="0" w:space="0" w:color="auto"/>
          </w:divBdr>
          <w:divsChild>
            <w:div w:id="181956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69146">
      <w:bodyDiv w:val="1"/>
      <w:marLeft w:val="0"/>
      <w:marRight w:val="0"/>
      <w:marTop w:val="0"/>
      <w:marBottom w:val="0"/>
      <w:divBdr>
        <w:top w:val="none" w:sz="0" w:space="0" w:color="auto"/>
        <w:left w:val="none" w:sz="0" w:space="0" w:color="auto"/>
        <w:bottom w:val="none" w:sz="0" w:space="0" w:color="auto"/>
        <w:right w:val="none" w:sz="0" w:space="0" w:color="auto"/>
      </w:divBdr>
      <w:divsChild>
        <w:div w:id="1032536417">
          <w:marLeft w:val="0"/>
          <w:marRight w:val="0"/>
          <w:marTop w:val="0"/>
          <w:marBottom w:val="0"/>
          <w:divBdr>
            <w:top w:val="none" w:sz="0" w:space="0" w:color="auto"/>
            <w:left w:val="none" w:sz="0" w:space="0" w:color="auto"/>
            <w:bottom w:val="none" w:sz="0" w:space="0" w:color="auto"/>
            <w:right w:val="none" w:sz="0" w:space="0" w:color="auto"/>
          </w:divBdr>
          <w:divsChild>
            <w:div w:id="201340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576">
      <w:bodyDiv w:val="1"/>
      <w:marLeft w:val="0"/>
      <w:marRight w:val="0"/>
      <w:marTop w:val="0"/>
      <w:marBottom w:val="0"/>
      <w:divBdr>
        <w:top w:val="none" w:sz="0" w:space="0" w:color="auto"/>
        <w:left w:val="none" w:sz="0" w:space="0" w:color="auto"/>
        <w:bottom w:val="none" w:sz="0" w:space="0" w:color="auto"/>
        <w:right w:val="none" w:sz="0" w:space="0" w:color="auto"/>
      </w:divBdr>
      <w:divsChild>
        <w:div w:id="1986928380">
          <w:marLeft w:val="0"/>
          <w:marRight w:val="0"/>
          <w:marTop w:val="0"/>
          <w:marBottom w:val="0"/>
          <w:divBdr>
            <w:top w:val="none" w:sz="0" w:space="0" w:color="auto"/>
            <w:left w:val="none" w:sz="0" w:space="0" w:color="auto"/>
            <w:bottom w:val="none" w:sz="0" w:space="0" w:color="auto"/>
            <w:right w:val="none" w:sz="0" w:space="0" w:color="auto"/>
          </w:divBdr>
          <w:divsChild>
            <w:div w:id="14636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3082">
      <w:bodyDiv w:val="1"/>
      <w:marLeft w:val="0"/>
      <w:marRight w:val="0"/>
      <w:marTop w:val="0"/>
      <w:marBottom w:val="0"/>
      <w:divBdr>
        <w:top w:val="none" w:sz="0" w:space="0" w:color="auto"/>
        <w:left w:val="none" w:sz="0" w:space="0" w:color="auto"/>
        <w:bottom w:val="none" w:sz="0" w:space="0" w:color="auto"/>
        <w:right w:val="none" w:sz="0" w:space="0" w:color="auto"/>
      </w:divBdr>
      <w:divsChild>
        <w:div w:id="626350959">
          <w:marLeft w:val="0"/>
          <w:marRight w:val="0"/>
          <w:marTop w:val="0"/>
          <w:marBottom w:val="0"/>
          <w:divBdr>
            <w:top w:val="none" w:sz="0" w:space="0" w:color="auto"/>
            <w:left w:val="none" w:sz="0" w:space="0" w:color="auto"/>
            <w:bottom w:val="none" w:sz="0" w:space="0" w:color="auto"/>
            <w:right w:val="none" w:sz="0" w:space="0" w:color="auto"/>
          </w:divBdr>
          <w:divsChild>
            <w:div w:id="90461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33018">
      <w:bodyDiv w:val="1"/>
      <w:marLeft w:val="0"/>
      <w:marRight w:val="0"/>
      <w:marTop w:val="0"/>
      <w:marBottom w:val="0"/>
      <w:divBdr>
        <w:top w:val="none" w:sz="0" w:space="0" w:color="auto"/>
        <w:left w:val="none" w:sz="0" w:space="0" w:color="auto"/>
        <w:bottom w:val="none" w:sz="0" w:space="0" w:color="auto"/>
        <w:right w:val="none" w:sz="0" w:space="0" w:color="auto"/>
      </w:divBdr>
      <w:divsChild>
        <w:div w:id="305354630">
          <w:marLeft w:val="0"/>
          <w:marRight w:val="0"/>
          <w:marTop w:val="0"/>
          <w:marBottom w:val="0"/>
          <w:divBdr>
            <w:top w:val="none" w:sz="0" w:space="0" w:color="auto"/>
            <w:left w:val="none" w:sz="0" w:space="0" w:color="auto"/>
            <w:bottom w:val="none" w:sz="0" w:space="0" w:color="auto"/>
            <w:right w:val="none" w:sz="0" w:space="0" w:color="auto"/>
          </w:divBdr>
          <w:divsChild>
            <w:div w:id="18359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51012">
      <w:bodyDiv w:val="1"/>
      <w:marLeft w:val="0"/>
      <w:marRight w:val="0"/>
      <w:marTop w:val="0"/>
      <w:marBottom w:val="0"/>
      <w:divBdr>
        <w:top w:val="none" w:sz="0" w:space="0" w:color="auto"/>
        <w:left w:val="none" w:sz="0" w:space="0" w:color="auto"/>
        <w:bottom w:val="none" w:sz="0" w:space="0" w:color="auto"/>
        <w:right w:val="none" w:sz="0" w:space="0" w:color="auto"/>
      </w:divBdr>
      <w:divsChild>
        <w:div w:id="1095780866">
          <w:marLeft w:val="0"/>
          <w:marRight w:val="0"/>
          <w:marTop w:val="0"/>
          <w:marBottom w:val="0"/>
          <w:divBdr>
            <w:top w:val="none" w:sz="0" w:space="0" w:color="auto"/>
            <w:left w:val="none" w:sz="0" w:space="0" w:color="auto"/>
            <w:bottom w:val="none" w:sz="0" w:space="0" w:color="auto"/>
            <w:right w:val="none" w:sz="0" w:space="0" w:color="auto"/>
          </w:divBdr>
          <w:divsChild>
            <w:div w:id="68814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6140">
      <w:bodyDiv w:val="1"/>
      <w:marLeft w:val="0"/>
      <w:marRight w:val="0"/>
      <w:marTop w:val="0"/>
      <w:marBottom w:val="0"/>
      <w:divBdr>
        <w:top w:val="none" w:sz="0" w:space="0" w:color="auto"/>
        <w:left w:val="none" w:sz="0" w:space="0" w:color="auto"/>
        <w:bottom w:val="none" w:sz="0" w:space="0" w:color="auto"/>
        <w:right w:val="none" w:sz="0" w:space="0" w:color="auto"/>
      </w:divBdr>
      <w:divsChild>
        <w:div w:id="1795445034">
          <w:marLeft w:val="0"/>
          <w:marRight w:val="0"/>
          <w:marTop w:val="0"/>
          <w:marBottom w:val="0"/>
          <w:divBdr>
            <w:top w:val="none" w:sz="0" w:space="0" w:color="auto"/>
            <w:left w:val="none" w:sz="0" w:space="0" w:color="auto"/>
            <w:bottom w:val="none" w:sz="0" w:space="0" w:color="auto"/>
            <w:right w:val="none" w:sz="0" w:space="0" w:color="auto"/>
          </w:divBdr>
          <w:divsChild>
            <w:div w:id="18021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931297">
      <w:bodyDiv w:val="1"/>
      <w:marLeft w:val="0"/>
      <w:marRight w:val="0"/>
      <w:marTop w:val="0"/>
      <w:marBottom w:val="0"/>
      <w:divBdr>
        <w:top w:val="none" w:sz="0" w:space="0" w:color="auto"/>
        <w:left w:val="none" w:sz="0" w:space="0" w:color="auto"/>
        <w:bottom w:val="none" w:sz="0" w:space="0" w:color="auto"/>
        <w:right w:val="none" w:sz="0" w:space="0" w:color="auto"/>
      </w:divBdr>
      <w:divsChild>
        <w:div w:id="1307933710">
          <w:marLeft w:val="0"/>
          <w:marRight w:val="0"/>
          <w:marTop w:val="0"/>
          <w:marBottom w:val="0"/>
          <w:divBdr>
            <w:top w:val="none" w:sz="0" w:space="0" w:color="auto"/>
            <w:left w:val="none" w:sz="0" w:space="0" w:color="auto"/>
            <w:bottom w:val="none" w:sz="0" w:space="0" w:color="auto"/>
            <w:right w:val="none" w:sz="0" w:space="0" w:color="auto"/>
          </w:divBdr>
          <w:divsChild>
            <w:div w:id="11849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30801">
      <w:bodyDiv w:val="1"/>
      <w:marLeft w:val="0"/>
      <w:marRight w:val="0"/>
      <w:marTop w:val="0"/>
      <w:marBottom w:val="0"/>
      <w:divBdr>
        <w:top w:val="none" w:sz="0" w:space="0" w:color="auto"/>
        <w:left w:val="none" w:sz="0" w:space="0" w:color="auto"/>
        <w:bottom w:val="none" w:sz="0" w:space="0" w:color="auto"/>
        <w:right w:val="none" w:sz="0" w:space="0" w:color="auto"/>
      </w:divBdr>
      <w:divsChild>
        <w:div w:id="722631967">
          <w:marLeft w:val="0"/>
          <w:marRight w:val="0"/>
          <w:marTop w:val="0"/>
          <w:marBottom w:val="0"/>
          <w:divBdr>
            <w:top w:val="none" w:sz="0" w:space="0" w:color="auto"/>
            <w:left w:val="none" w:sz="0" w:space="0" w:color="auto"/>
            <w:bottom w:val="none" w:sz="0" w:space="0" w:color="auto"/>
            <w:right w:val="none" w:sz="0" w:space="0" w:color="auto"/>
          </w:divBdr>
          <w:divsChild>
            <w:div w:id="10822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33068">
      <w:bodyDiv w:val="1"/>
      <w:marLeft w:val="0"/>
      <w:marRight w:val="0"/>
      <w:marTop w:val="0"/>
      <w:marBottom w:val="0"/>
      <w:divBdr>
        <w:top w:val="none" w:sz="0" w:space="0" w:color="auto"/>
        <w:left w:val="none" w:sz="0" w:space="0" w:color="auto"/>
        <w:bottom w:val="none" w:sz="0" w:space="0" w:color="auto"/>
        <w:right w:val="none" w:sz="0" w:space="0" w:color="auto"/>
      </w:divBdr>
      <w:divsChild>
        <w:div w:id="1400250242">
          <w:marLeft w:val="0"/>
          <w:marRight w:val="0"/>
          <w:marTop w:val="0"/>
          <w:marBottom w:val="0"/>
          <w:divBdr>
            <w:top w:val="none" w:sz="0" w:space="0" w:color="auto"/>
            <w:left w:val="none" w:sz="0" w:space="0" w:color="auto"/>
            <w:bottom w:val="none" w:sz="0" w:space="0" w:color="auto"/>
            <w:right w:val="none" w:sz="0" w:space="0" w:color="auto"/>
          </w:divBdr>
          <w:divsChild>
            <w:div w:id="126977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187353">
      <w:bodyDiv w:val="1"/>
      <w:marLeft w:val="0"/>
      <w:marRight w:val="0"/>
      <w:marTop w:val="0"/>
      <w:marBottom w:val="0"/>
      <w:divBdr>
        <w:top w:val="none" w:sz="0" w:space="0" w:color="auto"/>
        <w:left w:val="none" w:sz="0" w:space="0" w:color="auto"/>
        <w:bottom w:val="none" w:sz="0" w:space="0" w:color="auto"/>
        <w:right w:val="none" w:sz="0" w:space="0" w:color="auto"/>
      </w:divBdr>
      <w:divsChild>
        <w:div w:id="82722912">
          <w:marLeft w:val="0"/>
          <w:marRight w:val="0"/>
          <w:marTop w:val="0"/>
          <w:marBottom w:val="0"/>
          <w:divBdr>
            <w:top w:val="none" w:sz="0" w:space="0" w:color="auto"/>
            <w:left w:val="none" w:sz="0" w:space="0" w:color="auto"/>
            <w:bottom w:val="none" w:sz="0" w:space="0" w:color="auto"/>
            <w:right w:val="none" w:sz="0" w:space="0" w:color="auto"/>
          </w:divBdr>
          <w:divsChild>
            <w:div w:id="38892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6244">
      <w:bodyDiv w:val="1"/>
      <w:marLeft w:val="0"/>
      <w:marRight w:val="0"/>
      <w:marTop w:val="0"/>
      <w:marBottom w:val="0"/>
      <w:divBdr>
        <w:top w:val="none" w:sz="0" w:space="0" w:color="auto"/>
        <w:left w:val="none" w:sz="0" w:space="0" w:color="auto"/>
        <w:bottom w:val="none" w:sz="0" w:space="0" w:color="auto"/>
        <w:right w:val="none" w:sz="0" w:space="0" w:color="auto"/>
      </w:divBdr>
      <w:divsChild>
        <w:div w:id="186220485">
          <w:marLeft w:val="0"/>
          <w:marRight w:val="0"/>
          <w:marTop w:val="0"/>
          <w:marBottom w:val="0"/>
          <w:divBdr>
            <w:top w:val="none" w:sz="0" w:space="0" w:color="auto"/>
            <w:left w:val="none" w:sz="0" w:space="0" w:color="auto"/>
            <w:bottom w:val="none" w:sz="0" w:space="0" w:color="auto"/>
            <w:right w:val="none" w:sz="0" w:space="0" w:color="auto"/>
          </w:divBdr>
          <w:divsChild>
            <w:div w:id="15671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4991">
      <w:bodyDiv w:val="1"/>
      <w:marLeft w:val="0"/>
      <w:marRight w:val="0"/>
      <w:marTop w:val="0"/>
      <w:marBottom w:val="0"/>
      <w:divBdr>
        <w:top w:val="none" w:sz="0" w:space="0" w:color="auto"/>
        <w:left w:val="none" w:sz="0" w:space="0" w:color="auto"/>
        <w:bottom w:val="none" w:sz="0" w:space="0" w:color="auto"/>
        <w:right w:val="none" w:sz="0" w:space="0" w:color="auto"/>
      </w:divBdr>
      <w:divsChild>
        <w:div w:id="1292203465">
          <w:marLeft w:val="0"/>
          <w:marRight w:val="0"/>
          <w:marTop w:val="0"/>
          <w:marBottom w:val="0"/>
          <w:divBdr>
            <w:top w:val="none" w:sz="0" w:space="0" w:color="auto"/>
            <w:left w:val="none" w:sz="0" w:space="0" w:color="auto"/>
            <w:bottom w:val="none" w:sz="0" w:space="0" w:color="auto"/>
            <w:right w:val="none" w:sz="0" w:space="0" w:color="auto"/>
          </w:divBdr>
          <w:divsChild>
            <w:div w:id="21139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5487">
      <w:bodyDiv w:val="1"/>
      <w:marLeft w:val="0"/>
      <w:marRight w:val="0"/>
      <w:marTop w:val="0"/>
      <w:marBottom w:val="0"/>
      <w:divBdr>
        <w:top w:val="none" w:sz="0" w:space="0" w:color="auto"/>
        <w:left w:val="none" w:sz="0" w:space="0" w:color="auto"/>
        <w:bottom w:val="none" w:sz="0" w:space="0" w:color="auto"/>
        <w:right w:val="none" w:sz="0" w:space="0" w:color="auto"/>
      </w:divBdr>
      <w:divsChild>
        <w:div w:id="1552230782">
          <w:marLeft w:val="0"/>
          <w:marRight w:val="0"/>
          <w:marTop w:val="0"/>
          <w:marBottom w:val="0"/>
          <w:divBdr>
            <w:top w:val="none" w:sz="0" w:space="0" w:color="auto"/>
            <w:left w:val="none" w:sz="0" w:space="0" w:color="auto"/>
            <w:bottom w:val="none" w:sz="0" w:space="0" w:color="auto"/>
            <w:right w:val="none" w:sz="0" w:space="0" w:color="auto"/>
          </w:divBdr>
          <w:divsChild>
            <w:div w:id="15071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80601">
      <w:bodyDiv w:val="1"/>
      <w:marLeft w:val="0"/>
      <w:marRight w:val="0"/>
      <w:marTop w:val="0"/>
      <w:marBottom w:val="0"/>
      <w:divBdr>
        <w:top w:val="none" w:sz="0" w:space="0" w:color="auto"/>
        <w:left w:val="none" w:sz="0" w:space="0" w:color="auto"/>
        <w:bottom w:val="none" w:sz="0" w:space="0" w:color="auto"/>
        <w:right w:val="none" w:sz="0" w:space="0" w:color="auto"/>
      </w:divBdr>
      <w:divsChild>
        <w:div w:id="1711107842">
          <w:marLeft w:val="0"/>
          <w:marRight w:val="0"/>
          <w:marTop w:val="0"/>
          <w:marBottom w:val="0"/>
          <w:divBdr>
            <w:top w:val="none" w:sz="0" w:space="0" w:color="auto"/>
            <w:left w:val="none" w:sz="0" w:space="0" w:color="auto"/>
            <w:bottom w:val="none" w:sz="0" w:space="0" w:color="auto"/>
            <w:right w:val="none" w:sz="0" w:space="0" w:color="auto"/>
          </w:divBdr>
          <w:divsChild>
            <w:div w:id="37770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7425">
      <w:bodyDiv w:val="1"/>
      <w:marLeft w:val="0"/>
      <w:marRight w:val="0"/>
      <w:marTop w:val="0"/>
      <w:marBottom w:val="0"/>
      <w:divBdr>
        <w:top w:val="none" w:sz="0" w:space="0" w:color="auto"/>
        <w:left w:val="none" w:sz="0" w:space="0" w:color="auto"/>
        <w:bottom w:val="none" w:sz="0" w:space="0" w:color="auto"/>
        <w:right w:val="none" w:sz="0" w:space="0" w:color="auto"/>
      </w:divBdr>
      <w:divsChild>
        <w:div w:id="1523856757">
          <w:marLeft w:val="0"/>
          <w:marRight w:val="0"/>
          <w:marTop w:val="0"/>
          <w:marBottom w:val="0"/>
          <w:divBdr>
            <w:top w:val="none" w:sz="0" w:space="0" w:color="auto"/>
            <w:left w:val="none" w:sz="0" w:space="0" w:color="auto"/>
            <w:bottom w:val="none" w:sz="0" w:space="0" w:color="auto"/>
            <w:right w:val="none" w:sz="0" w:space="0" w:color="auto"/>
          </w:divBdr>
          <w:divsChild>
            <w:div w:id="74838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84232">
      <w:bodyDiv w:val="1"/>
      <w:marLeft w:val="0"/>
      <w:marRight w:val="0"/>
      <w:marTop w:val="0"/>
      <w:marBottom w:val="0"/>
      <w:divBdr>
        <w:top w:val="none" w:sz="0" w:space="0" w:color="auto"/>
        <w:left w:val="none" w:sz="0" w:space="0" w:color="auto"/>
        <w:bottom w:val="none" w:sz="0" w:space="0" w:color="auto"/>
        <w:right w:val="none" w:sz="0" w:space="0" w:color="auto"/>
      </w:divBdr>
      <w:divsChild>
        <w:div w:id="176622701">
          <w:marLeft w:val="0"/>
          <w:marRight w:val="0"/>
          <w:marTop w:val="0"/>
          <w:marBottom w:val="0"/>
          <w:divBdr>
            <w:top w:val="none" w:sz="0" w:space="0" w:color="auto"/>
            <w:left w:val="none" w:sz="0" w:space="0" w:color="auto"/>
            <w:bottom w:val="none" w:sz="0" w:space="0" w:color="auto"/>
            <w:right w:val="none" w:sz="0" w:space="0" w:color="auto"/>
          </w:divBdr>
          <w:divsChild>
            <w:div w:id="188745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48862">
      <w:bodyDiv w:val="1"/>
      <w:marLeft w:val="0"/>
      <w:marRight w:val="0"/>
      <w:marTop w:val="0"/>
      <w:marBottom w:val="0"/>
      <w:divBdr>
        <w:top w:val="none" w:sz="0" w:space="0" w:color="auto"/>
        <w:left w:val="none" w:sz="0" w:space="0" w:color="auto"/>
        <w:bottom w:val="none" w:sz="0" w:space="0" w:color="auto"/>
        <w:right w:val="none" w:sz="0" w:space="0" w:color="auto"/>
      </w:divBdr>
      <w:divsChild>
        <w:div w:id="968508343">
          <w:marLeft w:val="0"/>
          <w:marRight w:val="0"/>
          <w:marTop w:val="0"/>
          <w:marBottom w:val="0"/>
          <w:divBdr>
            <w:top w:val="none" w:sz="0" w:space="0" w:color="auto"/>
            <w:left w:val="none" w:sz="0" w:space="0" w:color="auto"/>
            <w:bottom w:val="none" w:sz="0" w:space="0" w:color="auto"/>
            <w:right w:val="none" w:sz="0" w:space="0" w:color="auto"/>
          </w:divBdr>
          <w:divsChild>
            <w:div w:id="6736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7690">
      <w:bodyDiv w:val="1"/>
      <w:marLeft w:val="0"/>
      <w:marRight w:val="0"/>
      <w:marTop w:val="0"/>
      <w:marBottom w:val="0"/>
      <w:divBdr>
        <w:top w:val="none" w:sz="0" w:space="0" w:color="auto"/>
        <w:left w:val="none" w:sz="0" w:space="0" w:color="auto"/>
        <w:bottom w:val="none" w:sz="0" w:space="0" w:color="auto"/>
        <w:right w:val="none" w:sz="0" w:space="0" w:color="auto"/>
      </w:divBdr>
      <w:divsChild>
        <w:div w:id="1038121598">
          <w:marLeft w:val="0"/>
          <w:marRight w:val="0"/>
          <w:marTop w:val="0"/>
          <w:marBottom w:val="0"/>
          <w:divBdr>
            <w:top w:val="none" w:sz="0" w:space="0" w:color="auto"/>
            <w:left w:val="none" w:sz="0" w:space="0" w:color="auto"/>
            <w:bottom w:val="none" w:sz="0" w:space="0" w:color="auto"/>
            <w:right w:val="none" w:sz="0" w:space="0" w:color="auto"/>
          </w:divBdr>
          <w:divsChild>
            <w:div w:id="168370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46629">
      <w:bodyDiv w:val="1"/>
      <w:marLeft w:val="0"/>
      <w:marRight w:val="0"/>
      <w:marTop w:val="0"/>
      <w:marBottom w:val="0"/>
      <w:divBdr>
        <w:top w:val="none" w:sz="0" w:space="0" w:color="auto"/>
        <w:left w:val="none" w:sz="0" w:space="0" w:color="auto"/>
        <w:bottom w:val="none" w:sz="0" w:space="0" w:color="auto"/>
        <w:right w:val="none" w:sz="0" w:space="0" w:color="auto"/>
      </w:divBdr>
      <w:divsChild>
        <w:div w:id="1437672729">
          <w:marLeft w:val="0"/>
          <w:marRight w:val="0"/>
          <w:marTop w:val="0"/>
          <w:marBottom w:val="0"/>
          <w:divBdr>
            <w:top w:val="none" w:sz="0" w:space="0" w:color="auto"/>
            <w:left w:val="none" w:sz="0" w:space="0" w:color="auto"/>
            <w:bottom w:val="none" w:sz="0" w:space="0" w:color="auto"/>
            <w:right w:val="none" w:sz="0" w:space="0" w:color="auto"/>
          </w:divBdr>
          <w:divsChild>
            <w:div w:id="125582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145">
      <w:bodyDiv w:val="1"/>
      <w:marLeft w:val="0"/>
      <w:marRight w:val="0"/>
      <w:marTop w:val="0"/>
      <w:marBottom w:val="0"/>
      <w:divBdr>
        <w:top w:val="none" w:sz="0" w:space="0" w:color="auto"/>
        <w:left w:val="none" w:sz="0" w:space="0" w:color="auto"/>
        <w:bottom w:val="none" w:sz="0" w:space="0" w:color="auto"/>
        <w:right w:val="none" w:sz="0" w:space="0" w:color="auto"/>
      </w:divBdr>
      <w:divsChild>
        <w:div w:id="1092899741">
          <w:marLeft w:val="0"/>
          <w:marRight w:val="0"/>
          <w:marTop w:val="0"/>
          <w:marBottom w:val="0"/>
          <w:divBdr>
            <w:top w:val="none" w:sz="0" w:space="0" w:color="auto"/>
            <w:left w:val="none" w:sz="0" w:space="0" w:color="auto"/>
            <w:bottom w:val="none" w:sz="0" w:space="0" w:color="auto"/>
            <w:right w:val="none" w:sz="0" w:space="0" w:color="auto"/>
          </w:divBdr>
          <w:divsChild>
            <w:div w:id="58372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251">
      <w:bodyDiv w:val="1"/>
      <w:marLeft w:val="0"/>
      <w:marRight w:val="0"/>
      <w:marTop w:val="0"/>
      <w:marBottom w:val="0"/>
      <w:divBdr>
        <w:top w:val="none" w:sz="0" w:space="0" w:color="auto"/>
        <w:left w:val="none" w:sz="0" w:space="0" w:color="auto"/>
        <w:bottom w:val="none" w:sz="0" w:space="0" w:color="auto"/>
        <w:right w:val="none" w:sz="0" w:space="0" w:color="auto"/>
      </w:divBdr>
      <w:divsChild>
        <w:div w:id="194849930">
          <w:marLeft w:val="0"/>
          <w:marRight w:val="0"/>
          <w:marTop w:val="0"/>
          <w:marBottom w:val="0"/>
          <w:divBdr>
            <w:top w:val="none" w:sz="0" w:space="0" w:color="auto"/>
            <w:left w:val="none" w:sz="0" w:space="0" w:color="auto"/>
            <w:bottom w:val="none" w:sz="0" w:space="0" w:color="auto"/>
            <w:right w:val="none" w:sz="0" w:space="0" w:color="auto"/>
          </w:divBdr>
          <w:divsChild>
            <w:div w:id="4406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8739">
      <w:bodyDiv w:val="1"/>
      <w:marLeft w:val="0"/>
      <w:marRight w:val="0"/>
      <w:marTop w:val="0"/>
      <w:marBottom w:val="0"/>
      <w:divBdr>
        <w:top w:val="none" w:sz="0" w:space="0" w:color="auto"/>
        <w:left w:val="none" w:sz="0" w:space="0" w:color="auto"/>
        <w:bottom w:val="none" w:sz="0" w:space="0" w:color="auto"/>
        <w:right w:val="none" w:sz="0" w:space="0" w:color="auto"/>
      </w:divBdr>
      <w:divsChild>
        <w:div w:id="28341902">
          <w:marLeft w:val="0"/>
          <w:marRight w:val="0"/>
          <w:marTop w:val="0"/>
          <w:marBottom w:val="0"/>
          <w:divBdr>
            <w:top w:val="none" w:sz="0" w:space="0" w:color="auto"/>
            <w:left w:val="none" w:sz="0" w:space="0" w:color="auto"/>
            <w:bottom w:val="none" w:sz="0" w:space="0" w:color="auto"/>
            <w:right w:val="none" w:sz="0" w:space="0" w:color="auto"/>
          </w:divBdr>
          <w:divsChild>
            <w:div w:id="20832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89541">
      <w:bodyDiv w:val="1"/>
      <w:marLeft w:val="0"/>
      <w:marRight w:val="0"/>
      <w:marTop w:val="0"/>
      <w:marBottom w:val="0"/>
      <w:divBdr>
        <w:top w:val="none" w:sz="0" w:space="0" w:color="auto"/>
        <w:left w:val="none" w:sz="0" w:space="0" w:color="auto"/>
        <w:bottom w:val="none" w:sz="0" w:space="0" w:color="auto"/>
        <w:right w:val="none" w:sz="0" w:space="0" w:color="auto"/>
      </w:divBdr>
      <w:divsChild>
        <w:div w:id="1122111998">
          <w:marLeft w:val="0"/>
          <w:marRight w:val="0"/>
          <w:marTop w:val="0"/>
          <w:marBottom w:val="0"/>
          <w:divBdr>
            <w:top w:val="none" w:sz="0" w:space="0" w:color="auto"/>
            <w:left w:val="none" w:sz="0" w:space="0" w:color="auto"/>
            <w:bottom w:val="none" w:sz="0" w:space="0" w:color="auto"/>
            <w:right w:val="none" w:sz="0" w:space="0" w:color="auto"/>
          </w:divBdr>
          <w:divsChild>
            <w:div w:id="159751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15038">
      <w:bodyDiv w:val="1"/>
      <w:marLeft w:val="0"/>
      <w:marRight w:val="0"/>
      <w:marTop w:val="0"/>
      <w:marBottom w:val="0"/>
      <w:divBdr>
        <w:top w:val="none" w:sz="0" w:space="0" w:color="auto"/>
        <w:left w:val="none" w:sz="0" w:space="0" w:color="auto"/>
        <w:bottom w:val="none" w:sz="0" w:space="0" w:color="auto"/>
        <w:right w:val="none" w:sz="0" w:space="0" w:color="auto"/>
      </w:divBdr>
      <w:divsChild>
        <w:div w:id="1375691331">
          <w:marLeft w:val="0"/>
          <w:marRight w:val="0"/>
          <w:marTop w:val="0"/>
          <w:marBottom w:val="0"/>
          <w:divBdr>
            <w:top w:val="none" w:sz="0" w:space="0" w:color="auto"/>
            <w:left w:val="none" w:sz="0" w:space="0" w:color="auto"/>
            <w:bottom w:val="none" w:sz="0" w:space="0" w:color="auto"/>
            <w:right w:val="none" w:sz="0" w:space="0" w:color="auto"/>
          </w:divBdr>
          <w:divsChild>
            <w:div w:id="1443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41579">
      <w:bodyDiv w:val="1"/>
      <w:marLeft w:val="0"/>
      <w:marRight w:val="0"/>
      <w:marTop w:val="0"/>
      <w:marBottom w:val="0"/>
      <w:divBdr>
        <w:top w:val="none" w:sz="0" w:space="0" w:color="auto"/>
        <w:left w:val="none" w:sz="0" w:space="0" w:color="auto"/>
        <w:bottom w:val="none" w:sz="0" w:space="0" w:color="auto"/>
        <w:right w:val="none" w:sz="0" w:space="0" w:color="auto"/>
      </w:divBdr>
      <w:divsChild>
        <w:div w:id="1311247383">
          <w:marLeft w:val="0"/>
          <w:marRight w:val="0"/>
          <w:marTop w:val="0"/>
          <w:marBottom w:val="0"/>
          <w:divBdr>
            <w:top w:val="none" w:sz="0" w:space="0" w:color="auto"/>
            <w:left w:val="none" w:sz="0" w:space="0" w:color="auto"/>
            <w:bottom w:val="none" w:sz="0" w:space="0" w:color="auto"/>
            <w:right w:val="none" w:sz="0" w:space="0" w:color="auto"/>
          </w:divBdr>
          <w:divsChild>
            <w:div w:id="39875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679036">
      <w:bodyDiv w:val="1"/>
      <w:marLeft w:val="0"/>
      <w:marRight w:val="0"/>
      <w:marTop w:val="0"/>
      <w:marBottom w:val="0"/>
      <w:divBdr>
        <w:top w:val="none" w:sz="0" w:space="0" w:color="auto"/>
        <w:left w:val="none" w:sz="0" w:space="0" w:color="auto"/>
        <w:bottom w:val="none" w:sz="0" w:space="0" w:color="auto"/>
        <w:right w:val="none" w:sz="0" w:space="0" w:color="auto"/>
      </w:divBdr>
      <w:divsChild>
        <w:div w:id="639120033">
          <w:marLeft w:val="0"/>
          <w:marRight w:val="0"/>
          <w:marTop w:val="0"/>
          <w:marBottom w:val="0"/>
          <w:divBdr>
            <w:top w:val="none" w:sz="0" w:space="0" w:color="auto"/>
            <w:left w:val="none" w:sz="0" w:space="0" w:color="auto"/>
            <w:bottom w:val="none" w:sz="0" w:space="0" w:color="auto"/>
            <w:right w:val="none" w:sz="0" w:space="0" w:color="auto"/>
          </w:divBdr>
          <w:divsChild>
            <w:div w:id="7551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828964">
      <w:bodyDiv w:val="1"/>
      <w:marLeft w:val="0"/>
      <w:marRight w:val="0"/>
      <w:marTop w:val="0"/>
      <w:marBottom w:val="0"/>
      <w:divBdr>
        <w:top w:val="none" w:sz="0" w:space="0" w:color="auto"/>
        <w:left w:val="none" w:sz="0" w:space="0" w:color="auto"/>
        <w:bottom w:val="none" w:sz="0" w:space="0" w:color="auto"/>
        <w:right w:val="none" w:sz="0" w:space="0" w:color="auto"/>
      </w:divBdr>
      <w:divsChild>
        <w:div w:id="1396735487">
          <w:marLeft w:val="0"/>
          <w:marRight w:val="0"/>
          <w:marTop w:val="0"/>
          <w:marBottom w:val="0"/>
          <w:divBdr>
            <w:top w:val="none" w:sz="0" w:space="0" w:color="auto"/>
            <w:left w:val="none" w:sz="0" w:space="0" w:color="auto"/>
            <w:bottom w:val="none" w:sz="0" w:space="0" w:color="auto"/>
            <w:right w:val="none" w:sz="0" w:space="0" w:color="auto"/>
          </w:divBdr>
          <w:divsChild>
            <w:div w:id="5663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15343">
      <w:bodyDiv w:val="1"/>
      <w:marLeft w:val="0"/>
      <w:marRight w:val="0"/>
      <w:marTop w:val="0"/>
      <w:marBottom w:val="0"/>
      <w:divBdr>
        <w:top w:val="none" w:sz="0" w:space="0" w:color="auto"/>
        <w:left w:val="none" w:sz="0" w:space="0" w:color="auto"/>
        <w:bottom w:val="none" w:sz="0" w:space="0" w:color="auto"/>
        <w:right w:val="none" w:sz="0" w:space="0" w:color="auto"/>
      </w:divBdr>
      <w:divsChild>
        <w:div w:id="1621761652">
          <w:marLeft w:val="0"/>
          <w:marRight w:val="0"/>
          <w:marTop w:val="0"/>
          <w:marBottom w:val="0"/>
          <w:divBdr>
            <w:top w:val="none" w:sz="0" w:space="0" w:color="auto"/>
            <w:left w:val="none" w:sz="0" w:space="0" w:color="auto"/>
            <w:bottom w:val="none" w:sz="0" w:space="0" w:color="auto"/>
            <w:right w:val="none" w:sz="0" w:space="0" w:color="auto"/>
          </w:divBdr>
          <w:divsChild>
            <w:div w:id="57239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4558">
      <w:bodyDiv w:val="1"/>
      <w:marLeft w:val="0"/>
      <w:marRight w:val="0"/>
      <w:marTop w:val="0"/>
      <w:marBottom w:val="0"/>
      <w:divBdr>
        <w:top w:val="none" w:sz="0" w:space="0" w:color="auto"/>
        <w:left w:val="none" w:sz="0" w:space="0" w:color="auto"/>
        <w:bottom w:val="none" w:sz="0" w:space="0" w:color="auto"/>
        <w:right w:val="none" w:sz="0" w:space="0" w:color="auto"/>
      </w:divBdr>
      <w:divsChild>
        <w:div w:id="411389035">
          <w:marLeft w:val="0"/>
          <w:marRight w:val="0"/>
          <w:marTop w:val="0"/>
          <w:marBottom w:val="0"/>
          <w:divBdr>
            <w:top w:val="none" w:sz="0" w:space="0" w:color="auto"/>
            <w:left w:val="none" w:sz="0" w:space="0" w:color="auto"/>
            <w:bottom w:val="none" w:sz="0" w:space="0" w:color="auto"/>
            <w:right w:val="none" w:sz="0" w:space="0" w:color="auto"/>
          </w:divBdr>
          <w:divsChild>
            <w:div w:id="37277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12522">
      <w:bodyDiv w:val="1"/>
      <w:marLeft w:val="0"/>
      <w:marRight w:val="0"/>
      <w:marTop w:val="0"/>
      <w:marBottom w:val="0"/>
      <w:divBdr>
        <w:top w:val="none" w:sz="0" w:space="0" w:color="auto"/>
        <w:left w:val="none" w:sz="0" w:space="0" w:color="auto"/>
        <w:bottom w:val="none" w:sz="0" w:space="0" w:color="auto"/>
        <w:right w:val="none" w:sz="0" w:space="0" w:color="auto"/>
      </w:divBdr>
      <w:divsChild>
        <w:div w:id="190997363">
          <w:marLeft w:val="0"/>
          <w:marRight w:val="0"/>
          <w:marTop w:val="0"/>
          <w:marBottom w:val="0"/>
          <w:divBdr>
            <w:top w:val="none" w:sz="0" w:space="0" w:color="auto"/>
            <w:left w:val="none" w:sz="0" w:space="0" w:color="auto"/>
            <w:bottom w:val="none" w:sz="0" w:space="0" w:color="auto"/>
            <w:right w:val="none" w:sz="0" w:space="0" w:color="auto"/>
          </w:divBdr>
          <w:divsChild>
            <w:div w:id="24414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65549">
      <w:bodyDiv w:val="1"/>
      <w:marLeft w:val="0"/>
      <w:marRight w:val="0"/>
      <w:marTop w:val="0"/>
      <w:marBottom w:val="0"/>
      <w:divBdr>
        <w:top w:val="none" w:sz="0" w:space="0" w:color="auto"/>
        <w:left w:val="none" w:sz="0" w:space="0" w:color="auto"/>
        <w:bottom w:val="none" w:sz="0" w:space="0" w:color="auto"/>
        <w:right w:val="none" w:sz="0" w:space="0" w:color="auto"/>
      </w:divBdr>
      <w:divsChild>
        <w:div w:id="178545863">
          <w:marLeft w:val="0"/>
          <w:marRight w:val="0"/>
          <w:marTop w:val="0"/>
          <w:marBottom w:val="0"/>
          <w:divBdr>
            <w:top w:val="none" w:sz="0" w:space="0" w:color="auto"/>
            <w:left w:val="none" w:sz="0" w:space="0" w:color="auto"/>
            <w:bottom w:val="none" w:sz="0" w:space="0" w:color="auto"/>
            <w:right w:val="none" w:sz="0" w:space="0" w:color="auto"/>
          </w:divBdr>
          <w:divsChild>
            <w:div w:id="176148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3426461">
          <w:marLeft w:val="0"/>
          <w:marRight w:val="0"/>
          <w:marTop w:val="0"/>
          <w:marBottom w:val="0"/>
          <w:divBdr>
            <w:top w:val="none" w:sz="0" w:space="0" w:color="auto"/>
            <w:left w:val="none" w:sz="0" w:space="0" w:color="auto"/>
            <w:bottom w:val="none" w:sz="0" w:space="0" w:color="auto"/>
            <w:right w:val="none" w:sz="0" w:space="0" w:color="auto"/>
          </w:divBdr>
          <w:divsChild>
            <w:div w:id="11142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16784318">
      <w:bodyDiv w:val="1"/>
      <w:marLeft w:val="0"/>
      <w:marRight w:val="0"/>
      <w:marTop w:val="0"/>
      <w:marBottom w:val="0"/>
      <w:divBdr>
        <w:top w:val="none" w:sz="0" w:space="0" w:color="auto"/>
        <w:left w:val="none" w:sz="0" w:space="0" w:color="auto"/>
        <w:bottom w:val="none" w:sz="0" w:space="0" w:color="auto"/>
        <w:right w:val="none" w:sz="0" w:space="0" w:color="auto"/>
      </w:divBdr>
      <w:divsChild>
        <w:div w:id="1563561360">
          <w:marLeft w:val="0"/>
          <w:marRight w:val="0"/>
          <w:marTop w:val="0"/>
          <w:marBottom w:val="0"/>
          <w:divBdr>
            <w:top w:val="none" w:sz="0" w:space="0" w:color="auto"/>
            <w:left w:val="none" w:sz="0" w:space="0" w:color="auto"/>
            <w:bottom w:val="none" w:sz="0" w:space="0" w:color="auto"/>
            <w:right w:val="none" w:sz="0" w:space="0" w:color="auto"/>
          </w:divBdr>
          <w:divsChild>
            <w:div w:id="90892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1284">
      <w:bodyDiv w:val="1"/>
      <w:marLeft w:val="0"/>
      <w:marRight w:val="0"/>
      <w:marTop w:val="0"/>
      <w:marBottom w:val="0"/>
      <w:divBdr>
        <w:top w:val="none" w:sz="0" w:space="0" w:color="auto"/>
        <w:left w:val="none" w:sz="0" w:space="0" w:color="auto"/>
        <w:bottom w:val="none" w:sz="0" w:space="0" w:color="auto"/>
        <w:right w:val="none" w:sz="0" w:space="0" w:color="auto"/>
      </w:divBdr>
      <w:divsChild>
        <w:div w:id="201939229">
          <w:marLeft w:val="0"/>
          <w:marRight w:val="0"/>
          <w:marTop w:val="0"/>
          <w:marBottom w:val="0"/>
          <w:divBdr>
            <w:top w:val="none" w:sz="0" w:space="0" w:color="auto"/>
            <w:left w:val="none" w:sz="0" w:space="0" w:color="auto"/>
            <w:bottom w:val="none" w:sz="0" w:space="0" w:color="auto"/>
            <w:right w:val="none" w:sz="0" w:space="0" w:color="auto"/>
          </w:divBdr>
          <w:divsChild>
            <w:div w:id="14619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58620">
      <w:bodyDiv w:val="1"/>
      <w:marLeft w:val="0"/>
      <w:marRight w:val="0"/>
      <w:marTop w:val="0"/>
      <w:marBottom w:val="0"/>
      <w:divBdr>
        <w:top w:val="none" w:sz="0" w:space="0" w:color="auto"/>
        <w:left w:val="none" w:sz="0" w:space="0" w:color="auto"/>
        <w:bottom w:val="none" w:sz="0" w:space="0" w:color="auto"/>
        <w:right w:val="none" w:sz="0" w:space="0" w:color="auto"/>
      </w:divBdr>
      <w:divsChild>
        <w:div w:id="1368532009">
          <w:marLeft w:val="0"/>
          <w:marRight w:val="0"/>
          <w:marTop w:val="0"/>
          <w:marBottom w:val="0"/>
          <w:divBdr>
            <w:top w:val="none" w:sz="0" w:space="0" w:color="auto"/>
            <w:left w:val="none" w:sz="0" w:space="0" w:color="auto"/>
            <w:bottom w:val="none" w:sz="0" w:space="0" w:color="auto"/>
            <w:right w:val="none" w:sz="0" w:space="0" w:color="auto"/>
          </w:divBdr>
          <w:divsChild>
            <w:div w:id="208275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58664">
      <w:bodyDiv w:val="1"/>
      <w:marLeft w:val="0"/>
      <w:marRight w:val="0"/>
      <w:marTop w:val="0"/>
      <w:marBottom w:val="0"/>
      <w:divBdr>
        <w:top w:val="none" w:sz="0" w:space="0" w:color="auto"/>
        <w:left w:val="none" w:sz="0" w:space="0" w:color="auto"/>
        <w:bottom w:val="none" w:sz="0" w:space="0" w:color="auto"/>
        <w:right w:val="none" w:sz="0" w:space="0" w:color="auto"/>
      </w:divBdr>
      <w:divsChild>
        <w:div w:id="1645282413">
          <w:marLeft w:val="0"/>
          <w:marRight w:val="0"/>
          <w:marTop w:val="0"/>
          <w:marBottom w:val="0"/>
          <w:divBdr>
            <w:top w:val="none" w:sz="0" w:space="0" w:color="auto"/>
            <w:left w:val="none" w:sz="0" w:space="0" w:color="auto"/>
            <w:bottom w:val="none" w:sz="0" w:space="0" w:color="auto"/>
            <w:right w:val="none" w:sz="0" w:space="0" w:color="auto"/>
          </w:divBdr>
          <w:divsChild>
            <w:div w:id="126815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71170">
      <w:bodyDiv w:val="1"/>
      <w:marLeft w:val="0"/>
      <w:marRight w:val="0"/>
      <w:marTop w:val="0"/>
      <w:marBottom w:val="0"/>
      <w:divBdr>
        <w:top w:val="none" w:sz="0" w:space="0" w:color="auto"/>
        <w:left w:val="none" w:sz="0" w:space="0" w:color="auto"/>
        <w:bottom w:val="none" w:sz="0" w:space="0" w:color="auto"/>
        <w:right w:val="none" w:sz="0" w:space="0" w:color="auto"/>
      </w:divBdr>
      <w:divsChild>
        <w:div w:id="75133712">
          <w:marLeft w:val="0"/>
          <w:marRight w:val="0"/>
          <w:marTop w:val="0"/>
          <w:marBottom w:val="0"/>
          <w:divBdr>
            <w:top w:val="none" w:sz="0" w:space="0" w:color="auto"/>
            <w:left w:val="none" w:sz="0" w:space="0" w:color="auto"/>
            <w:bottom w:val="none" w:sz="0" w:space="0" w:color="auto"/>
            <w:right w:val="none" w:sz="0" w:space="0" w:color="auto"/>
          </w:divBdr>
          <w:divsChild>
            <w:div w:id="208961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19044">
      <w:bodyDiv w:val="1"/>
      <w:marLeft w:val="0"/>
      <w:marRight w:val="0"/>
      <w:marTop w:val="0"/>
      <w:marBottom w:val="0"/>
      <w:divBdr>
        <w:top w:val="none" w:sz="0" w:space="0" w:color="auto"/>
        <w:left w:val="none" w:sz="0" w:space="0" w:color="auto"/>
        <w:bottom w:val="none" w:sz="0" w:space="0" w:color="auto"/>
        <w:right w:val="none" w:sz="0" w:space="0" w:color="auto"/>
      </w:divBdr>
      <w:divsChild>
        <w:div w:id="1397120202">
          <w:marLeft w:val="0"/>
          <w:marRight w:val="0"/>
          <w:marTop w:val="0"/>
          <w:marBottom w:val="0"/>
          <w:divBdr>
            <w:top w:val="none" w:sz="0" w:space="0" w:color="auto"/>
            <w:left w:val="none" w:sz="0" w:space="0" w:color="auto"/>
            <w:bottom w:val="none" w:sz="0" w:space="0" w:color="auto"/>
            <w:right w:val="none" w:sz="0" w:space="0" w:color="auto"/>
          </w:divBdr>
          <w:divsChild>
            <w:div w:id="127147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45669">
      <w:bodyDiv w:val="1"/>
      <w:marLeft w:val="0"/>
      <w:marRight w:val="0"/>
      <w:marTop w:val="0"/>
      <w:marBottom w:val="0"/>
      <w:divBdr>
        <w:top w:val="none" w:sz="0" w:space="0" w:color="auto"/>
        <w:left w:val="none" w:sz="0" w:space="0" w:color="auto"/>
        <w:bottom w:val="none" w:sz="0" w:space="0" w:color="auto"/>
        <w:right w:val="none" w:sz="0" w:space="0" w:color="auto"/>
      </w:divBdr>
      <w:divsChild>
        <w:div w:id="2127650705">
          <w:marLeft w:val="0"/>
          <w:marRight w:val="0"/>
          <w:marTop w:val="0"/>
          <w:marBottom w:val="0"/>
          <w:divBdr>
            <w:top w:val="none" w:sz="0" w:space="0" w:color="auto"/>
            <w:left w:val="none" w:sz="0" w:space="0" w:color="auto"/>
            <w:bottom w:val="none" w:sz="0" w:space="0" w:color="auto"/>
            <w:right w:val="none" w:sz="0" w:space="0" w:color="auto"/>
          </w:divBdr>
          <w:divsChild>
            <w:div w:id="10417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85786">
      <w:bodyDiv w:val="1"/>
      <w:marLeft w:val="0"/>
      <w:marRight w:val="0"/>
      <w:marTop w:val="0"/>
      <w:marBottom w:val="0"/>
      <w:divBdr>
        <w:top w:val="none" w:sz="0" w:space="0" w:color="auto"/>
        <w:left w:val="none" w:sz="0" w:space="0" w:color="auto"/>
        <w:bottom w:val="none" w:sz="0" w:space="0" w:color="auto"/>
        <w:right w:val="none" w:sz="0" w:space="0" w:color="auto"/>
      </w:divBdr>
      <w:divsChild>
        <w:div w:id="1899700959">
          <w:marLeft w:val="0"/>
          <w:marRight w:val="0"/>
          <w:marTop w:val="0"/>
          <w:marBottom w:val="0"/>
          <w:divBdr>
            <w:top w:val="none" w:sz="0" w:space="0" w:color="auto"/>
            <w:left w:val="none" w:sz="0" w:space="0" w:color="auto"/>
            <w:bottom w:val="none" w:sz="0" w:space="0" w:color="auto"/>
            <w:right w:val="none" w:sz="0" w:space="0" w:color="auto"/>
          </w:divBdr>
          <w:divsChild>
            <w:div w:id="4117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47703">
      <w:bodyDiv w:val="1"/>
      <w:marLeft w:val="0"/>
      <w:marRight w:val="0"/>
      <w:marTop w:val="0"/>
      <w:marBottom w:val="0"/>
      <w:divBdr>
        <w:top w:val="none" w:sz="0" w:space="0" w:color="auto"/>
        <w:left w:val="none" w:sz="0" w:space="0" w:color="auto"/>
        <w:bottom w:val="none" w:sz="0" w:space="0" w:color="auto"/>
        <w:right w:val="none" w:sz="0" w:space="0" w:color="auto"/>
      </w:divBdr>
      <w:divsChild>
        <w:div w:id="75787017">
          <w:marLeft w:val="0"/>
          <w:marRight w:val="0"/>
          <w:marTop w:val="0"/>
          <w:marBottom w:val="0"/>
          <w:divBdr>
            <w:top w:val="none" w:sz="0" w:space="0" w:color="auto"/>
            <w:left w:val="none" w:sz="0" w:space="0" w:color="auto"/>
            <w:bottom w:val="none" w:sz="0" w:space="0" w:color="auto"/>
            <w:right w:val="none" w:sz="0" w:space="0" w:color="auto"/>
          </w:divBdr>
          <w:divsChild>
            <w:div w:id="15895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61654">
      <w:bodyDiv w:val="1"/>
      <w:marLeft w:val="0"/>
      <w:marRight w:val="0"/>
      <w:marTop w:val="0"/>
      <w:marBottom w:val="0"/>
      <w:divBdr>
        <w:top w:val="none" w:sz="0" w:space="0" w:color="auto"/>
        <w:left w:val="none" w:sz="0" w:space="0" w:color="auto"/>
        <w:bottom w:val="none" w:sz="0" w:space="0" w:color="auto"/>
        <w:right w:val="none" w:sz="0" w:space="0" w:color="auto"/>
      </w:divBdr>
      <w:divsChild>
        <w:div w:id="1962639211">
          <w:marLeft w:val="0"/>
          <w:marRight w:val="0"/>
          <w:marTop w:val="0"/>
          <w:marBottom w:val="0"/>
          <w:divBdr>
            <w:top w:val="none" w:sz="0" w:space="0" w:color="auto"/>
            <w:left w:val="none" w:sz="0" w:space="0" w:color="auto"/>
            <w:bottom w:val="none" w:sz="0" w:space="0" w:color="auto"/>
            <w:right w:val="none" w:sz="0" w:space="0" w:color="auto"/>
          </w:divBdr>
          <w:divsChild>
            <w:div w:id="65411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05796">
      <w:bodyDiv w:val="1"/>
      <w:marLeft w:val="0"/>
      <w:marRight w:val="0"/>
      <w:marTop w:val="0"/>
      <w:marBottom w:val="0"/>
      <w:divBdr>
        <w:top w:val="none" w:sz="0" w:space="0" w:color="auto"/>
        <w:left w:val="none" w:sz="0" w:space="0" w:color="auto"/>
        <w:bottom w:val="none" w:sz="0" w:space="0" w:color="auto"/>
        <w:right w:val="none" w:sz="0" w:space="0" w:color="auto"/>
      </w:divBdr>
      <w:divsChild>
        <w:div w:id="1609505753">
          <w:marLeft w:val="0"/>
          <w:marRight w:val="0"/>
          <w:marTop w:val="0"/>
          <w:marBottom w:val="0"/>
          <w:divBdr>
            <w:top w:val="none" w:sz="0" w:space="0" w:color="auto"/>
            <w:left w:val="none" w:sz="0" w:space="0" w:color="auto"/>
            <w:bottom w:val="none" w:sz="0" w:space="0" w:color="auto"/>
            <w:right w:val="none" w:sz="0" w:space="0" w:color="auto"/>
          </w:divBdr>
          <w:divsChild>
            <w:div w:id="127540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38629">
      <w:bodyDiv w:val="1"/>
      <w:marLeft w:val="0"/>
      <w:marRight w:val="0"/>
      <w:marTop w:val="0"/>
      <w:marBottom w:val="0"/>
      <w:divBdr>
        <w:top w:val="none" w:sz="0" w:space="0" w:color="auto"/>
        <w:left w:val="none" w:sz="0" w:space="0" w:color="auto"/>
        <w:bottom w:val="none" w:sz="0" w:space="0" w:color="auto"/>
        <w:right w:val="none" w:sz="0" w:space="0" w:color="auto"/>
      </w:divBdr>
      <w:divsChild>
        <w:div w:id="2054377623">
          <w:marLeft w:val="0"/>
          <w:marRight w:val="0"/>
          <w:marTop w:val="0"/>
          <w:marBottom w:val="0"/>
          <w:divBdr>
            <w:top w:val="none" w:sz="0" w:space="0" w:color="auto"/>
            <w:left w:val="none" w:sz="0" w:space="0" w:color="auto"/>
            <w:bottom w:val="none" w:sz="0" w:space="0" w:color="auto"/>
            <w:right w:val="none" w:sz="0" w:space="0" w:color="auto"/>
          </w:divBdr>
          <w:divsChild>
            <w:div w:id="50294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7640">
      <w:bodyDiv w:val="1"/>
      <w:marLeft w:val="0"/>
      <w:marRight w:val="0"/>
      <w:marTop w:val="0"/>
      <w:marBottom w:val="0"/>
      <w:divBdr>
        <w:top w:val="none" w:sz="0" w:space="0" w:color="auto"/>
        <w:left w:val="none" w:sz="0" w:space="0" w:color="auto"/>
        <w:bottom w:val="none" w:sz="0" w:space="0" w:color="auto"/>
        <w:right w:val="none" w:sz="0" w:space="0" w:color="auto"/>
      </w:divBdr>
      <w:divsChild>
        <w:div w:id="1523397314">
          <w:marLeft w:val="0"/>
          <w:marRight w:val="0"/>
          <w:marTop w:val="0"/>
          <w:marBottom w:val="0"/>
          <w:divBdr>
            <w:top w:val="none" w:sz="0" w:space="0" w:color="auto"/>
            <w:left w:val="none" w:sz="0" w:space="0" w:color="auto"/>
            <w:bottom w:val="none" w:sz="0" w:space="0" w:color="auto"/>
            <w:right w:val="none" w:sz="0" w:space="0" w:color="auto"/>
          </w:divBdr>
          <w:divsChild>
            <w:div w:id="16934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6424">
      <w:bodyDiv w:val="1"/>
      <w:marLeft w:val="0"/>
      <w:marRight w:val="0"/>
      <w:marTop w:val="0"/>
      <w:marBottom w:val="0"/>
      <w:divBdr>
        <w:top w:val="none" w:sz="0" w:space="0" w:color="auto"/>
        <w:left w:val="none" w:sz="0" w:space="0" w:color="auto"/>
        <w:bottom w:val="none" w:sz="0" w:space="0" w:color="auto"/>
        <w:right w:val="none" w:sz="0" w:space="0" w:color="auto"/>
      </w:divBdr>
      <w:divsChild>
        <w:div w:id="490217930">
          <w:marLeft w:val="0"/>
          <w:marRight w:val="0"/>
          <w:marTop w:val="0"/>
          <w:marBottom w:val="0"/>
          <w:divBdr>
            <w:top w:val="none" w:sz="0" w:space="0" w:color="auto"/>
            <w:left w:val="none" w:sz="0" w:space="0" w:color="auto"/>
            <w:bottom w:val="none" w:sz="0" w:space="0" w:color="auto"/>
            <w:right w:val="none" w:sz="0" w:space="0" w:color="auto"/>
          </w:divBdr>
          <w:divsChild>
            <w:div w:id="34976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242871">
      <w:bodyDiv w:val="1"/>
      <w:marLeft w:val="0"/>
      <w:marRight w:val="0"/>
      <w:marTop w:val="0"/>
      <w:marBottom w:val="0"/>
      <w:divBdr>
        <w:top w:val="none" w:sz="0" w:space="0" w:color="auto"/>
        <w:left w:val="none" w:sz="0" w:space="0" w:color="auto"/>
        <w:bottom w:val="none" w:sz="0" w:space="0" w:color="auto"/>
        <w:right w:val="none" w:sz="0" w:space="0" w:color="auto"/>
      </w:divBdr>
      <w:divsChild>
        <w:div w:id="760025668">
          <w:marLeft w:val="0"/>
          <w:marRight w:val="0"/>
          <w:marTop w:val="0"/>
          <w:marBottom w:val="0"/>
          <w:divBdr>
            <w:top w:val="none" w:sz="0" w:space="0" w:color="auto"/>
            <w:left w:val="none" w:sz="0" w:space="0" w:color="auto"/>
            <w:bottom w:val="none" w:sz="0" w:space="0" w:color="auto"/>
            <w:right w:val="none" w:sz="0" w:space="0" w:color="auto"/>
          </w:divBdr>
          <w:divsChild>
            <w:div w:id="17848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488782969">
      <w:bodyDiv w:val="1"/>
      <w:marLeft w:val="0"/>
      <w:marRight w:val="0"/>
      <w:marTop w:val="0"/>
      <w:marBottom w:val="0"/>
      <w:divBdr>
        <w:top w:val="none" w:sz="0" w:space="0" w:color="auto"/>
        <w:left w:val="none" w:sz="0" w:space="0" w:color="auto"/>
        <w:bottom w:val="none" w:sz="0" w:space="0" w:color="auto"/>
        <w:right w:val="none" w:sz="0" w:space="0" w:color="auto"/>
      </w:divBdr>
      <w:divsChild>
        <w:div w:id="1329477701">
          <w:marLeft w:val="0"/>
          <w:marRight w:val="0"/>
          <w:marTop w:val="0"/>
          <w:marBottom w:val="0"/>
          <w:divBdr>
            <w:top w:val="none" w:sz="0" w:space="0" w:color="auto"/>
            <w:left w:val="none" w:sz="0" w:space="0" w:color="auto"/>
            <w:bottom w:val="none" w:sz="0" w:space="0" w:color="auto"/>
            <w:right w:val="none" w:sz="0" w:space="0" w:color="auto"/>
          </w:divBdr>
          <w:divsChild>
            <w:div w:id="13757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3351">
      <w:bodyDiv w:val="1"/>
      <w:marLeft w:val="0"/>
      <w:marRight w:val="0"/>
      <w:marTop w:val="0"/>
      <w:marBottom w:val="0"/>
      <w:divBdr>
        <w:top w:val="none" w:sz="0" w:space="0" w:color="auto"/>
        <w:left w:val="none" w:sz="0" w:space="0" w:color="auto"/>
        <w:bottom w:val="none" w:sz="0" w:space="0" w:color="auto"/>
        <w:right w:val="none" w:sz="0" w:space="0" w:color="auto"/>
      </w:divBdr>
      <w:divsChild>
        <w:div w:id="2100059218">
          <w:marLeft w:val="0"/>
          <w:marRight w:val="0"/>
          <w:marTop w:val="0"/>
          <w:marBottom w:val="0"/>
          <w:divBdr>
            <w:top w:val="none" w:sz="0" w:space="0" w:color="auto"/>
            <w:left w:val="none" w:sz="0" w:space="0" w:color="auto"/>
            <w:bottom w:val="none" w:sz="0" w:space="0" w:color="auto"/>
            <w:right w:val="none" w:sz="0" w:space="0" w:color="auto"/>
          </w:divBdr>
          <w:divsChild>
            <w:div w:id="171319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898926">
      <w:bodyDiv w:val="1"/>
      <w:marLeft w:val="0"/>
      <w:marRight w:val="0"/>
      <w:marTop w:val="0"/>
      <w:marBottom w:val="0"/>
      <w:divBdr>
        <w:top w:val="none" w:sz="0" w:space="0" w:color="auto"/>
        <w:left w:val="none" w:sz="0" w:space="0" w:color="auto"/>
        <w:bottom w:val="none" w:sz="0" w:space="0" w:color="auto"/>
        <w:right w:val="none" w:sz="0" w:space="0" w:color="auto"/>
      </w:divBdr>
      <w:divsChild>
        <w:div w:id="1704597678">
          <w:marLeft w:val="0"/>
          <w:marRight w:val="0"/>
          <w:marTop w:val="0"/>
          <w:marBottom w:val="0"/>
          <w:divBdr>
            <w:top w:val="none" w:sz="0" w:space="0" w:color="auto"/>
            <w:left w:val="none" w:sz="0" w:space="0" w:color="auto"/>
            <w:bottom w:val="none" w:sz="0" w:space="0" w:color="auto"/>
            <w:right w:val="none" w:sz="0" w:space="0" w:color="auto"/>
          </w:divBdr>
          <w:divsChild>
            <w:div w:id="60576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56202">
      <w:bodyDiv w:val="1"/>
      <w:marLeft w:val="0"/>
      <w:marRight w:val="0"/>
      <w:marTop w:val="0"/>
      <w:marBottom w:val="0"/>
      <w:divBdr>
        <w:top w:val="none" w:sz="0" w:space="0" w:color="auto"/>
        <w:left w:val="none" w:sz="0" w:space="0" w:color="auto"/>
        <w:bottom w:val="none" w:sz="0" w:space="0" w:color="auto"/>
        <w:right w:val="none" w:sz="0" w:space="0" w:color="auto"/>
      </w:divBdr>
      <w:divsChild>
        <w:div w:id="944577894">
          <w:marLeft w:val="0"/>
          <w:marRight w:val="0"/>
          <w:marTop w:val="0"/>
          <w:marBottom w:val="0"/>
          <w:divBdr>
            <w:top w:val="none" w:sz="0" w:space="0" w:color="auto"/>
            <w:left w:val="none" w:sz="0" w:space="0" w:color="auto"/>
            <w:bottom w:val="none" w:sz="0" w:space="0" w:color="auto"/>
            <w:right w:val="none" w:sz="0" w:space="0" w:color="auto"/>
          </w:divBdr>
          <w:divsChild>
            <w:div w:id="27887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39669">
      <w:bodyDiv w:val="1"/>
      <w:marLeft w:val="0"/>
      <w:marRight w:val="0"/>
      <w:marTop w:val="0"/>
      <w:marBottom w:val="0"/>
      <w:divBdr>
        <w:top w:val="none" w:sz="0" w:space="0" w:color="auto"/>
        <w:left w:val="none" w:sz="0" w:space="0" w:color="auto"/>
        <w:bottom w:val="none" w:sz="0" w:space="0" w:color="auto"/>
        <w:right w:val="none" w:sz="0" w:space="0" w:color="auto"/>
      </w:divBdr>
      <w:divsChild>
        <w:div w:id="1729500974">
          <w:marLeft w:val="0"/>
          <w:marRight w:val="0"/>
          <w:marTop w:val="0"/>
          <w:marBottom w:val="0"/>
          <w:divBdr>
            <w:top w:val="none" w:sz="0" w:space="0" w:color="auto"/>
            <w:left w:val="none" w:sz="0" w:space="0" w:color="auto"/>
            <w:bottom w:val="none" w:sz="0" w:space="0" w:color="auto"/>
            <w:right w:val="none" w:sz="0" w:space="0" w:color="auto"/>
          </w:divBdr>
          <w:divsChild>
            <w:div w:id="108298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66000">
      <w:bodyDiv w:val="1"/>
      <w:marLeft w:val="0"/>
      <w:marRight w:val="0"/>
      <w:marTop w:val="0"/>
      <w:marBottom w:val="0"/>
      <w:divBdr>
        <w:top w:val="none" w:sz="0" w:space="0" w:color="auto"/>
        <w:left w:val="none" w:sz="0" w:space="0" w:color="auto"/>
        <w:bottom w:val="none" w:sz="0" w:space="0" w:color="auto"/>
        <w:right w:val="none" w:sz="0" w:space="0" w:color="auto"/>
      </w:divBdr>
      <w:divsChild>
        <w:div w:id="612398401">
          <w:marLeft w:val="0"/>
          <w:marRight w:val="0"/>
          <w:marTop w:val="0"/>
          <w:marBottom w:val="0"/>
          <w:divBdr>
            <w:top w:val="none" w:sz="0" w:space="0" w:color="auto"/>
            <w:left w:val="none" w:sz="0" w:space="0" w:color="auto"/>
            <w:bottom w:val="none" w:sz="0" w:space="0" w:color="auto"/>
            <w:right w:val="none" w:sz="0" w:space="0" w:color="auto"/>
          </w:divBdr>
          <w:divsChild>
            <w:div w:id="4024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96890">
      <w:bodyDiv w:val="1"/>
      <w:marLeft w:val="0"/>
      <w:marRight w:val="0"/>
      <w:marTop w:val="0"/>
      <w:marBottom w:val="0"/>
      <w:divBdr>
        <w:top w:val="none" w:sz="0" w:space="0" w:color="auto"/>
        <w:left w:val="none" w:sz="0" w:space="0" w:color="auto"/>
        <w:bottom w:val="none" w:sz="0" w:space="0" w:color="auto"/>
        <w:right w:val="none" w:sz="0" w:space="0" w:color="auto"/>
      </w:divBdr>
      <w:divsChild>
        <w:div w:id="1831363950">
          <w:marLeft w:val="0"/>
          <w:marRight w:val="0"/>
          <w:marTop w:val="0"/>
          <w:marBottom w:val="0"/>
          <w:divBdr>
            <w:top w:val="none" w:sz="0" w:space="0" w:color="auto"/>
            <w:left w:val="none" w:sz="0" w:space="0" w:color="auto"/>
            <w:bottom w:val="none" w:sz="0" w:space="0" w:color="auto"/>
            <w:right w:val="none" w:sz="0" w:space="0" w:color="auto"/>
          </w:divBdr>
          <w:divsChild>
            <w:div w:id="80943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15917897">
      <w:bodyDiv w:val="1"/>
      <w:marLeft w:val="0"/>
      <w:marRight w:val="0"/>
      <w:marTop w:val="0"/>
      <w:marBottom w:val="0"/>
      <w:divBdr>
        <w:top w:val="none" w:sz="0" w:space="0" w:color="auto"/>
        <w:left w:val="none" w:sz="0" w:space="0" w:color="auto"/>
        <w:bottom w:val="none" w:sz="0" w:space="0" w:color="auto"/>
        <w:right w:val="none" w:sz="0" w:space="0" w:color="auto"/>
      </w:divBdr>
      <w:divsChild>
        <w:div w:id="1008481109">
          <w:marLeft w:val="0"/>
          <w:marRight w:val="0"/>
          <w:marTop w:val="0"/>
          <w:marBottom w:val="0"/>
          <w:divBdr>
            <w:top w:val="none" w:sz="0" w:space="0" w:color="auto"/>
            <w:left w:val="none" w:sz="0" w:space="0" w:color="auto"/>
            <w:bottom w:val="none" w:sz="0" w:space="0" w:color="auto"/>
            <w:right w:val="none" w:sz="0" w:space="0" w:color="auto"/>
          </w:divBdr>
          <w:divsChild>
            <w:div w:id="170139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318095">
      <w:bodyDiv w:val="1"/>
      <w:marLeft w:val="0"/>
      <w:marRight w:val="0"/>
      <w:marTop w:val="0"/>
      <w:marBottom w:val="0"/>
      <w:divBdr>
        <w:top w:val="none" w:sz="0" w:space="0" w:color="auto"/>
        <w:left w:val="none" w:sz="0" w:space="0" w:color="auto"/>
        <w:bottom w:val="none" w:sz="0" w:space="0" w:color="auto"/>
        <w:right w:val="none" w:sz="0" w:space="0" w:color="auto"/>
      </w:divBdr>
      <w:divsChild>
        <w:div w:id="1433279515">
          <w:marLeft w:val="0"/>
          <w:marRight w:val="0"/>
          <w:marTop w:val="0"/>
          <w:marBottom w:val="0"/>
          <w:divBdr>
            <w:top w:val="none" w:sz="0" w:space="0" w:color="auto"/>
            <w:left w:val="none" w:sz="0" w:space="0" w:color="auto"/>
            <w:bottom w:val="none" w:sz="0" w:space="0" w:color="auto"/>
            <w:right w:val="none" w:sz="0" w:space="0" w:color="auto"/>
          </w:divBdr>
          <w:divsChild>
            <w:div w:id="3990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29759213">
      <w:bodyDiv w:val="1"/>
      <w:marLeft w:val="0"/>
      <w:marRight w:val="0"/>
      <w:marTop w:val="0"/>
      <w:marBottom w:val="0"/>
      <w:divBdr>
        <w:top w:val="none" w:sz="0" w:space="0" w:color="auto"/>
        <w:left w:val="none" w:sz="0" w:space="0" w:color="auto"/>
        <w:bottom w:val="none" w:sz="0" w:space="0" w:color="auto"/>
        <w:right w:val="none" w:sz="0" w:space="0" w:color="auto"/>
      </w:divBdr>
      <w:divsChild>
        <w:div w:id="1629241965">
          <w:marLeft w:val="0"/>
          <w:marRight w:val="0"/>
          <w:marTop w:val="0"/>
          <w:marBottom w:val="0"/>
          <w:divBdr>
            <w:top w:val="none" w:sz="0" w:space="0" w:color="auto"/>
            <w:left w:val="none" w:sz="0" w:space="0" w:color="auto"/>
            <w:bottom w:val="none" w:sz="0" w:space="0" w:color="auto"/>
            <w:right w:val="none" w:sz="0" w:space="0" w:color="auto"/>
          </w:divBdr>
          <w:divsChild>
            <w:div w:id="11815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38733599">
      <w:bodyDiv w:val="1"/>
      <w:marLeft w:val="0"/>
      <w:marRight w:val="0"/>
      <w:marTop w:val="0"/>
      <w:marBottom w:val="0"/>
      <w:divBdr>
        <w:top w:val="none" w:sz="0" w:space="0" w:color="auto"/>
        <w:left w:val="none" w:sz="0" w:space="0" w:color="auto"/>
        <w:bottom w:val="none" w:sz="0" w:space="0" w:color="auto"/>
        <w:right w:val="none" w:sz="0" w:space="0" w:color="auto"/>
      </w:divBdr>
      <w:divsChild>
        <w:div w:id="397822336">
          <w:marLeft w:val="0"/>
          <w:marRight w:val="0"/>
          <w:marTop w:val="0"/>
          <w:marBottom w:val="0"/>
          <w:divBdr>
            <w:top w:val="none" w:sz="0" w:space="0" w:color="auto"/>
            <w:left w:val="none" w:sz="0" w:space="0" w:color="auto"/>
            <w:bottom w:val="none" w:sz="0" w:space="0" w:color="auto"/>
            <w:right w:val="none" w:sz="0" w:space="0" w:color="auto"/>
          </w:divBdr>
          <w:divsChild>
            <w:div w:id="14719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48487441">
      <w:bodyDiv w:val="1"/>
      <w:marLeft w:val="0"/>
      <w:marRight w:val="0"/>
      <w:marTop w:val="0"/>
      <w:marBottom w:val="0"/>
      <w:divBdr>
        <w:top w:val="none" w:sz="0" w:space="0" w:color="auto"/>
        <w:left w:val="none" w:sz="0" w:space="0" w:color="auto"/>
        <w:bottom w:val="none" w:sz="0" w:space="0" w:color="auto"/>
        <w:right w:val="none" w:sz="0" w:space="0" w:color="auto"/>
      </w:divBdr>
      <w:divsChild>
        <w:div w:id="632520382">
          <w:marLeft w:val="0"/>
          <w:marRight w:val="0"/>
          <w:marTop w:val="0"/>
          <w:marBottom w:val="0"/>
          <w:divBdr>
            <w:top w:val="none" w:sz="0" w:space="0" w:color="auto"/>
            <w:left w:val="none" w:sz="0" w:space="0" w:color="auto"/>
            <w:bottom w:val="none" w:sz="0" w:space="0" w:color="auto"/>
            <w:right w:val="none" w:sz="0" w:space="0" w:color="auto"/>
          </w:divBdr>
          <w:divsChild>
            <w:div w:id="162399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0852">
      <w:bodyDiv w:val="1"/>
      <w:marLeft w:val="0"/>
      <w:marRight w:val="0"/>
      <w:marTop w:val="0"/>
      <w:marBottom w:val="0"/>
      <w:divBdr>
        <w:top w:val="none" w:sz="0" w:space="0" w:color="auto"/>
        <w:left w:val="none" w:sz="0" w:space="0" w:color="auto"/>
        <w:bottom w:val="none" w:sz="0" w:space="0" w:color="auto"/>
        <w:right w:val="none" w:sz="0" w:space="0" w:color="auto"/>
      </w:divBdr>
      <w:divsChild>
        <w:div w:id="1907912557">
          <w:marLeft w:val="0"/>
          <w:marRight w:val="0"/>
          <w:marTop w:val="0"/>
          <w:marBottom w:val="0"/>
          <w:divBdr>
            <w:top w:val="none" w:sz="0" w:space="0" w:color="auto"/>
            <w:left w:val="none" w:sz="0" w:space="0" w:color="auto"/>
            <w:bottom w:val="none" w:sz="0" w:space="0" w:color="auto"/>
            <w:right w:val="none" w:sz="0" w:space="0" w:color="auto"/>
          </w:divBdr>
          <w:divsChild>
            <w:div w:id="1424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64638">
      <w:bodyDiv w:val="1"/>
      <w:marLeft w:val="0"/>
      <w:marRight w:val="0"/>
      <w:marTop w:val="0"/>
      <w:marBottom w:val="0"/>
      <w:divBdr>
        <w:top w:val="none" w:sz="0" w:space="0" w:color="auto"/>
        <w:left w:val="none" w:sz="0" w:space="0" w:color="auto"/>
        <w:bottom w:val="none" w:sz="0" w:space="0" w:color="auto"/>
        <w:right w:val="none" w:sz="0" w:space="0" w:color="auto"/>
      </w:divBdr>
      <w:divsChild>
        <w:div w:id="500315516">
          <w:marLeft w:val="0"/>
          <w:marRight w:val="0"/>
          <w:marTop w:val="0"/>
          <w:marBottom w:val="0"/>
          <w:divBdr>
            <w:top w:val="none" w:sz="0" w:space="0" w:color="auto"/>
            <w:left w:val="none" w:sz="0" w:space="0" w:color="auto"/>
            <w:bottom w:val="none" w:sz="0" w:space="0" w:color="auto"/>
            <w:right w:val="none" w:sz="0" w:space="0" w:color="auto"/>
          </w:divBdr>
          <w:divsChild>
            <w:div w:id="113378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07533">
      <w:bodyDiv w:val="1"/>
      <w:marLeft w:val="0"/>
      <w:marRight w:val="0"/>
      <w:marTop w:val="0"/>
      <w:marBottom w:val="0"/>
      <w:divBdr>
        <w:top w:val="none" w:sz="0" w:space="0" w:color="auto"/>
        <w:left w:val="none" w:sz="0" w:space="0" w:color="auto"/>
        <w:bottom w:val="none" w:sz="0" w:space="0" w:color="auto"/>
        <w:right w:val="none" w:sz="0" w:space="0" w:color="auto"/>
      </w:divBdr>
      <w:divsChild>
        <w:div w:id="1445271549">
          <w:marLeft w:val="0"/>
          <w:marRight w:val="0"/>
          <w:marTop w:val="0"/>
          <w:marBottom w:val="0"/>
          <w:divBdr>
            <w:top w:val="none" w:sz="0" w:space="0" w:color="auto"/>
            <w:left w:val="none" w:sz="0" w:space="0" w:color="auto"/>
            <w:bottom w:val="none" w:sz="0" w:space="0" w:color="auto"/>
            <w:right w:val="none" w:sz="0" w:space="0" w:color="auto"/>
          </w:divBdr>
          <w:divsChild>
            <w:div w:id="14221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20654">
      <w:bodyDiv w:val="1"/>
      <w:marLeft w:val="0"/>
      <w:marRight w:val="0"/>
      <w:marTop w:val="0"/>
      <w:marBottom w:val="0"/>
      <w:divBdr>
        <w:top w:val="none" w:sz="0" w:space="0" w:color="auto"/>
        <w:left w:val="none" w:sz="0" w:space="0" w:color="auto"/>
        <w:bottom w:val="none" w:sz="0" w:space="0" w:color="auto"/>
        <w:right w:val="none" w:sz="0" w:space="0" w:color="auto"/>
      </w:divBdr>
      <w:divsChild>
        <w:div w:id="402265302">
          <w:marLeft w:val="0"/>
          <w:marRight w:val="0"/>
          <w:marTop w:val="0"/>
          <w:marBottom w:val="0"/>
          <w:divBdr>
            <w:top w:val="none" w:sz="0" w:space="0" w:color="auto"/>
            <w:left w:val="none" w:sz="0" w:space="0" w:color="auto"/>
            <w:bottom w:val="none" w:sz="0" w:space="0" w:color="auto"/>
            <w:right w:val="none" w:sz="0" w:space="0" w:color="auto"/>
          </w:divBdr>
          <w:divsChild>
            <w:div w:id="2662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533254">
      <w:bodyDiv w:val="1"/>
      <w:marLeft w:val="0"/>
      <w:marRight w:val="0"/>
      <w:marTop w:val="0"/>
      <w:marBottom w:val="0"/>
      <w:divBdr>
        <w:top w:val="none" w:sz="0" w:space="0" w:color="auto"/>
        <w:left w:val="none" w:sz="0" w:space="0" w:color="auto"/>
        <w:bottom w:val="none" w:sz="0" w:space="0" w:color="auto"/>
        <w:right w:val="none" w:sz="0" w:space="0" w:color="auto"/>
      </w:divBdr>
      <w:divsChild>
        <w:div w:id="1000695984">
          <w:marLeft w:val="0"/>
          <w:marRight w:val="0"/>
          <w:marTop w:val="0"/>
          <w:marBottom w:val="0"/>
          <w:divBdr>
            <w:top w:val="none" w:sz="0" w:space="0" w:color="auto"/>
            <w:left w:val="none" w:sz="0" w:space="0" w:color="auto"/>
            <w:bottom w:val="none" w:sz="0" w:space="0" w:color="auto"/>
            <w:right w:val="none" w:sz="0" w:space="0" w:color="auto"/>
          </w:divBdr>
          <w:divsChild>
            <w:div w:id="2896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570965878">
      <w:bodyDiv w:val="1"/>
      <w:marLeft w:val="0"/>
      <w:marRight w:val="0"/>
      <w:marTop w:val="0"/>
      <w:marBottom w:val="0"/>
      <w:divBdr>
        <w:top w:val="none" w:sz="0" w:space="0" w:color="auto"/>
        <w:left w:val="none" w:sz="0" w:space="0" w:color="auto"/>
        <w:bottom w:val="none" w:sz="0" w:space="0" w:color="auto"/>
        <w:right w:val="none" w:sz="0" w:space="0" w:color="auto"/>
      </w:divBdr>
      <w:divsChild>
        <w:div w:id="1742631019">
          <w:marLeft w:val="0"/>
          <w:marRight w:val="0"/>
          <w:marTop w:val="0"/>
          <w:marBottom w:val="0"/>
          <w:divBdr>
            <w:top w:val="none" w:sz="0" w:space="0" w:color="auto"/>
            <w:left w:val="none" w:sz="0" w:space="0" w:color="auto"/>
            <w:bottom w:val="none" w:sz="0" w:space="0" w:color="auto"/>
            <w:right w:val="none" w:sz="0" w:space="0" w:color="auto"/>
          </w:divBdr>
          <w:divsChild>
            <w:div w:id="46990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25913">
      <w:bodyDiv w:val="1"/>
      <w:marLeft w:val="0"/>
      <w:marRight w:val="0"/>
      <w:marTop w:val="0"/>
      <w:marBottom w:val="0"/>
      <w:divBdr>
        <w:top w:val="none" w:sz="0" w:space="0" w:color="auto"/>
        <w:left w:val="none" w:sz="0" w:space="0" w:color="auto"/>
        <w:bottom w:val="none" w:sz="0" w:space="0" w:color="auto"/>
        <w:right w:val="none" w:sz="0" w:space="0" w:color="auto"/>
      </w:divBdr>
      <w:divsChild>
        <w:div w:id="1511408750">
          <w:marLeft w:val="0"/>
          <w:marRight w:val="0"/>
          <w:marTop w:val="0"/>
          <w:marBottom w:val="0"/>
          <w:divBdr>
            <w:top w:val="none" w:sz="0" w:space="0" w:color="auto"/>
            <w:left w:val="none" w:sz="0" w:space="0" w:color="auto"/>
            <w:bottom w:val="none" w:sz="0" w:space="0" w:color="auto"/>
            <w:right w:val="none" w:sz="0" w:space="0" w:color="auto"/>
          </w:divBdr>
          <w:divsChild>
            <w:div w:id="6058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938">
      <w:bodyDiv w:val="1"/>
      <w:marLeft w:val="0"/>
      <w:marRight w:val="0"/>
      <w:marTop w:val="0"/>
      <w:marBottom w:val="0"/>
      <w:divBdr>
        <w:top w:val="none" w:sz="0" w:space="0" w:color="auto"/>
        <w:left w:val="none" w:sz="0" w:space="0" w:color="auto"/>
        <w:bottom w:val="none" w:sz="0" w:space="0" w:color="auto"/>
        <w:right w:val="none" w:sz="0" w:space="0" w:color="auto"/>
      </w:divBdr>
      <w:divsChild>
        <w:div w:id="1231110391">
          <w:marLeft w:val="0"/>
          <w:marRight w:val="0"/>
          <w:marTop w:val="0"/>
          <w:marBottom w:val="0"/>
          <w:divBdr>
            <w:top w:val="none" w:sz="0" w:space="0" w:color="auto"/>
            <w:left w:val="none" w:sz="0" w:space="0" w:color="auto"/>
            <w:bottom w:val="none" w:sz="0" w:space="0" w:color="auto"/>
            <w:right w:val="none" w:sz="0" w:space="0" w:color="auto"/>
          </w:divBdr>
          <w:divsChild>
            <w:div w:id="212692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35355">
      <w:bodyDiv w:val="1"/>
      <w:marLeft w:val="0"/>
      <w:marRight w:val="0"/>
      <w:marTop w:val="0"/>
      <w:marBottom w:val="0"/>
      <w:divBdr>
        <w:top w:val="none" w:sz="0" w:space="0" w:color="auto"/>
        <w:left w:val="none" w:sz="0" w:space="0" w:color="auto"/>
        <w:bottom w:val="none" w:sz="0" w:space="0" w:color="auto"/>
        <w:right w:val="none" w:sz="0" w:space="0" w:color="auto"/>
      </w:divBdr>
      <w:divsChild>
        <w:div w:id="342368581">
          <w:marLeft w:val="0"/>
          <w:marRight w:val="0"/>
          <w:marTop w:val="0"/>
          <w:marBottom w:val="0"/>
          <w:divBdr>
            <w:top w:val="none" w:sz="0" w:space="0" w:color="auto"/>
            <w:left w:val="none" w:sz="0" w:space="0" w:color="auto"/>
            <w:bottom w:val="none" w:sz="0" w:space="0" w:color="auto"/>
            <w:right w:val="none" w:sz="0" w:space="0" w:color="auto"/>
          </w:divBdr>
          <w:divsChild>
            <w:div w:id="157555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6963">
      <w:bodyDiv w:val="1"/>
      <w:marLeft w:val="0"/>
      <w:marRight w:val="0"/>
      <w:marTop w:val="0"/>
      <w:marBottom w:val="0"/>
      <w:divBdr>
        <w:top w:val="none" w:sz="0" w:space="0" w:color="auto"/>
        <w:left w:val="none" w:sz="0" w:space="0" w:color="auto"/>
        <w:bottom w:val="none" w:sz="0" w:space="0" w:color="auto"/>
        <w:right w:val="none" w:sz="0" w:space="0" w:color="auto"/>
      </w:divBdr>
      <w:divsChild>
        <w:div w:id="1893611206">
          <w:marLeft w:val="0"/>
          <w:marRight w:val="0"/>
          <w:marTop w:val="0"/>
          <w:marBottom w:val="0"/>
          <w:divBdr>
            <w:top w:val="none" w:sz="0" w:space="0" w:color="auto"/>
            <w:left w:val="none" w:sz="0" w:space="0" w:color="auto"/>
            <w:bottom w:val="none" w:sz="0" w:space="0" w:color="auto"/>
            <w:right w:val="none" w:sz="0" w:space="0" w:color="auto"/>
          </w:divBdr>
          <w:divsChild>
            <w:div w:id="7939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32241">
      <w:bodyDiv w:val="1"/>
      <w:marLeft w:val="0"/>
      <w:marRight w:val="0"/>
      <w:marTop w:val="0"/>
      <w:marBottom w:val="0"/>
      <w:divBdr>
        <w:top w:val="none" w:sz="0" w:space="0" w:color="auto"/>
        <w:left w:val="none" w:sz="0" w:space="0" w:color="auto"/>
        <w:bottom w:val="none" w:sz="0" w:space="0" w:color="auto"/>
        <w:right w:val="none" w:sz="0" w:space="0" w:color="auto"/>
      </w:divBdr>
      <w:divsChild>
        <w:div w:id="907498848">
          <w:marLeft w:val="0"/>
          <w:marRight w:val="0"/>
          <w:marTop w:val="0"/>
          <w:marBottom w:val="0"/>
          <w:divBdr>
            <w:top w:val="none" w:sz="0" w:space="0" w:color="auto"/>
            <w:left w:val="none" w:sz="0" w:space="0" w:color="auto"/>
            <w:bottom w:val="none" w:sz="0" w:space="0" w:color="auto"/>
            <w:right w:val="none" w:sz="0" w:space="0" w:color="auto"/>
          </w:divBdr>
          <w:divsChild>
            <w:div w:id="189485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758641">
      <w:bodyDiv w:val="1"/>
      <w:marLeft w:val="0"/>
      <w:marRight w:val="0"/>
      <w:marTop w:val="0"/>
      <w:marBottom w:val="0"/>
      <w:divBdr>
        <w:top w:val="none" w:sz="0" w:space="0" w:color="auto"/>
        <w:left w:val="none" w:sz="0" w:space="0" w:color="auto"/>
        <w:bottom w:val="none" w:sz="0" w:space="0" w:color="auto"/>
        <w:right w:val="none" w:sz="0" w:space="0" w:color="auto"/>
      </w:divBdr>
      <w:divsChild>
        <w:div w:id="87311110">
          <w:marLeft w:val="0"/>
          <w:marRight w:val="0"/>
          <w:marTop w:val="0"/>
          <w:marBottom w:val="0"/>
          <w:divBdr>
            <w:top w:val="none" w:sz="0" w:space="0" w:color="auto"/>
            <w:left w:val="none" w:sz="0" w:space="0" w:color="auto"/>
            <w:bottom w:val="none" w:sz="0" w:space="0" w:color="auto"/>
            <w:right w:val="none" w:sz="0" w:space="0" w:color="auto"/>
          </w:divBdr>
          <w:divsChild>
            <w:div w:id="43313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99526">
      <w:bodyDiv w:val="1"/>
      <w:marLeft w:val="0"/>
      <w:marRight w:val="0"/>
      <w:marTop w:val="0"/>
      <w:marBottom w:val="0"/>
      <w:divBdr>
        <w:top w:val="none" w:sz="0" w:space="0" w:color="auto"/>
        <w:left w:val="none" w:sz="0" w:space="0" w:color="auto"/>
        <w:bottom w:val="none" w:sz="0" w:space="0" w:color="auto"/>
        <w:right w:val="none" w:sz="0" w:space="0" w:color="auto"/>
      </w:divBdr>
      <w:divsChild>
        <w:div w:id="1422751408">
          <w:marLeft w:val="0"/>
          <w:marRight w:val="0"/>
          <w:marTop w:val="0"/>
          <w:marBottom w:val="0"/>
          <w:divBdr>
            <w:top w:val="none" w:sz="0" w:space="0" w:color="auto"/>
            <w:left w:val="none" w:sz="0" w:space="0" w:color="auto"/>
            <w:bottom w:val="none" w:sz="0" w:space="0" w:color="auto"/>
            <w:right w:val="none" w:sz="0" w:space="0" w:color="auto"/>
          </w:divBdr>
          <w:divsChild>
            <w:div w:id="14878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5258">
      <w:bodyDiv w:val="1"/>
      <w:marLeft w:val="0"/>
      <w:marRight w:val="0"/>
      <w:marTop w:val="0"/>
      <w:marBottom w:val="0"/>
      <w:divBdr>
        <w:top w:val="none" w:sz="0" w:space="0" w:color="auto"/>
        <w:left w:val="none" w:sz="0" w:space="0" w:color="auto"/>
        <w:bottom w:val="none" w:sz="0" w:space="0" w:color="auto"/>
        <w:right w:val="none" w:sz="0" w:space="0" w:color="auto"/>
      </w:divBdr>
      <w:divsChild>
        <w:div w:id="1270549954">
          <w:marLeft w:val="0"/>
          <w:marRight w:val="0"/>
          <w:marTop w:val="0"/>
          <w:marBottom w:val="0"/>
          <w:divBdr>
            <w:top w:val="none" w:sz="0" w:space="0" w:color="auto"/>
            <w:left w:val="none" w:sz="0" w:space="0" w:color="auto"/>
            <w:bottom w:val="none" w:sz="0" w:space="0" w:color="auto"/>
            <w:right w:val="none" w:sz="0" w:space="0" w:color="auto"/>
          </w:divBdr>
          <w:divsChild>
            <w:div w:id="89793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15670425">
      <w:bodyDiv w:val="1"/>
      <w:marLeft w:val="0"/>
      <w:marRight w:val="0"/>
      <w:marTop w:val="0"/>
      <w:marBottom w:val="0"/>
      <w:divBdr>
        <w:top w:val="none" w:sz="0" w:space="0" w:color="auto"/>
        <w:left w:val="none" w:sz="0" w:space="0" w:color="auto"/>
        <w:bottom w:val="none" w:sz="0" w:space="0" w:color="auto"/>
        <w:right w:val="none" w:sz="0" w:space="0" w:color="auto"/>
      </w:divBdr>
      <w:divsChild>
        <w:div w:id="1719621630">
          <w:marLeft w:val="0"/>
          <w:marRight w:val="0"/>
          <w:marTop w:val="0"/>
          <w:marBottom w:val="0"/>
          <w:divBdr>
            <w:top w:val="none" w:sz="0" w:space="0" w:color="auto"/>
            <w:left w:val="none" w:sz="0" w:space="0" w:color="auto"/>
            <w:bottom w:val="none" w:sz="0" w:space="0" w:color="auto"/>
            <w:right w:val="none" w:sz="0" w:space="0" w:color="auto"/>
          </w:divBdr>
          <w:divsChild>
            <w:div w:id="131996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0994">
      <w:bodyDiv w:val="1"/>
      <w:marLeft w:val="0"/>
      <w:marRight w:val="0"/>
      <w:marTop w:val="0"/>
      <w:marBottom w:val="0"/>
      <w:divBdr>
        <w:top w:val="none" w:sz="0" w:space="0" w:color="auto"/>
        <w:left w:val="none" w:sz="0" w:space="0" w:color="auto"/>
        <w:bottom w:val="none" w:sz="0" w:space="0" w:color="auto"/>
        <w:right w:val="none" w:sz="0" w:space="0" w:color="auto"/>
      </w:divBdr>
      <w:divsChild>
        <w:div w:id="927693882">
          <w:marLeft w:val="0"/>
          <w:marRight w:val="0"/>
          <w:marTop w:val="0"/>
          <w:marBottom w:val="0"/>
          <w:divBdr>
            <w:top w:val="none" w:sz="0" w:space="0" w:color="auto"/>
            <w:left w:val="none" w:sz="0" w:space="0" w:color="auto"/>
            <w:bottom w:val="none" w:sz="0" w:space="0" w:color="auto"/>
            <w:right w:val="none" w:sz="0" w:space="0" w:color="auto"/>
          </w:divBdr>
          <w:divsChild>
            <w:div w:id="20897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31352039">
      <w:bodyDiv w:val="1"/>
      <w:marLeft w:val="0"/>
      <w:marRight w:val="0"/>
      <w:marTop w:val="0"/>
      <w:marBottom w:val="0"/>
      <w:divBdr>
        <w:top w:val="none" w:sz="0" w:space="0" w:color="auto"/>
        <w:left w:val="none" w:sz="0" w:space="0" w:color="auto"/>
        <w:bottom w:val="none" w:sz="0" w:space="0" w:color="auto"/>
        <w:right w:val="none" w:sz="0" w:space="0" w:color="auto"/>
      </w:divBdr>
      <w:divsChild>
        <w:div w:id="1359695049">
          <w:marLeft w:val="0"/>
          <w:marRight w:val="0"/>
          <w:marTop w:val="0"/>
          <w:marBottom w:val="0"/>
          <w:divBdr>
            <w:top w:val="none" w:sz="0" w:space="0" w:color="auto"/>
            <w:left w:val="none" w:sz="0" w:space="0" w:color="auto"/>
            <w:bottom w:val="none" w:sz="0" w:space="0" w:color="auto"/>
            <w:right w:val="none" w:sz="0" w:space="0" w:color="auto"/>
          </w:divBdr>
          <w:divsChild>
            <w:div w:id="10028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4160">
      <w:bodyDiv w:val="1"/>
      <w:marLeft w:val="0"/>
      <w:marRight w:val="0"/>
      <w:marTop w:val="0"/>
      <w:marBottom w:val="0"/>
      <w:divBdr>
        <w:top w:val="none" w:sz="0" w:space="0" w:color="auto"/>
        <w:left w:val="none" w:sz="0" w:space="0" w:color="auto"/>
        <w:bottom w:val="none" w:sz="0" w:space="0" w:color="auto"/>
        <w:right w:val="none" w:sz="0" w:space="0" w:color="auto"/>
      </w:divBdr>
      <w:divsChild>
        <w:div w:id="657195811">
          <w:marLeft w:val="0"/>
          <w:marRight w:val="0"/>
          <w:marTop w:val="0"/>
          <w:marBottom w:val="0"/>
          <w:divBdr>
            <w:top w:val="none" w:sz="0" w:space="0" w:color="auto"/>
            <w:left w:val="none" w:sz="0" w:space="0" w:color="auto"/>
            <w:bottom w:val="none" w:sz="0" w:space="0" w:color="auto"/>
            <w:right w:val="none" w:sz="0" w:space="0" w:color="auto"/>
          </w:divBdr>
          <w:divsChild>
            <w:div w:id="46789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58650901">
      <w:bodyDiv w:val="1"/>
      <w:marLeft w:val="0"/>
      <w:marRight w:val="0"/>
      <w:marTop w:val="0"/>
      <w:marBottom w:val="0"/>
      <w:divBdr>
        <w:top w:val="none" w:sz="0" w:space="0" w:color="auto"/>
        <w:left w:val="none" w:sz="0" w:space="0" w:color="auto"/>
        <w:bottom w:val="none" w:sz="0" w:space="0" w:color="auto"/>
        <w:right w:val="none" w:sz="0" w:space="0" w:color="auto"/>
      </w:divBdr>
      <w:divsChild>
        <w:div w:id="585265199">
          <w:marLeft w:val="0"/>
          <w:marRight w:val="0"/>
          <w:marTop w:val="0"/>
          <w:marBottom w:val="0"/>
          <w:divBdr>
            <w:top w:val="none" w:sz="0" w:space="0" w:color="auto"/>
            <w:left w:val="none" w:sz="0" w:space="0" w:color="auto"/>
            <w:bottom w:val="none" w:sz="0" w:space="0" w:color="auto"/>
            <w:right w:val="none" w:sz="0" w:space="0" w:color="auto"/>
          </w:divBdr>
          <w:divsChild>
            <w:div w:id="5042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3581">
      <w:bodyDiv w:val="1"/>
      <w:marLeft w:val="0"/>
      <w:marRight w:val="0"/>
      <w:marTop w:val="0"/>
      <w:marBottom w:val="0"/>
      <w:divBdr>
        <w:top w:val="none" w:sz="0" w:space="0" w:color="auto"/>
        <w:left w:val="none" w:sz="0" w:space="0" w:color="auto"/>
        <w:bottom w:val="none" w:sz="0" w:space="0" w:color="auto"/>
        <w:right w:val="none" w:sz="0" w:space="0" w:color="auto"/>
      </w:divBdr>
      <w:divsChild>
        <w:div w:id="904998361">
          <w:marLeft w:val="0"/>
          <w:marRight w:val="0"/>
          <w:marTop w:val="0"/>
          <w:marBottom w:val="0"/>
          <w:divBdr>
            <w:top w:val="none" w:sz="0" w:space="0" w:color="auto"/>
            <w:left w:val="none" w:sz="0" w:space="0" w:color="auto"/>
            <w:bottom w:val="none" w:sz="0" w:space="0" w:color="auto"/>
            <w:right w:val="none" w:sz="0" w:space="0" w:color="auto"/>
          </w:divBdr>
          <w:divsChild>
            <w:div w:id="153676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3761">
      <w:bodyDiv w:val="1"/>
      <w:marLeft w:val="0"/>
      <w:marRight w:val="0"/>
      <w:marTop w:val="0"/>
      <w:marBottom w:val="0"/>
      <w:divBdr>
        <w:top w:val="none" w:sz="0" w:space="0" w:color="auto"/>
        <w:left w:val="none" w:sz="0" w:space="0" w:color="auto"/>
        <w:bottom w:val="none" w:sz="0" w:space="0" w:color="auto"/>
        <w:right w:val="none" w:sz="0" w:space="0" w:color="auto"/>
      </w:divBdr>
      <w:divsChild>
        <w:div w:id="2030445553">
          <w:marLeft w:val="0"/>
          <w:marRight w:val="0"/>
          <w:marTop w:val="0"/>
          <w:marBottom w:val="0"/>
          <w:divBdr>
            <w:top w:val="none" w:sz="0" w:space="0" w:color="auto"/>
            <w:left w:val="none" w:sz="0" w:space="0" w:color="auto"/>
            <w:bottom w:val="none" w:sz="0" w:space="0" w:color="auto"/>
            <w:right w:val="none" w:sz="0" w:space="0" w:color="auto"/>
          </w:divBdr>
          <w:divsChild>
            <w:div w:id="207940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1567453">
      <w:bodyDiv w:val="1"/>
      <w:marLeft w:val="0"/>
      <w:marRight w:val="0"/>
      <w:marTop w:val="0"/>
      <w:marBottom w:val="0"/>
      <w:divBdr>
        <w:top w:val="none" w:sz="0" w:space="0" w:color="auto"/>
        <w:left w:val="none" w:sz="0" w:space="0" w:color="auto"/>
        <w:bottom w:val="none" w:sz="0" w:space="0" w:color="auto"/>
        <w:right w:val="none" w:sz="0" w:space="0" w:color="auto"/>
      </w:divBdr>
      <w:divsChild>
        <w:div w:id="627206364">
          <w:marLeft w:val="0"/>
          <w:marRight w:val="0"/>
          <w:marTop w:val="0"/>
          <w:marBottom w:val="0"/>
          <w:divBdr>
            <w:top w:val="none" w:sz="0" w:space="0" w:color="auto"/>
            <w:left w:val="none" w:sz="0" w:space="0" w:color="auto"/>
            <w:bottom w:val="none" w:sz="0" w:space="0" w:color="auto"/>
            <w:right w:val="none" w:sz="0" w:space="0" w:color="auto"/>
          </w:divBdr>
          <w:divsChild>
            <w:div w:id="124927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676955065">
      <w:bodyDiv w:val="1"/>
      <w:marLeft w:val="0"/>
      <w:marRight w:val="0"/>
      <w:marTop w:val="0"/>
      <w:marBottom w:val="0"/>
      <w:divBdr>
        <w:top w:val="none" w:sz="0" w:space="0" w:color="auto"/>
        <w:left w:val="none" w:sz="0" w:space="0" w:color="auto"/>
        <w:bottom w:val="none" w:sz="0" w:space="0" w:color="auto"/>
        <w:right w:val="none" w:sz="0" w:space="0" w:color="auto"/>
      </w:divBdr>
      <w:divsChild>
        <w:div w:id="384762019">
          <w:marLeft w:val="0"/>
          <w:marRight w:val="0"/>
          <w:marTop w:val="0"/>
          <w:marBottom w:val="0"/>
          <w:divBdr>
            <w:top w:val="none" w:sz="0" w:space="0" w:color="auto"/>
            <w:left w:val="none" w:sz="0" w:space="0" w:color="auto"/>
            <w:bottom w:val="none" w:sz="0" w:space="0" w:color="auto"/>
            <w:right w:val="none" w:sz="0" w:space="0" w:color="auto"/>
          </w:divBdr>
          <w:divsChild>
            <w:div w:id="109020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48180">
      <w:bodyDiv w:val="1"/>
      <w:marLeft w:val="0"/>
      <w:marRight w:val="0"/>
      <w:marTop w:val="0"/>
      <w:marBottom w:val="0"/>
      <w:divBdr>
        <w:top w:val="none" w:sz="0" w:space="0" w:color="auto"/>
        <w:left w:val="none" w:sz="0" w:space="0" w:color="auto"/>
        <w:bottom w:val="none" w:sz="0" w:space="0" w:color="auto"/>
        <w:right w:val="none" w:sz="0" w:space="0" w:color="auto"/>
      </w:divBdr>
      <w:divsChild>
        <w:div w:id="1137265368">
          <w:marLeft w:val="0"/>
          <w:marRight w:val="0"/>
          <w:marTop w:val="0"/>
          <w:marBottom w:val="0"/>
          <w:divBdr>
            <w:top w:val="none" w:sz="0" w:space="0" w:color="auto"/>
            <w:left w:val="none" w:sz="0" w:space="0" w:color="auto"/>
            <w:bottom w:val="none" w:sz="0" w:space="0" w:color="auto"/>
            <w:right w:val="none" w:sz="0" w:space="0" w:color="auto"/>
          </w:divBdr>
          <w:divsChild>
            <w:div w:id="17711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3115">
      <w:bodyDiv w:val="1"/>
      <w:marLeft w:val="0"/>
      <w:marRight w:val="0"/>
      <w:marTop w:val="0"/>
      <w:marBottom w:val="0"/>
      <w:divBdr>
        <w:top w:val="none" w:sz="0" w:space="0" w:color="auto"/>
        <w:left w:val="none" w:sz="0" w:space="0" w:color="auto"/>
        <w:bottom w:val="none" w:sz="0" w:space="0" w:color="auto"/>
        <w:right w:val="none" w:sz="0" w:space="0" w:color="auto"/>
      </w:divBdr>
      <w:divsChild>
        <w:div w:id="1730181998">
          <w:marLeft w:val="0"/>
          <w:marRight w:val="0"/>
          <w:marTop w:val="0"/>
          <w:marBottom w:val="0"/>
          <w:divBdr>
            <w:top w:val="none" w:sz="0" w:space="0" w:color="auto"/>
            <w:left w:val="none" w:sz="0" w:space="0" w:color="auto"/>
            <w:bottom w:val="none" w:sz="0" w:space="0" w:color="auto"/>
            <w:right w:val="none" w:sz="0" w:space="0" w:color="auto"/>
          </w:divBdr>
          <w:divsChild>
            <w:div w:id="16834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41655">
      <w:bodyDiv w:val="1"/>
      <w:marLeft w:val="0"/>
      <w:marRight w:val="0"/>
      <w:marTop w:val="0"/>
      <w:marBottom w:val="0"/>
      <w:divBdr>
        <w:top w:val="none" w:sz="0" w:space="0" w:color="auto"/>
        <w:left w:val="none" w:sz="0" w:space="0" w:color="auto"/>
        <w:bottom w:val="none" w:sz="0" w:space="0" w:color="auto"/>
        <w:right w:val="none" w:sz="0" w:space="0" w:color="auto"/>
      </w:divBdr>
      <w:divsChild>
        <w:div w:id="1435634458">
          <w:marLeft w:val="0"/>
          <w:marRight w:val="0"/>
          <w:marTop w:val="0"/>
          <w:marBottom w:val="0"/>
          <w:divBdr>
            <w:top w:val="none" w:sz="0" w:space="0" w:color="auto"/>
            <w:left w:val="none" w:sz="0" w:space="0" w:color="auto"/>
            <w:bottom w:val="none" w:sz="0" w:space="0" w:color="auto"/>
            <w:right w:val="none" w:sz="0" w:space="0" w:color="auto"/>
          </w:divBdr>
          <w:divsChild>
            <w:div w:id="165256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342519">
      <w:bodyDiv w:val="1"/>
      <w:marLeft w:val="0"/>
      <w:marRight w:val="0"/>
      <w:marTop w:val="0"/>
      <w:marBottom w:val="0"/>
      <w:divBdr>
        <w:top w:val="none" w:sz="0" w:space="0" w:color="auto"/>
        <w:left w:val="none" w:sz="0" w:space="0" w:color="auto"/>
        <w:bottom w:val="none" w:sz="0" w:space="0" w:color="auto"/>
        <w:right w:val="none" w:sz="0" w:space="0" w:color="auto"/>
      </w:divBdr>
      <w:divsChild>
        <w:div w:id="28725326">
          <w:marLeft w:val="0"/>
          <w:marRight w:val="0"/>
          <w:marTop w:val="0"/>
          <w:marBottom w:val="0"/>
          <w:divBdr>
            <w:top w:val="none" w:sz="0" w:space="0" w:color="auto"/>
            <w:left w:val="none" w:sz="0" w:space="0" w:color="auto"/>
            <w:bottom w:val="none" w:sz="0" w:space="0" w:color="auto"/>
            <w:right w:val="none" w:sz="0" w:space="0" w:color="auto"/>
          </w:divBdr>
          <w:divsChild>
            <w:div w:id="72957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216365">
      <w:bodyDiv w:val="1"/>
      <w:marLeft w:val="0"/>
      <w:marRight w:val="0"/>
      <w:marTop w:val="0"/>
      <w:marBottom w:val="0"/>
      <w:divBdr>
        <w:top w:val="none" w:sz="0" w:space="0" w:color="auto"/>
        <w:left w:val="none" w:sz="0" w:space="0" w:color="auto"/>
        <w:bottom w:val="none" w:sz="0" w:space="0" w:color="auto"/>
        <w:right w:val="none" w:sz="0" w:space="0" w:color="auto"/>
      </w:divBdr>
      <w:divsChild>
        <w:div w:id="1661234820">
          <w:marLeft w:val="0"/>
          <w:marRight w:val="0"/>
          <w:marTop w:val="0"/>
          <w:marBottom w:val="0"/>
          <w:divBdr>
            <w:top w:val="none" w:sz="0" w:space="0" w:color="auto"/>
            <w:left w:val="none" w:sz="0" w:space="0" w:color="auto"/>
            <w:bottom w:val="none" w:sz="0" w:space="0" w:color="auto"/>
            <w:right w:val="none" w:sz="0" w:space="0" w:color="auto"/>
          </w:divBdr>
          <w:divsChild>
            <w:div w:id="395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970650">
      <w:bodyDiv w:val="1"/>
      <w:marLeft w:val="0"/>
      <w:marRight w:val="0"/>
      <w:marTop w:val="0"/>
      <w:marBottom w:val="0"/>
      <w:divBdr>
        <w:top w:val="none" w:sz="0" w:space="0" w:color="auto"/>
        <w:left w:val="none" w:sz="0" w:space="0" w:color="auto"/>
        <w:bottom w:val="none" w:sz="0" w:space="0" w:color="auto"/>
        <w:right w:val="none" w:sz="0" w:space="0" w:color="auto"/>
      </w:divBdr>
      <w:divsChild>
        <w:div w:id="1955939195">
          <w:marLeft w:val="0"/>
          <w:marRight w:val="0"/>
          <w:marTop w:val="0"/>
          <w:marBottom w:val="0"/>
          <w:divBdr>
            <w:top w:val="none" w:sz="0" w:space="0" w:color="auto"/>
            <w:left w:val="none" w:sz="0" w:space="0" w:color="auto"/>
            <w:bottom w:val="none" w:sz="0" w:space="0" w:color="auto"/>
            <w:right w:val="none" w:sz="0" w:space="0" w:color="auto"/>
          </w:divBdr>
          <w:divsChild>
            <w:div w:id="110935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1500">
      <w:bodyDiv w:val="1"/>
      <w:marLeft w:val="0"/>
      <w:marRight w:val="0"/>
      <w:marTop w:val="0"/>
      <w:marBottom w:val="0"/>
      <w:divBdr>
        <w:top w:val="none" w:sz="0" w:space="0" w:color="auto"/>
        <w:left w:val="none" w:sz="0" w:space="0" w:color="auto"/>
        <w:bottom w:val="none" w:sz="0" w:space="0" w:color="auto"/>
        <w:right w:val="none" w:sz="0" w:space="0" w:color="auto"/>
      </w:divBdr>
      <w:divsChild>
        <w:div w:id="1920482374">
          <w:marLeft w:val="0"/>
          <w:marRight w:val="0"/>
          <w:marTop w:val="0"/>
          <w:marBottom w:val="0"/>
          <w:divBdr>
            <w:top w:val="none" w:sz="0" w:space="0" w:color="auto"/>
            <w:left w:val="none" w:sz="0" w:space="0" w:color="auto"/>
            <w:bottom w:val="none" w:sz="0" w:space="0" w:color="auto"/>
            <w:right w:val="none" w:sz="0" w:space="0" w:color="auto"/>
          </w:divBdr>
          <w:divsChild>
            <w:div w:id="16406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56131">
      <w:bodyDiv w:val="1"/>
      <w:marLeft w:val="0"/>
      <w:marRight w:val="0"/>
      <w:marTop w:val="0"/>
      <w:marBottom w:val="0"/>
      <w:divBdr>
        <w:top w:val="none" w:sz="0" w:space="0" w:color="auto"/>
        <w:left w:val="none" w:sz="0" w:space="0" w:color="auto"/>
        <w:bottom w:val="none" w:sz="0" w:space="0" w:color="auto"/>
        <w:right w:val="none" w:sz="0" w:space="0" w:color="auto"/>
      </w:divBdr>
      <w:divsChild>
        <w:div w:id="367879137">
          <w:marLeft w:val="0"/>
          <w:marRight w:val="0"/>
          <w:marTop w:val="0"/>
          <w:marBottom w:val="0"/>
          <w:divBdr>
            <w:top w:val="none" w:sz="0" w:space="0" w:color="auto"/>
            <w:left w:val="none" w:sz="0" w:space="0" w:color="auto"/>
            <w:bottom w:val="none" w:sz="0" w:space="0" w:color="auto"/>
            <w:right w:val="none" w:sz="0" w:space="0" w:color="auto"/>
          </w:divBdr>
          <w:divsChild>
            <w:div w:id="139736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92691">
      <w:bodyDiv w:val="1"/>
      <w:marLeft w:val="0"/>
      <w:marRight w:val="0"/>
      <w:marTop w:val="0"/>
      <w:marBottom w:val="0"/>
      <w:divBdr>
        <w:top w:val="none" w:sz="0" w:space="0" w:color="auto"/>
        <w:left w:val="none" w:sz="0" w:space="0" w:color="auto"/>
        <w:bottom w:val="none" w:sz="0" w:space="0" w:color="auto"/>
        <w:right w:val="none" w:sz="0" w:space="0" w:color="auto"/>
      </w:divBdr>
      <w:divsChild>
        <w:div w:id="1811434480">
          <w:marLeft w:val="0"/>
          <w:marRight w:val="0"/>
          <w:marTop w:val="0"/>
          <w:marBottom w:val="0"/>
          <w:divBdr>
            <w:top w:val="none" w:sz="0" w:space="0" w:color="auto"/>
            <w:left w:val="none" w:sz="0" w:space="0" w:color="auto"/>
            <w:bottom w:val="none" w:sz="0" w:space="0" w:color="auto"/>
            <w:right w:val="none" w:sz="0" w:space="0" w:color="auto"/>
          </w:divBdr>
          <w:divsChild>
            <w:div w:id="15166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46175">
      <w:bodyDiv w:val="1"/>
      <w:marLeft w:val="0"/>
      <w:marRight w:val="0"/>
      <w:marTop w:val="0"/>
      <w:marBottom w:val="0"/>
      <w:divBdr>
        <w:top w:val="none" w:sz="0" w:space="0" w:color="auto"/>
        <w:left w:val="none" w:sz="0" w:space="0" w:color="auto"/>
        <w:bottom w:val="none" w:sz="0" w:space="0" w:color="auto"/>
        <w:right w:val="none" w:sz="0" w:space="0" w:color="auto"/>
      </w:divBdr>
      <w:divsChild>
        <w:div w:id="2018657598">
          <w:marLeft w:val="0"/>
          <w:marRight w:val="0"/>
          <w:marTop w:val="0"/>
          <w:marBottom w:val="0"/>
          <w:divBdr>
            <w:top w:val="none" w:sz="0" w:space="0" w:color="auto"/>
            <w:left w:val="none" w:sz="0" w:space="0" w:color="auto"/>
            <w:bottom w:val="none" w:sz="0" w:space="0" w:color="auto"/>
            <w:right w:val="none" w:sz="0" w:space="0" w:color="auto"/>
          </w:divBdr>
          <w:divsChild>
            <w:div w:id="49507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56276">
      <w:bodyDiv w:val="1"/>
      <w:marLeft w:val="0"/>
      <w:marRight w:val="0"/>
      <w:marTop w:val="0"/>
      <w:marBottom w:val="0"/>
      <w:divBdr>
        <w:top w:val="none" w:sz="0" w:space="0" w:color="auto"/>
        <w:left w:val="none" w:sz="0" w:space="0" w:color="auto"/>
        <w:bottom w:val="none" w:sz="0" w:space="0" w:color="auto"/>
        <w:right w:val="none" w:sz="0" w:space="0" w:color="auto"/>
      </w:divBdr>
      <w:divsChild>
        <w:div w:id="1145463130">
          <w:marLeft w:val="0"/>
          <w:marRight w:val="0"/>
          <w:marTop w:val="0"/>
          <w:marBottom w:val="0"/>
          <w:divBdr>
            <w:top w:val="none" w:sz="0" w:space="0" w:color="auto"/>
            <w:left w:val="none" w:sz="0" w:space="0" w:color="auto"/>
            <w:bottom w:val="none" w:sz="0" w:space="0" w:color="auto"/>
            <w:right w:val="none" w:sz="0" w:space="0" w:color="auto"/>
          </w:divBdr>
          <w:divsChild>
            <w:div w:id="56599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7732">
      <w:bodyDiv w:val="1"/>
      <w:marLeft w:val="0"/>
      <w:marRight w:val="0"/>
      <w:marTop w:val="0"/>
      <w:marBottom w:val="0"/>
      <w:divBdr>
        <w:top w:val="none" w:sz="0" w:space="0" w:color="auto"/>
        <w:left w:val="none" w:sz="0" w:space="0" w:color="auto"/>
        <w:bottom w:val="none" w:sz="0" w:space="0" w:color="auto"/>
        <w:right w:val="none" w:sz="0" w:space="0" w:color="auto"/>
      </w:divBdr>
      <w:divsChild>
        <w:div w:id="1691637752">
          <w:marLeft w:val="0"/>
          <w:marRight w:val="0"/>
          <w:marTop w:val="0"/>
          <w:marBottom w:val="0"/>
          <w:divBdr>
            <w:top w:val="none" w:sz="0" w:space="0" w:color="auto"/>
            <w:left w:val="none" w:sz="0" w:space="0" w:color="auto"/>
            <w:bottom w:val="none" w:sz="0" w:space="0" w:color="auto"/>
            <w:right w:val="none" w:sz="0" w:space="0" w:color="auto"/>
          </w:divBdr>
          <w:divsChild>
            <w:div w:id="208124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61078">
      <w:bodyDiv w:val="1"/>
      <w:marLeft w:val="0"/>
      <w:marRight w:val="0"/>
      <w:marTop w:val="0"/>
      <w:marBottom w:val="0"/>
      <w:divBdr>
        <w:top w:val="none" w:sz="0" w:space="0" w:color="auto"/>
        <w:left w:val="none" w:sz="0" w:space="0" w:color="auto"/>
        <w:bottom w:val="none" w:sz="0" w:space="0" w:color="auto"/>
        <w:right w:val="none" w:sz="0" w:space="0" w:color="auto"/>
      </w:divBdr>
      <w:divsChild>
        <w:div w:id="69622893">
          <w:marLeft w:val="0"/>
          <w:marRight w:val="0"/>
          <w:marTop w:val="0"/>
          <w:marBottom w:val="0"/>
          <w:divBdr>
            <w:top w:val="none" w:sz="0" w:space="0" w:color="auto"/>
            <w:left w:val="none" w:sz="0" w:space="0" w:color="auto"/>
            <w:bottom w:val="none" w:sz="0" w:space="0" w:color="auto"/>
            <w:right w:val="none" w:sz="0" w:space="0" w:color="auto"/>
          </w:divBdr>
          <w:divsChild>
            <w:div w:id="1048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60679">
      <w:bodyDiv w:val="1"/>
      <w:marLeft w:val="0"/>
      <w:marRight w:val="0"/>
      <w:marTop w:val="0"/>
      <w:marBottom w:val="0"/>
      <w:divBdr>
        <w:top w:val="none" w:sz="0" w:space="0" w:color="auto"/>
        <w:left w:val="none" w:sz="0" w:space="0" w:color="auto"/>
        <w:bottom w:val="none" w:sz="0" w:space="0" w:color="auto"/>
        <w:right w:val="none" w:sz="0" w:space="0" w:color="auto"/>
      </w:divBdr>
      <w:divsChild>
        <w:div w:id="1141727385">
          <w:marLeft w:val="0"/>
          <w:marRight w:val="0"/>
          <w:marTop w:val="0"/>
          <w:marBottom w:val="0"/>
          <w:divBdr>
            <w:top w:val="none" w:sz="0" w:space="0" w:color="auto"/>
            <w:left w:val="none" w:sz="0" w:space="0" w:color="auto"/>
            <w:bottom w:val="none" w:sz="0" w:space="0" w:color="auto"/>
            <w:right w:val="none" w:sz="0" w:space="0" w:color="auto"/>
          </w:divBdr>
          <w:divsChild>
            <w:div w:id="8776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541518">
      <w:bodyDiv w:val="1"/>
      <w:marLeft w:val="0"/>
      <w:marRight w:val="0"/>
      <w:marTop w:val="0"/>
      <w:marBottom w:val="0"/>
      <w:divBdr>
        <w:top w:val="none" w:sz="0" w:space="0" w:color="auto"/>
        <w:left w:val="none" w:sz="0" w:space="0" w:color="auto"/>
        <w:bottom w:val="none" w:sz="0" w:space="0" w:color="auto"/>
        <w:right w:val="none" w:sz="0" w:space="0" w:color="auto"/>
      </w:divBdr>
      <w:divsChild>
        <w:div w:id="2004815202">
          <w:marLeft w:val="0"/>
          <w:marRight w:val="0"/>
          <w:marTop w:val="0"/>
          <w:marBottom w:val="0"/>
          <w:divBdr>
            <w:top w:val="none" w:sz="0" w:space="0" w:color="auto"/>
            <w:left w:val="none" w:sz="0" w:space="0" w:color="auto"/>
            <w:bottom w:val="none" w:sz="0" w:space="0" w:color="auto"/>
            <w:right w:val="none" w:sz="0" w:space="0" w:color="auto"/>
          </w:divBdr>
          <w:divsChild>
            <w:div w:id="50574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955258">
      <w:bodyDiv w:val="1"/>
      <w:marLeft w:val="0"/>
      <w:marRight w:val="0"/>
      <w:marTop w:val="0"/>
      <w:marBottom w:val="0"/>
      <w:divBdr>
        <w:top w:val="none" w:sz="0" w:space="0" w:color="auto"/>
        <w:left w:val="none" w:sz="0" w:space="0" w:color="auto"/>
        <w:bottom w:val="none" w:sz="0" w:space="0" w:color="auto"/>
        <w:right w:val="none" w:sz="0" w:space="0" w:color="auto"/>
      </w:divBdr>
      <w:divsChild>
        <w:div w:id="1047266404">
          <w:marLeft w:val="0"/>
          <w:marRight w:val="0"/>
          <w:marTop w:val="0"/>
          <w:marBottom w:val="0"/>
          <w:divBdr>
            <w:top w:val="none" w:sz="0" w:space="0" w:color="auto"/>
            <w:left w:val="none" w:sz="0" w:space="0" w:color="auto"/>
            <w:bottom w:val="none" w:sz="0" w:space="0" w:color="auto"/>
            <w:right w:val="none" w:sz="0" w:space="0" w:color="auto"/>
          </w:divBdr>
          <w:divsChild>
            <w:div w:id="74580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60965">
      <w:bodyDiv w:val="1"/>
      <w:marLeft w:val="0"/>
      <w:marRight w:val="0"/>
      <w:marTop w:val="0"/>
      <w:marBottom w:val="0"/>
      <w:divBdr>
        <w:top w:val="none" w:sz="0" w:space="0" w:color="auto"/>
        <w:left w:val="none" w:sz="0" w:space="0" w:color="auto"/>
        <w:bottom w:val="none" w:sz="0" w:space="0" w:color="auto"/>
        <w:right w:val="none" w:sz="0" w:space="0" w:color="auto"/>
      </w:divBdr>
      <w:divsChild>
        <w:div w:id="1017318000">
          <w:marLeft w:val="0"/>
          <w:marRight w:val="0"/>
          <w:marTop w:val="0"/>
          <w:marBottom w:val="0"/>
          <w:divBdr>
            <w:top w:val="none" w:sz="0" w:space="0" w:color="auto"/>
            <w:left w:val="none" w:sz="0" w:space="0" w:color="auto"/>
            <w:bottom w:val="none" w:sz="0" w:space="0" w:color="auto"/>
            <w:right w:val="none" w:sz="0" w:space="0" w:color="auto"/>
          </w:divBdr>
          <w:divsChild>
            <w:div w:id="8151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66170">
      <w:bodyDiv w:val="1"/>
      <w:marLeft w:val="0"/>
      <w:marRight w:val="0"/>
      <w:marTop w:val="0"/>
      <w:marBottom w:val="0"/>
      <w:divBdr>
        <w:top w:val="none" w:sz="0" w:space="0" w:color="auto"/>
        <w:left w:val="none" w:sz="0" w:space="0" w:color="auto"/>
        <w:bottom w:val="none" w:sz="0" w:space="0" w:color="auto"/>
        <w:right w:val="none" w:sz="0" w:space="0" w:color="auto"/>
      </w:divBdr>
      <w:divsChild>
        <w:div w:id="411388482">
          <w:marLeft w:val="0"/>
          <w:marRight w:val="0"/>
          <w:marTop w:val="0"/>
          <w:marBottom w:val="0"/>
          <w:divBdr>
            <w:top w:val="none" w:sz="0" w:space="0" w:color="auto"/>
            <w:left w:val="none" w:sz="0" w:space="0" w:color="auto"/>
            <w:bottom w:val="none" w:sz="0" w:space="0" w:color="auto"/>
            <w:right w:val="none" w:sz="0" w:space="0" w:color="auto"/>
          </w:divBdr>
          <w:divsChild>
            <w:div w:id="110056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08244">
      <w:bodyDiv w:val="1"/>
      <w:marLeft w:val="0"/>
      <w:marRight w:val="0"/>
      <w:marTop w:val="0"/>
      <w:marBottom w:val="0"/>
      <w:divBdr>
        <w:top w:val="none" w:sz="0" w:space="0" w:color="auto"/>
        <w:left w:val="none" w:sz="0" w:space="0" w:color="auto"/>
        <w:bottom w:val="none" w:sz="0" w:space="0" w:color="auto"/>
        <w:right w:val="none" w:sz="0" w:space="0" w:color="auto"/>
      </w:divBdr>
      <w:divsChild>
        <w:div w:id="633678420">
          <w:marLeft w:val="0"/>
          <w:marRight w:val="0"/>
          <w:marTop w:val="0"/>
          <w:marBottom w:val="0"/>
          <w:divBdr>
            <w:top w:val="none" w:sz="0" w:space="0" w:color="auto"/>
            <w:left w:val="none" w:sz="0" w:space="0" w:color="auto"/>
            <w:bottom w:val="none" w:sz="0" w:space="0" w:color="auto"/>
            <w:right w:val="none" w:sz="0" w:space="0" w:color="auto"/>
          </w:divBdr>
          <w:divsChild>
            <w:div w:id="1154222103">
              <w:marLeft w:val="0"/>
              <w:marRight w:val="0"/>
              <w:marTop w:val="0"/>
              <w:marBottom w:val="240"/>
              <w:divBdr>
                <w:top w:val="none" w:sz="0" w:space="0" w:color="auto"/>
                <w:left w:val="none" w:sz="0" w:space="0" w:color="auto"/>
                <w:bottom w:val="none" w:sz="0" w:space="0" w:color="auto"/>
                <w:right w:val="none" w:sz="0" w:space="0" w:color="auto"/>
              </w:divBdr>
            </w:div>
            <w:div w:id="1743142621">
              <w:marLeft w:val="0"/>
              <w:marRight w:val="0"/>
              <w:marTop w:val="0"/>
              <w:marBottom w:val="240"/>
              <w:divBdr>
                <w:top w:val="none" w:sz="0" w:space="0" w:color="auto"/>
                <w:left w:val="none" w:sz="0" w:space="0" w:color="auto"/>
                <w:bottom w:val="none" w:sz="0" w:space="0" w:color="auto"/>
                <w:right w:val="none" w:sz="0" w:space="0" w:color="auto"/>
              </w:divBdr>
            </w:div>
            <w:div w:id="768962468">
              <w:marLeft w:val="0"/>
              <w:marRight w:val="0"/>
              <w:marTop w:val="0"/>
              <w:marBottom w:val="240"/>
              <w:divBdr>
                <w:top w:val="none" w:sz="0" w:space="0" w:color="auto"/>
                <w:left w:val="none" w:sz="0" w:space="0" w:color="auto"/>
                <w:bottom w:val="none" w:sz="0" w:space="0" w:color="auto"/>
                <w:right w:val="none" w:sz="0" w:space="0" w:color="auto"/>
              </w:divBdr>
            </w:div>
            <w:div w:id="151874469">
              <w:marLeft w:val="0"/>
              <w:marRight w:val="0"/>
              <w:marTop w:val="0"/>
              <w:marBottom w:val="240"/>
              <w:divBdr>
                <w:top w:val="none" w:sz="0" w:space="0" w:color="auto"/>
                <w:left w:val="none" w:sz="0" w:space="0" w:color="auto"/>
                <w:bottom w:val="none" w:sz="0" w:space="0" w:color="auto"/>
                <w:right w:val="none" w:sz="0" w:space="0" w:color="auto"/>
              </w:divBdr>
            </w:div>
            <w:div w:id="857935948">
              <w:marLeft w:val="0"/>
              <w:marRight w:val="0"/>
              <w:marTop w:val="0"/>
              <w:marBottom w:val="240"/>
              <w:divBdr>
                <w:top w:val="none" w:sz="0" w:space="0" w:color="auto"/>
                <w:left w:val="none" w:sz="0" w:space="0" w:color="auto"/>
                <w:bottom w:val="none" w:sz="0" w:space="0" w:color="auto"/>
                <w:right w:val="none" w:sz="0" w:space="0" w:color="auto"/>
              </w:divBdr>
            </w:div>
            <w:div w:id="1379473334">
              <w:marLeft w:val="0"/>
              <w:marRight w:val="0"/>
              <w:marTop w:val="0"/>
              <w:marBottom w:val="240"/>
              <w:divBdr>
                <w:top w:val="none" w:sz="0" w:space="0" w:color="auto"/>
                <w:left w:val="none" w:sz="0" w:space="0" w:color="auto"/>
                <w:bottom w:val="none" w:sz="0" w:space="0" w:color="auto"/>
                <w:right w:val="none" w:sz="0" w:space="0" w:color="auto"/>
              </w:divBdr>
            </w:div>
            <w:div w:id="901715252">
              <w:marLeft w:val="0"/>
              <w:marRight w:val="0"/>
              <w:marTop w:val="0"/>
              <w:marBottom w:val="240"/>
              <w:divBdr>
                <w:top w:val="none" w:sz="0" w:space="0" w:color="auto"/>
                <w:left w:val="none" w:sz="0" w:space="0" w:color="auto"/>
                <w:bottom w:val="none" w:sz="0" w:space="0" w:color="auto"/>
                <w:right w:val="none" w:sz="0" w:space="0" w:color="auto"/>
              </w:divBdr>
            </w:div>
            <w:div w:id="29571028">
              <w:marLeft w:val="0"/>
              <w:marRight w:val="0"/>
              <w:marTop w:val="0"/>
              <w:marBottom w:val="240"/>
              <w:divBdr>
                <w:top w:val="none" w:sz="0" w:space="0" w:color="auto"/>
                <w:left w:val="none" w:sz="0" w:space="0" w:color="auto"/>
                <w:bottom w:val="none" w:sz="0" w:space="0" w:color="auto"/>
                <w:right w:val="none" w:sz="0" w:space="0" w:color="auto"/>
              </w:divBdr>
            </w:div>
            <w:div w:id="1267537374">
              <w:marLeft w:val="0"/>
              <w:marRight w:val="0"/>
              <w:marTop w:val="0"/>
              <w:marBottom w:val="240"/>
              <w:divBdr>
                <w:top w:val="none" w:sz="0" w:space="0" w:color="auto"/>
                <w:left w:val="none" w:sz="0" w:space="0" w:color="auto"/>
                <w:bottom w:val="none" w:sz="0" w:space="0" w:color="auto"/>
                <w:right w:val="none" w:sz="0" w:space="0" w:color="auto"/>
              </w:divBdr>
            </w:div>
            <w:div w:id="1859730149">
              <w:marLeft w:val="0"/>
              <w:marRight w:val="0"/>
              <w:marTop w:val="0"/>
              <w:marBottom w:val="240"/>
              <w:divBdr>
                <w:top w:val="none" w:sz="0" w:space="0" w:color="auto"/>
                <w:left w:val="none" w:sz="0" w:space="0" w:color="auto"/>
                <w:bottom w:val="none" w:sz="0" w:space="0" w:color="auto"/>
                <w:right w:val="none" w:sz="0" w:space="0" w:color="auto"/>
              </w:divBdr>
            </w:div>
            <w:div w:id="2115517069">
              <w:marLeft w:val="0"/>
              <w:marRight w:val="0"/>
              <w:marTop w:val="0"/>
              <w:marBottom w:val="240"/>
              <w:divBdr>
                <w:top w:val="none" w:sz="0" w:space="0" w:color="auto"/>
                <w:left w:val="none" w:sz="0" w:space="0" w:color="auto"/>
                <w:bottom w:val="none" w:sz="0" w:space="0" w:color="auto"/>
                <w:right w:val="none" w:sz="0" w:space="0" w:color="auto"/>
              </w:divBdr>
            </w:div>
            <w:div w:id="1497301274">
              <w:marLeft w:val="0"/>
              <w:marRight w:val="0"/>
              <w:marTop w:val="0"/>
              <w:marBottom w:val="240"/>
              <w:divBdr>
                <w:top w:val="none" w:sz="0" w:space="0" w:color="auto"/>
                <w:left w:val="none" w:sz="0" w:space="0" w:color="auto"/>
                <w:bottom w:val="none" w:sz="0" w:space="0" w:color="auto"/>
                <w:right w:val="none" w:sz="0" w:space="0" w:color="auto"/>
              </w:divBdr>
            </w:div>
            <w:div w:id="1147014257">
              <w:marLeft w:val="0"/>
              <w:marRight w:val="0"/>
              <w:marTop w:val="0"/>
              <w:marBottom w:val="240"/>
              <w:divBdr>
                <w:top w:val="none" w:sz="0" w:space="0" w:color="auto"/>
                <w:left w:val="none" w:sz="0" w:space="0" w:color="auto"/>
                <w:bottom w:val="none" w:sz="0" w:space="0" w:color="auto"/>
                <w:right w:val="none" w:sz="0" w:space="0" w:color="auto"/>
              </w:divBdr>
            </w:div>
            <w:div w:id="1343048416">
              <w:marLeft w:val="0"/>
              <w:marRight w:val="0"/>
              <w:marTop w:val="0"/>
              <w:marBottom w:val="240"/>
              <w:divBdr>
                <w:top w:val="none" w:sz="0" w:space="0" w:color="auto"/>
                <w:left w:val="none" w:sz="0" w:space="0" w:color="auto"/>
                <w:bottom w:val="none" w:sz="0" w:space="0" w:color="auto"/>
                <w:right w:val="none" w:sz="0" w:space="0" w:color="auto"/>
              </w:divBdr>
            </w:div>
            <w:div w:id="50427524">
              <w:marLeft w:val="0"/>
              <w:marRight w:val="0"/>
              <w:marTop w:val="0"/>
              <w:marBottom w:val="240"/>
              <w:divBdr>
                <w:top w:val="none" w:sz="0" w:space="0" w:color="auto"/>
                <w:left w:val="none" w:sz="0" w:space="0" w:color="auto"/>
                <w:bottom w:val="none" w:sz="0" w:space="0" w:color="auto"/>
                <w:right w:val="none" w:sz="0" w:space="0" w:color="auto"/>
              </w:divBdr>
            </w:div>
            <w:div w:id="1537044534">
              <w:marLeft w:val="0"/>
              <w:marRight w:val="0"/>
              <w:marTop w:val="0"/>
              <w:marBottom w:val="240"/>
              <w:divBdr>
                <w:top w:val="none" w:sz="0" w:space="0" w:color="auto"/>
                <w:left w:val="none" w:sz="0" w:space="0" w:color="auto"/>
                <w:bottom w:val="none" w:sz="0" w:space="0" w:color="auto"/>
                <w:right w:val="none" w:sz="0" w:space="0" w:color="auto"/>
              </w:divBdr>
            </w:div>
            <w:div w:id="2143033645">
              <w:marLeft w:val="0"/>
              <w:marRight w:val="0"/>
              <w:marTop w:val="0"/>
              <w:marBottom w:val="240"/>
              <w:divBdr>
                <w:top w:val="none" w:sz="0" w:space="0" w:color="auto"/>
                <w:left w:val="none" w:sz="0" w:space="0" w:color="auto"/>
                <w:bottom w:val="none" w:sz="0" w:space="0" w:color="auto"/>
                <w:right w:val="none" w:sz="0" w:space="0" w:color="auto"/>
              </w:divBdr>
            </w:div>
            <w:div w:id="1852446039">
              <w:marLeft w:val="0"/>
              <w:marRight w:val="0"/>
              <w:marTop w:val="0"/>
              <w:marBottom w:val="240"/>
              <w:divBdr>
                <w:top w:val="none" w:sz="0" w:space="0" w:color="auto"/>
                <w:left w:val="none" w:sz="0" w:space="0" w:color="auto"/>
                <w:bottom w:val="none" w:sz="0" w:space="0" w:color="auto"/>
                <w:right w:val="none" w:sz="0" w:space="0" w:color="auto"/>
              </w:divBdr>
            </w:div>
            <w:div w:id="646714141">
              <w:marLeft w:val="0"/>
              <w:marRight w:val="0"/>
              <w:marTop w:val="0"/>
              <w:marBottom w:val="240"/>
              <w:divBdr>
                <w:top w:val="none" w:sz="0" w:space="0" w:color="auto"/>
                <w:left w:val="none" w:sz="0" w:space="0" w:color="auto"/>
                <w:bottom w:val="none" w:sz="0" w:space="0" w:color="auto"/>
                <w:right w:val="none" w:sz="0" w:space="0" w:color="auto"/>
              </w:divBdr>
            </w:div>
            <w:div w:id="1401248678">
              <w:marLeft w:val="0"/>
              <w:marRight w:val="0"/>
              <w:marTop w:val="0"/>
              <w:marBottom w:val="240"/>
              <w:divBdr>
                <w:top w:val="none" w:sz="0" w:space="0" w:color="auto"/>
                <w:left w:val="none" w:sz="0" w:space="0" w:color="auto"/>
                <w:bottom w:val="none" w:sz="0" w:space="0" w:color="auto"/>
                <w:right w:val="none" w:sz="0" w:space="0" w:color="auto"/>
              </w:divBdr>
            </w:div>
            <w:div w:id="328875528">
              <w:marLeft w:val="0"/>
              <w:marRight w:val="0"/>
              <w:marTop w:val="0"/>
              <w:marBottom w:val="240"/>
              <w:divBdr>
                <w:top w:val="none" w:sz="0" w:space="0" w:color="auto"/>
                <w:left w:val="none" w:sz="0" w:space="0" w:color="auto"/>
                <w:bottom w:val="none" w:sz="0" w:space="0" w:color="auto"/>
                <w:right w:val="none" w:sz="0" w:space="0" w:color="auto"/>
              </w:divBdr>
            </w:div>
            <w:div w:id="1653556171">
              <w:marLeft w:val="0"/>
              <w:marRight w:val="0"/>
              <w:marTop w:val="0"/>
              <w:marBottom w:val="240"/>
              <w:divBdr>
                <w:top w:val="none" w:sz="0" w:space="0" w:color="auto"/>
                <w:left w:val="none" w:sz="0" w:space="0" w:color="auto"/>
                <w:bottom w:val="none" w:sz="0" w:space="0" w:color="auto"/>
                <w:right w:val="none" w:sz="0" w:space="0" w:color="auto"/>
              </w:divBdr>
            </w:div>
            <w:div w:id="1648895921">
              <w:marLeft w:val="0"/>
              <w:marRight w:val="0"/>
              <w:marTop w:val="0"/>
              <w:marBottom w:val="240"/>
              <w:divBdr>
                <w:top w:val="none" w:sz="0" w:space="0" w:color="auto"/>
                <w:left w:val="none" w:sz="0" w:space="0" w:color="auto"/>
                <w:bottom w:val="none" w:sz="0" w:space="0" w:color="auto"/>
                <w:right w:val="none" w:sz="0" w:space="0" w:color="auto"/>
              </w:divBdr>
            </w:div>
            <w:div w:id="1183664211">
              <w:marLeft w:val="0"/>
              <w:marRight w:val="0"/>
              <w:marTop w:val="0"/>
              <w:marBottom w:val="240"/>
              <w:divBdr>
                <w:top w:val="none" w:sz="0" w:space="0" w:color="auto"/>
                <w:left w:val="none" w:sz="0" w:space="0" w:color="auto"/>
                <w:bottom w:val="none" w:sz="0" w:space="0" w:color="auto"/>
                <w:right w:val="none" w:sz="0" w:space="0" w:color="auto"/>
              </w:divBdr>
            </w:div>
            <w:div w:id="610555011">
              <w:marLeft w:val="0"/>
              <w:marRight w:val="0"/>
              <w:marTop w:val="0"/>
              <w:marBottom w:val="240"/>
              <w:divBdr>
                <w:top w:val="none" w:sz="0" w:space="0" w:color="auto"/>
                <w:left w:val="none" w:sz="0" w:space="0" w:color="auto"/>
                <w:bottom w:val="none" w:sz="0" w:space="0" w:color="auto"/>
                <w:right w:val="none" w:sz="0" w:space="0" w:color="auto"/>
              </w:divBdr>
            </w:div>
            <w:div w:id="914898780">
              <w:marLeft w:val="0"/>
              <w:marRight w:val="0"/>
              <w:marTop w:val="0"/>
              <w:marBottom w:val="240"/>
              <w:divBdr>
                <w:top w:val="none" w:sz="0" w:space="0" w:color="auto"/>
                <w:left w:val="none" w:sz="0" w:space="0" w:color="auto"/>
                <w:bottom w:val="none" w:sz="0" w:space="0" w:color="auto"/>
                <w:right w:val="none" w:sz="0" w:space="0" w:color="auto"/>
              </w:divBdr>
            </w:div>
            <w:div w:id="927813503">
              <w:marLeft w:val="0"/>
              <w:marRight w:val="0"/>
              <w:marTop w:val="0"/>
              <w:marBottom w:val="240"/>
              <w:divBdr>
                <w:top w:val="none" w:sz="0" w:space="0" w:color="auto"/>
                <w:left w:val="none" w:sz="0" w:space="0" w:color="auto"/>
                <w:bottom w:val="none" w:sz="0" w:space="0" w:color="auto"/>
                <w:right w:val="none" w:sz="0" w:space="0" w:color="auto"/>
              </w:divBdr>
            </w:div>
            <w:div w:id="1830486149">
              <w:marLeft w:val="0"/>
              <w:marRight w:val="0"/>
              <w:marTop w:val="0"/>
              <w:marBottom w:val="240"/>
              <w:divBdr>
                <w:top w:val="none" w:sz="0" w:space="0" w:color="auto"/>
                <w:left w:val="none" w:sz="0" w:space="0" w:color="auto"/>
                <w:bottom w:val="none" w:sz="0" w:space="0" w:color="auto"/>
                <w:right w:val="none" w:sz="0" w:space="0" w:color="auto"/>
              </w:divBdr>
            </w:div>
            <w:div w:id="2008055349">
              <w:marLeft w:val="0"/>
              <w:marRight w:val="0"/>
              <w:marTop w:val="0"/>
              <w:marBottom w:val="240"/>
              <w:divBdr>
                <w:top w:val="none" w:sz="0" w:space="0" w:color="auto"/>
                <w:left w:val="none" w:sz="0" w:space="0" w:color="auto"/>
                <w:bottom w:val="none" w:sz="0" w:space="0" w:color="auto"/>
                <w:right w:val="none" w:sz="0" w:space="0" w:color="auto"/>
              </w:divBdr>
            </w:div>
            <w:div w:id="1521361319">
              <w:marLeft w:val="0"/>
              <w:marRight w:val="0"/>
              <w:marTop w:val="0"/>
              <w:marBottom w:val="240"/>
              <w:divBdr>
                <w:top w:val="none" w:sz="0" w:space="0" w:color="auto"/>
                <w:left w:val="none" w:sz="0" w:space="0" w:color="auto"/>
                <w:bottom w:val="none" w:sz="0" w:space="0" w:color="auto"/>
                <w:right w:val="none" w:sz="0" w:space="0" w:color="auto"/>
              </w:divBdr>
            </w:div>
            <w:div w:id="281890010">
              <w:marLeft w:val="0"/>
              <w:marRight w:val="0"/>
              <w:marTop w:val="0"/>
              <w:marBottom w:val="240"/>
              <w:divBdr>
                <w:top w:val="none" w:sz="0" w:space="0" w:color="auto"/>
                <w:left w:val="none" w:sz="0" w:space="0" w:color="auto"/>
                <w:bottom w:val="none" w:sz="0" w:space="0" w:color="auto"/>
                <w:right w:val="none" w:sz="0" w:space="0" w:color="auto"/>
              </w:divBdr>
            </w:div>
            <w:div w:id="1712457754">
              <w:marLeft w:val="0"/>
              <w:marRight w:val="0"/>
              <w:marTop w:val="0"/>
              <w:marBottom w:val="240"/>
              <w:divBdr>
                <w:top w:val="none" w:sz="0" w:space="0" w:color="auto"/>
                <w:left w:val="none" w:sz="0" w:space="0" w:color="auto"/>
                <w:bottom w:val="none" w:sz="0" w:space="0" w:color="auto"/>
                <w:right w:val="none" w:sz="0" w:space="0" w:color="auto"/>
              </w:divBdr>
            </w:div>
            <w:div w:id="1261371534">
              <w:marLeft w:val="0"/>
              <w:marRight w:val="0"/>
              <w:marTop w:val="0"/>
              <w:marBottom w:val="240"/>
              <w:divBdr>
                <w:top w:val="none" w:sz="0" w:space="0" w:color="auto"/>
                <w:left w:val="none" w:sz="0" w:space="0" w:color="auto"/>
                <w:bottom w:val="none" w:sz="0" w:space="0" w:color="auto"/>
                <w:right w:val="none" w:sz="0" w:space="0" w:color="auto"/>
              </w:divBdr>
            </w:div>
            <w:div w:id="1251083443">
              <w:marLeft w:val="0"/>
              <w:marRight w:val="0"/>
              <w:marTop w:val="0"/>
              <w:marBottom w:val="240"/>
              <w:divBdr>
                <w:top w:val="none" w:sz="0" w:space="0" w:color="auto"/>
                <w:left w:val="none" w:sz="0" w:space="0" w:color="auto"/>
                <w:bottom w:val="none" w:sz="0" w:space="0" w:color="auto"/>
                <w:right w:val="none" w:sz="0" w:space="0" w:color="auto"/>
              </w:divBdr>
            </w:div>
            <w:div w:id="1393121425">
              <w:marLeft w:val="0"/>
              <w:marRight w:val="0"/>
              <w:marTop w:val="0"/>
              <w:marBottom w:val="240"/>
              <w:divBdr>
                <w:top w:val="none" w:sz="0" w:space="0" w:color="auto"/>
                <w:left w:val="none" w:sz="0" w:space="0" w:color="auto"/>
                <w:bottom w:val="none" w:sz="0" w:space="0" w:color="auto"/>
                <w:right w:val="none" w:sz="0" w:space="0" w:color="auto"/>
              </w:divBdr>
            </w:div>
            <w:div w:id="1410351404">
              <w:marLeft w:val="0"/>
              <w:marRight w:val="0"/>
              <w:marTop w:val="0"/>
              <w:marBottom w:val="240"/>
              <w:divBdr>
                <w:top w:val="none" w:sz="0" w:space="0" w:color="auto"/>
                <w:left w:val="none" w:sz="0" w:space="0" w:color="auto"/>
                <w:bottom w:val="none" w:sz="0" w:space="0" w:color="auto"/>
                <w:right w:val="none" w:sz="0" w:space="0" w:color="auto"/>
              </w:divBdr>
            </w:div>
            <w:div w:id="1075779041">
              <w:marLeft w:val="0"/>
              <w:marRight w:val="0"/>
              <w:marTop w:val="0"/>
              <w:marBottom w:val="240"/>
              <w:divBdr>
                <w:top w:val="none" w:sz="0" w:space="0" w:color="auto"/>
                <w:left w:val="none" w:sz="0" w:space="0" w:color="auto"/>
                <w:bottom w:val="none" w:sz="0" w:space="0" w:color="auto"/>
                <w:right w:val="none" w:sz="0" w:space="0" w:color="auto"/>
              </w:divBdr>
            </w:div>
            <w:div w:id="1522666344">
              <w:marLeft w:val="0"/>
              <w:marRight w:val="0"/>
              <w:marTop w:val="0"/>
              <w:marBottom w:val="240"/>
              <w:divBdr>
                <w:top w:val="none" w:sz="0" w:space="0" w:color="auto"/>
                <w:left w:val="none" w:sz="0" w:space="0" w:color="auto"/>
                <w:bottom w:val="none" w:sz="0" w:space="0" w:color="auto"/>
                <w:right w:val="none" w:sz="0" w:space="0" w:color="auto"/>
              </w:divBdr>
            </w:div>
            <w:div w:id="523636185">
              <w:marLeft w:val="0"/>
              <w:marRight w:val="0"/>
              <w:marTop w:val="0"/>
              <w:marBottom w:val="240"/>
              <w:divBdr>
                <w:top w:val="none" w:sz="0" w:space="0" w:color="auto"/>
                <w:left w:val="none" w:sz="0" w:space="0" w:color="auto"/>
                <w:bottom w:val="none" w:sz="0" w:space="0" w:color="auto"/>
                <w:right w:val="none" w:sz="0" w:space="0" w:color="auto"/>
              </w:divBdr>
            </w:div>
            <w:div w:id="934560271">
              <w:marLeft w:val="0"/>
              <w:marRight w:val="0"/>
              <w:marTop w:val="0"/>
              <w:marBottom w:val="240"/>
              <w:divBdr>
                <w:top w:val="none" w:sz="0" w:space="0" w:color="auto"/>
                <w:left w:val="none" w:sz="0" w:space="0" w:color="auto"/>
                <w:bottom w:val="none" w:sz="0" w:space="0" w:color="auto"/>
                <w:right w:val="none" w:sz="0" w:space="0" w:color="auto"/>
              </w:divBdr>
            </w:div>
            <w:div w:id="1539708851">
              <w:marLeft w:val="0"/>
              <w:marRight w:val="0"/>
              <w:marTop w:val="0"/>
              <w:marBottom w:val="240"/>
              <w:divBdr>
                <w:top w:val="none" w:sz="0" w:space="0" w:color="auto"/>
                <w:left w:val="none" w:sz="0" w:space="0" w:color="auto"/>
                <w:bottom w:val="none" w:sz="0" w:space="0" w:color="auto"/>
                <w:right w:val="none" w:sz="0" w:space="0" w:color="auto"/>
              </w:divBdr>
            </w:div>
            <w:div w:id="1131291052">
              <w:marLeft w:val="0"/>
              <w:marRight w:val="0"/>
              <w:marTop w:val="0"/>
              <w:marBottom w:val="240"/>
              <w:divBdr>
                <w:top w:val="none" w:sz="0" w:space="0" w:color="auto"/>
                <w:left w:val="none" w:sz="0" w:space="0" w:color="auto"/>
                <w:bottom w:val="none" w:sz="0" w:space="0" w:color="auto"/>
                <w:right w:val="none" w:sz="0" w:space="0" w:color="auto"/>
              </w:divBdr>
            </w:div>
            <w:div w:id="1475217089">
              <w:marLeft w:val="0"/>
              <w:marRight w:val="0"/>
              <w:marTop w:val="0"/>
              <w:marBottom w:val="240"/>
              <w:divBdr>
                <w:top w:val="none" w:sz="0" w:space="0" w:color="auto"/>
                <w:left w:val="none" w:sz="0" w:space="0" w:color="auto"/>
                <w:bottom w:val="none" w:sz="0" w:space="0" w:color="auto"/>
                <w:right w:val="none" w:sz="0" w:space="0" w:color="auto"/>
              </w:divBdr>
            </w:div>
            <w:div w:id="924343077">
              <w:marLeft w:val="0"/>
              <w:marRight w:val="0"/>
              <w:marTop w:val="0"/>
              <w:marBottom w:val="240"/>
              <w:divBdr>
                <w:top w:val="none" w:sz="0" w:space="0" w:color="auto"/>
                <w:left w:val="none" w:sz="0" w:space="0" w:color="auto"/>
                <w:bottom w:val="none" w:sz="0" w:space="0" w:color="auto"/>
                <w:right w:val="none" w:sz="0" w:space="0" w:color="auto"/>
              </w:divBdr>
            </w:div>
            <w:div w:id="1042051495">
              <w:marLeft w:val="0"/>
              <w:marRight w:val="0"/>
              <w:marTop w:val="0"/>
              <w:marBottom w:val="240"/>
              <w:divBdr>
                <w:top w:val="none" w:sz="0" w:space="0" w:color="auto"/>
                <w:left w:val="none" w:sz="0" w:space="0" w:color="auto"/>
                <w:bottom w:val="none" w:sz="0" w:space="0" w:color="auto"/>
                <w:right w:val="none" w:sz="0" w:space="0" w:color="auto"/>
              </w:divBdr>
            </w:div>
            <w:div w:id="1233009793">
              <w:marLeft w:val="0"/>
              <w:marRight w:val="0"/>
              <w:marTop w:val="0"/>
              <w:marBottom w:val="240"/>
              <w:divBdr>
                <w:top w:val="none" w:sz="0" w:space="0" w:color="auto"/>
                <w:left w:val="none" w:sz="0" w:space="0" w:color="auto"/>
                <w:bottom w:val="none" w:sz="0" w:space="0" w:color="auto"/>
                <w:right w:val="none" w:sz="0" w:space="0" w:color="auto"/>
              </w:divBdr>
            </w:div>
            <w:div w:id="845025420">
              <w:marLeft w:val="0"/>
              <w:marRight w:val="0"/>
              <w:marTop w:val="0"/>
              <w:marBottom w:val="240"/>
              <w:divBdr>
                <w:top w:val="none" w:sz="0" w:space="0" w:color="auto"/>
                <w:left w:val="none" w:sz="0" w:space="0" w:color="auto"/>
                <w:bottom w:val="none" w:sz="0" w:space="0" w:color="auto"/>
                <w:right w:val="none" w:sz="0" w:space="0" w:color="auto"/>
              </w:divBdr>
            </w:div>
            <w:div w:id="1336684341">
              <w:marLeft w:val="0"/>
              <w:marRight w:val="0"/>
              <w:marTop w:val="0"/>
              <w:marBottom w:val="240"/>
              <w:divBdr>
                <w:top w:val="none" w:sz="0" w:space="0" w:color="auto"/>
                <w:left w:val="none" w:sz="0" w:space="0" w:color="auto"/>
                <w:bottom w:val="none" w:sz="0" w:space="0" w:color="auto"/>
                <w:right w:val="none" w:sz="0" w:space="0" w:color="auto"/>
              </w:divBdr>
            </w:div>
            <w:div w:id="608320275">
              <w:marLeft w:val="0"/>
              <w:marRight w:val="0"/>
              <w:marTop w:val="0"/>
              <w:marBottom w:val="240"/>
              <w:divBdr>
                <w:top w:val="none" w:sz="0" w:space="0" w:color="auto"/>
                <w:left w:val="none" w:sz="0" w:space="0" w:color="auto"/>
                <w:bottom w:val="none" w:sz="0" w:space="0" w:color="auto"/>
                <w:right w:val="none" w:sz="0" w:space="0" w:color="auto"/>
              </w:divBdr>
            </w:div>
            <w:div w:id="1418207580">
              <w:marLeft w:val="0"/>
              <w:marRight w:val="0"/>
              <w:marTop w:val="0"/>
              <w:marBottom w:val="240"/>
              <w:divBdr>
                <w:top w:val="none" w:sz="0" w:space="0" w:color="auto"/>
                <w:left w:val="none" w:sz="0" w:space="0" w:color="auto"/>
                <w:bottom w:val="none" w:sz="0" w:space="0" w:color="auto"/>
                <w:right w:val="none" w:sz="0" w:space="0" w:color="auto"/>
              </w:divBdr>
            </w:div>
            <w:div w:id="1398630665">
              <w:marLeft w:val="0"/>
              <w:marRight w:val="0"/>
              <w:marTop w:val="0"/>
              <w:marBottom w:val="240"/>
              <w:divBdr>
                <w:top w:val="none" w:sz="0" w:space="0" w:color="auto"/>
                <w:left w:val="none" w:sz="0" w:space="0" w:color="auto"/>
                <w:bottom w:val="none" w:sz="0" w:space="0" w:color="auto"/>
                <w:right w:val="none" w:sz="0" w:space="0" w:color="auto"/>
              </w:divBdr>
            </w:div>
            <w:div w:id="617494120">
              <w:marLeft w:val="0"/>
              <w:marRight w:val="0"/>
              <w:marTop w:val="0"/>
              <w:marBottom w:val="240"/>
              <w:divBdr>
                <w:top w:val="none" w:sz="0" w:space="0" w:color="auto"/>
                <w:left w:val="none" w:sz="0" w:space="0" w:color="auto"/>
                <w:bottom w:val="none" w:sz="0" w:space="0" w:color="auto"/>
                <w:right w:val="none" w:sz="0" w:space="0" w:color="auto"/>
              </w:divBdr>
            </w:div>
            <w:div w:id="1315253255">
              <w:marLeft w:val="0"/>
              <w:marRight w:val="0"/>
              <w:marTop w:val="0"/>
              <w:marBottom w:val="240"/>
              <w:divBdr>
                <w:top w:val="none" w:sz="0" w:space="0" w:color="auto"/>
                <w:left w:val="none" w:sz="0" w:space="0" w:color="auto"/>
                <w:bottom w:val="none" w:sz="0" w:space="0" w:color="auto"/>
                <w:right w:val="none" w:sz="0" w:space="0" w:color="auto"/>
              </w:divBdr>
            </w:div>
            <w:div w:id="730159119">
              <w:marLeft w:val="0"/>
              <w:marRight w:val="0"/>
              <w:marTop w:val="0"/>
              <w:marBottom w:val="240"/>
              <w:divBdr>
                <w:top w:val="none" w:sz="0" w:space="0" w:color="auto"/>
                <w:left w:val="none" w:sz="0" w:space="0" w:color="auto"/>
                <w:bottom w:val="none" w:sz="0" w:space="0" w:color="auto"/>
                <w:right w:val="none" w:sz="0" w:space="0" w:color="auto"/>
              </w:divBdr>
            </w:div>
            <w:div w:id="1736510085">
              <w:marLeft w:val="0"/>
              <w:marRight w:val="0"/>
              <w:marTop w:val="0"/>
              <w:marBottom w:val="240"/>
              <w:divBdr>
                <w:top w:val="none" w:sz="0" w:space="0" w:color="auto"/>
                <w:left w:val="none" w:sz="0" w:space="0" w:color="auto"/>
                <w:bottom w:val="none" w:sz="0" w:space="0" w:color="auto"/>
                <w:right w:val="none" w:sz="0" w:space="0" w:color="auto"/>
              </w:divBdr>
            </w:div>
            <w:div w:id="514729633">
              <w:marLeft w:val="0"/>
              <w:marRight w:val="0"/>
              <w:marTop w:val="0"/>
              <w:marBottom w:val="240"/>
              <w:divBdr>
                <w:top w:val="none" w:sz="0" w:space="0" w:color="auto"/>
                <w:left w:val="none" w:sz="0" w:space="0" w:color="auto"/>
                <w:bottom w:val="none" w:sz="0" w:space="0" w:color="auto"/>
                <w:right w:val="none" w:sz="0" w:space="0" w:color="auto"/>
              </w:divBdr>
            </w:div>
            <w:div w:id="1949852748">
              <w:marLeft w:val="0"/>
              <w:marRight w:val="0"/>
              <w:marTop w:val="0"/>
              <w:marBottom w:val="240"/>
              <w:divBdr>
                <w:top w:val="none" w:sz="0" w:space="0" w:color="auto"/>
                <w:left w:val="none" w:sz="0" w:space="0" w:color="auto"/>
                <w:bottom w:val="none" w:sz="0" w:space="0" w:color="auto"/>
                <w:right w:val="none" w:sz="0" w:space="0" w:color="auto"/>
              </w:divBdr>
            </w:div>
            <w:div w:id="1740833300">
              <w:marLeft w:val="0"/>
              <w:marRight w:val="0"/>
              <w:marTop w:val="0"/>
              <w:marBottom w:val="240"/>
              <w:divBdr>
                <w:top w:val="none" w:sz="0" w:space="0" w:color="auto"/>
                <w:left w:val="none" w:sz="0" w:space="0" w:color="auto"/>
                <w:bottom w:val="none" w:sz="0" w:space="0" w:color="auto"/>
                <w:right w:val="none" w:sz="0" w:space="0" w:color="auto"/>
              </w:divBdr>
            </w:div>
            <w:div w:id="1262228076">
              <w:marLeft w:val="0"/>
              <w:marRight w:val="0"/>
              <w:marTop w:val="0"/>
              <w:marBottom w:val="240"/>
              <w:divBdr>
                <w:top w:val="none" w:sz="0" w:space="0" w:color="auto"/>
                <w:left w:val="none" w:sz="0" w:space="0" w:color="auto"/>
                <w:bottom w:val="none" w:sz="0" w:space="0" w:color="auto"/>
                <w:right w:val="none" w:sz="0" w:space="0" w:color="auto"/>
              </w:divBdr>
            </w:div>
            <w:div w:id="1199514138">
              <w:marLeft w:val="0"/>
              <w:marRight w:val="0"/>
              <w:marTop w:val="0"/>
              <w:marBottom w:val="240"/>
              <w:divBdr>
                <w:top w:val="none" w:sz="0" w:space="0" w:color="auto"/>
                <w:left w:val="none" w:sz="0" w:space="0" w:color="auto"/>
                <w:bottom w:val="none" w:sz="0" w:space="0" w:color="auto"/>
                <w:right w:val="none" w:sz="0" w:space="0" w:color="auto"/>
              </w:divBdr>
            </w:div>
            <w:div w:id="1074812645">
              <w:marLeft w:val="0"/>
              <w:marRight w:val="0"/>
              <w:marTop w:val="0"/>
              <w:marBottom w:val="240"/>
              <w:divBdr>
                <w:top w:val="none" w:sz="0" w:space="0" w:color="auto"/>
                <w:left w:val="none" w:sz="0" w:space="0" w:color="auto"/>
                <w:bottom w:val="none" w:sz="0" w:space="0" w:color="auto"/>
                <w:right w:val="none" w:sz="0" w:space="0" w:color="auto"/>
              </w:divBdr>
            </w:div>
            <w:div w:id="906257540">
              <w:marLeft w:val="0"/>
              <w:marRight w:val="0"/>
              <w:marTop w:val="0"/>
              <w:marBottom w:val="240"/>
              <w:divBdr>
                <w:top w:val="none" w:sz="0" w:space="0" w:color="auto"/>
                <w:left w:val="none" w:sz="0" w:space="0" w:color="auto"/>
                <w:bottom w:val="none" w:sz="0" w:space="0" w:color="auto"/>
                <w:right w:val="none" w:sz="0" w:space="0" w:color="auto"/>
              </w:divBdr>
            </w:div>
            <w:div w:id="1101417208">
              <w:marLeft w:val="0"/>
              <w:marRight w:val="0"/>
              <w:marTop w:val="0"/>
              <w:marBottom w:val="240"/>
              <w:divBdr>
                <w:top w:val="none" w:sz="0" w:space="0" w:color="auto"/>
                <w:left w:val="none" w:sz="0" w:space="0" w:color="auto"/>
                <w:bottom w:val="none" w:sz="0" w:space="0" w:color="auto"/>
                <w:right w:val="none" w:sz="0" w:space="0" w:color="auto"/>
              </w:divBdr>
            </w:div>
            <w:div w:id="897086541">
              <w:marLeft w:val="0"/>
              <w:marRight w:val="0"/>
              <w:marTop w:val="0"/>
              <w:marBottom w:val="240"/>
              <w:divBdr>
                <w:top w:val="none" w:sz="0" w:space="0" w:color="auto"/>
                <w:left w:val="none" w:sz="0" w:space="0" w:color="auto"/>
                <w:bottom w:val="none" w:sz="0" w:space="0" w:color="auto"/>
                <w:right w:val="none" w:sz="0" w:space="0" w:color="auto"/>
              </w:divBdr>
            </w:div>
            <w:div w:id="1369069675">
              <w:marLeft w:val="0"/>
              <w:marRight w:val="0"/>
              <w:marTop w:val="0"/>
              <w:marBottom w:val="240"/>
              <w:divBdr>
                <w:top w:val="none" w:sz="0" w:space="0" w:color="auto"/>
                <w:left w:val="none" w:sz="0" w:space="0" w:color="auto"/>
                <w:bottom w:val="none" w:sz="0" w:space="0" w:color="auto"/>
                <w:right w:val="none" w:sz="0" w:space="0" w:color="auto"/>
              </w:divBdr>
            </w:div>
            <w:div w:id="779689098">
              <w:marLeft w:val="0"/>
              <w:marRight w:val="0"/>
              <w:marTop w:val="0"/>
              <w:marBottom w:val="240"/>
              <w:divBdr>
                <w:top w:val="none" w:sz="0" w:space="0" w:color="auto"/>
                <w:left w:val="none" w:sz="0" w:space="0" w:color="auto"/>
                <w:bottom w:val="none" w:sz="0" w:space="0" w:color="auto"/>
                <w:right w:val="none" w:sz="0" w:space="0" w:color="auto"/>
              </w:divBdr>
            </w:div>
            <w:div w:id="1719892539">
              <w:marLeft w:val="0"/>
              <w:marRight w:val="0"/>
              <w:marTop w:val="0"/>
              <w:marBottom w:val="240"/>
              <w:divBdr>
                <w:top w:val="none" w:sz="0" w:space="0" w:color="auto"/>
                <w:left w:val="none" w:sz="0" w:space="0" w:color="auto"/>
                <w:bottom w:val="none" w:sz="0" w:space="0" w:color="auto"/>
                <w:right w:val="none" w:sz="0" w:space="0" w:color="auto"/>
              </w:divBdr>
            </w:div>
            <w:div w:id="1589847353">
              <w:marLeft w:val="0"/>
              <w:marRight w:val="0"/>
              <w:marTop w:val="0"/>
              <w:marBottom w:val="240"/>
              <w:divBdr>
                <w:top w:val="none" w:sz="0" w:space="0" w:color="auto"/>
                <w:left w:val="none" w:sz="0" w:space="0" w:color="auto"/>
                <w:bottom w:val="none" w:sz="0" w:space="0" w:color="auto"/>
                <w:right w:val="none" w:sz="0" w:space="0" w:color="auto"/>
              </w:divBdr>
            </w:div>
            <w:div w:id="393629618">
              <w:marLeft w:val="0"/>
              <w:marRight w:val="0"/>
              <w:marTop w:val="0"/>
              <w:marBottom w:val="240"/>
              <w:divBdr>
                <w:top w:val="none" w:sz="0" w:space="0" w:color="auto"/>
                <w:left w:val="none" w:sz="0" w:space="0" w:color="auto"/>
                <w:bottom w:val="none" w:sz="0" w:space="0" w:color="auto"/>
                <w:right w:val="none" w:sz="0" w:space="0" w:color="auto"/>
              </w:divBdr>
            </w:div>
            <w:div w:id="1823277576">
              <w:marLeft w:val="0"/>
              <w:marRight w:val="0"/>
              <w:marTop w:val="0"/>
              <w:marBottom w:val="240"/>
              <w:divBdr>
                <w:top w:val="none" w:sz="0" w:space="0" w:color="auto"/>
                <w:left w:val="none" w:sz="0" w:space="0" w:color="auto"/>
                <w:bottom w:val="none" w:sz="0" w:space="0" w:color="auto"/>
                <w:right w:val="none" w:sz="0" w:space="0" w:color="auto"/>
              </w:divBdr>
            </w:div>
            <w:div w:id="1907451221">
              <w:marLeft w:val="0"/>
              <w:marRight w:val="0"/>
              <w:marTop w:val="0"/>
              <w:marBottom w:val="240"/>
              <w:divBdr>
                <w:top w:val="none" w:sz="0" w:space="0" w:color="auto"/>
                <w:left w:val="none" w:sz="0" w:space="0" w:color="auto"/>
                <w:bottom w:val="none" w:sz="0" w:space="0" w:color="auto"/>
                <w:right w:val="none" w:sz="0" w:space="0" w:color="auto"/>
              </w:divBdr>
            </w:div>
            <w:div w:id="350954993">
              <w:marLeft w:val="0"/>
              <w:marRight w:val="0"/>
              <w:marTop w:val="0"/>
              <w:marBottom w:val="240"/>
              <w:divBdr>
                <w:top w:val="none" w:sz="0" w:space="0" w:color="auto"/>
                <w:left w:val="none" w:sz="0" w:space="0" w:color="auto"/>
                <w:bottom w:val="none" w:sz="0" w:space="0" w:color="auto"/>
                <w:right w:val="none" w:sz="0" w:space="0" w:color="auto"/>
              </w:divBdr>
            </w:div>
            <w:div w:id="752628703">
              <w:marLeft w:val="0"/>
              <w:marRight w:val="0"/>
              <w:marTop w:val="0"/>
              <w:marBottom w:val="240"/>
              <w:divBdr>
                <w:top w:val="none" w:sz="0" w:space="0" w:color="auto"/>
                <w:left w:val="none" w:sz="0" w:space="0" w:color="auto"/>
                <w:bottom w:val="none" w:sz="0" w:space="0" w:color="auto"/>
                <w:right w:val="none" w:sz="0" w:space="0" w:color="auto"/>
              </w:divBdr>
            </w:div>
            <w:div w:id="2027246589">
              <w:marLeft w:val="0"/>
              <w:marRight w:val="0"/>
              <w:marTop w:val="0"/>
              <w:marBottom w:val="240"/>
              <w:divBdr>
                <w:top w:val="none" w:sz="0" w:space="0" w:color="auto"/>
                <w:left w:val="none" w:sz="0" w:space="0" w:color="auto"/>
                <w:bottom w:val="none" w:sz="0" w:space="0" w:color="auto"/>
                <w:right w:val="none" w:sz="0" w:space="0" w:color="auto"/>
              </w:divBdr>
            </w:div>
            <w:div w:id="662203038">
              <w:marLeft w:val="0"/>
              <w:marRight w:val="0"/>
              <w:marTop w:val="0"/>
              <w:marBottom w:val="240"/>
              <w:divBdr>
                <w:top w:val="none" w:sz="0" w:space="0" w:color="auto"/>
                <w:left w:val="none" w:sz="0" w:space="0" w:color="auto"/>
                <w:bottom w:val="none" w:sz="0" w:space="0" w:color="auto"/>
                <w:right w:val="none" w:sz="0" w:space="0" w:color="auto"/>
              </w:divBdr>
            </w:div>
            <w:div w:id="1354577630">
              <w:marLeft w:val="0"/>
              <w:marRight w:val="0"/>
              <w:marTop w:val="0"/>
              <w:marBottom w:val="240"/>
              <w:divBdr>
                <w:top w:val="none" w:sz="0" w:space="0" w:color="auto"/>
                <w:left w:val="none" w:sz="0" w:space="0" w:color="auto"/>
                <w:bottom w:val="none" w:sz="0" w:space="0" w:color="auto"/>
                <w:right w:val="none" w:sz="0" w:space="0" w:color="auto"/>
              </w:divBdr>
            </w:div>
            <w:div w:id="1747729401">
              <w:marLeft w:val="0"/>
              <w:marRight w:val="0"/>
              <w:marTop w:val="0"/>
              <w:marBottom w:val="240"/>
              <w:divBdr>
                <w:top w:val="none" w:sz="0" w:space="0" w:color="auto"/>
                <w:left w:val="none" w:sz="0" w:space="0" w:color="auto"/>
                <w:bottom w:val="none" w:sz="0" w:space="0" w:color="auto"/>
                <w:right w:val="none" w:sz="0" w:space="0" w:color="auto"/>
              </w:divBdr>
            </w:div>
            <w:div w:id="1294169351">
              <w:marLeft w:val="0"/>
              <w:marRight w:val="0"/>
              <w:marTop w:val="0"/>
              <w:marBottom w:val="240"/>
              <w:divBdr>
                <w:top w:val="none" w:sz="0" w:space="0" w:color="auto"/>
                <w:left w:val="none" w:sz="0" w:space="0" w:color="auto"/>
                <w:bottom w:val="none" w:sz="0" w:space="0" w:color="auto"/>
                <w:right w:val="none" w:sz="0" w:space="0" w:color="auto"/>
              </w:divBdr>
            </w:div>
            <w:div w:id="1262370905">
              <w:marLeft w:val="0"/>
              <w:marRight w:val="0"/>
              <w:marTop w:val="0"/>
              <w:marBottom w:val="240"/>
              <w:divBdr>
                <w:top w:val="none" w:sz="0" w:space="0" w:color="auto"/>
                <w:left w:val="none" w:sz="0" w:space="0" w:color="auto"/>
                <w:bottom w:val="none" w:sz="0" w:space="0" w:color="auto"/>
                <w:right w:val="none" w:sz="0" w:space="0" w:color="auto"/>
              </w:divBdr>
            </w:div>
            <w:div w:id="1011956767">
              <w:marLeft w:val="0"/>
              <w:marRight w:val="0"/>
              <w:marTop w:val="0"/>
              <w:marBottom w:val="240"/>
              <w:divBdr>
                <w:top w:val="none" w:sz="0" w:space="0" w:color="auto"/>
                <w:left w:val="none" w:sz="0" w:space="0" w:color="auto"/>
                <w:bottom w:val="none" w:sz="0" w:space="0" w:color="auto"/>
                <w:right w:val="none" w:sz="0" w:space="0" w:color="auto"/>
              </w:divBdr>
            </w:div>
            <w:div w:id="170147912">
              <w:marLeft w:val="0"/>
              <w:marRight w:val="0"/>
              <w:marTop w:val="0"/>
              <w:marBottom w:val="240"/>
              <w:divBdr>
                <w:top w:val="none" w:sz="0" w:space="0" w:color="auto"/>
                <w:left w:val="none" w:sz="0" w:space="0" w:color="auto"/>
                <w:bottom w:val="none" w:sz="0" w:space="0" w:color="auto"/>
                <w:right w:val="none" w:sz="0" w:space="0" w:color="auto"/>
              </w:divBdr>
            </w:div>
            <w:div w:id="807432227">
              <w:marLeft w:val="0"/>
              <w:marRight w:val="0"/>
              <w:marTop w:val="0"/>
              <w:marBottom w:val="240"/>
              <w:divBdr>
                <w:top w:val="none" w:sz="0" w:space="0" w:color="auto"/>
                <w:left w:val="none" w:sz="0" w:space="0" w:color="auto"/>
                <w:bottom w:val="none" w:sz="0" w:space="0" w:color="auto"/>
                <w:right w:val="none" w:sz="0" w:space="0" w:color="auto"/>
              </w:divBdr>
            </w:div>
            <w:div w:id="444009339">
              <w:marLeft w:val="0"/>
              <w:marRight w:val="0"/>
              <w:marTop w:val="0"/>
              <w:marBottom w:val="240"/>
              <w:divBdr>
                <w:top w:val="none" w:sz="0" w:space="0" w:color="auto"/>
                <w:left w:val="none" w:sz="0" w:space="0" w:color="auto"/>
                <w:bottom w:val="none" w:sz="0" w:space="0" w:color="auto"/>
                <w:right w:val="none" w:sz="0" w:space="0" w:color="auto"/>
              </w:divBdr>
            </w:div>
            <w:div w:id="149294860">
              <w:marLeft w:val="0"/>
              <w:marRight w:val="0"/>
              <w:marTop w:val="0"/>
              <w:marBottom w:val="240"/>
              <w:divBdr>
                <w:top w:val="none" w:sz="0" w:space="0" w:color="auto"/>
                <w:left w:val="none" w:sz="0" w:space="0" w:color="auto"/>
                <w:bottom w:val="none" w:sz="0" w:space="0" w:color="auto"/>
                <w:right w:val="none" w:sz="0" w:space="0" w:color="auto"/>
              </w:divBdr>
            </w:div>
            <w:div w:id="1405033496">
              <w:marLeft w:val="0"/>
              <w:marRight w:val="0"/>
              <w:marTop w:val="0"/>
              <w:marBottom w:val="240"/>
              <w:divBdr>
                <w:top w:val="none" w:sz="0" w:space="0" w:color="auto"/>
                <w:left w:val="none" w:sz="0" w:space="0" w:color="auto"/>
                <w:bottom w:val="none" w:sz="0" w:space="0" w:color="auto"/>
                <w:right w:val="none" w:sz="0" w:space="0" w:color="auto"/>
              </w:divBdr>
            </w:div>
            <w:div w:id="1540387378">
              <w:marLeft w:val="0"/>
              <w:marRight w:val="0"/>
              <w:marTop w:val="0"/>
              <w:marBottom w:val="240"/>
              <w:divBdr>
                <w:top w:val="none" w:sz="0" w:space="0" w:color="auto"/>
                <w:left w:val="none" w:sz="0" w:space="0" w:color="auto"/>
                <w:bottom w:val="none" w:sz="0" w:space="0" w:color="auto"/>
                <w:right w:val="none" w:sz="0" w:space="0" w:color="auto"/>
              </w:divBdr>
            </w:div>
            <w:div w:id="623511143">
              <w:marLeft w:val="0"/>
              <w:marRight w:val="0"/>
              <w:marTop w:val="0"/>
              <w:marBottom w:val="240"/>
              <w:divBdr>
                <w:top w:val="none" w:sz="0" w:space="0" w:color="auto"/>
                <w:left w:val="none" w:sz="0" w:space="0" w:color="auto"/>
                <w:bottom w:val="none" w:sz="0" w:space="0" w:color="auto"/>
                <w:right w:val="none" w:sz="0" w:space="0" w:color="auto"/>
              </w:divBdr>
            </w:div>
            <w:div w:id="782530074">
              <w:marLeft w:val="0"/>
              <w:marRight w:val="0"/>
              <w:marTop w:val="0"/>
              <w:marBottom w:val="240"/>
              <w:divBdr>
                <w:top w:val="none" w:sz="0" w:space="0" w:color="auto"/>
                <w:left w:val="none" w:sz="0" w:space="0" w:color="auto"/>
                <w:bottom w:val="none" w:sz="0" w:space="0" w:color="auto"/>
                <w:right w:val="none" w:sz="0" w:space="0" w:color="auto"/>
              </w:divBdr>
            </w:div>
            <w:div w:id="1621373118">
              <w:marLeft w:val="0"/>
              <w:marRight w:val="0"/>
              <w:marTop w:val="0"/>
              <w:marBottom w:val="240"/>
              <w:divBdr>
                <w:top w:val="none" w:sz="0" w:space="0" w:color="auto"/>
                <w:left w:val="none" w:sz="0" w:space="0" w:color="auto"/>
                <w:bottom w:val="none" w:sz="0" w:space="0" w:color="auto"/>
                <w:right w:val="none" w:sz="0" w:space="0" w:color="auto"/>
              </w:divBdr>
            </w:div>
            <w:div w:id="2139639166">
              <w:marLeft w:val="0"/>
              <w:marRight w:val="0"/>
              <w:marTop w:val="0"/>
              <w:marBottom w:val="240"/>
              <w:divBdr>
                <w:top w:val="none" w:sz="0" w:space="0" w:color="auto"/>
                <w:left w:val="none" w:sz="0" w:space="0" w:color="auto"/>
                <w:bottom w:val="none" w:sz="0" w:space="0" w:color="auto"/>
                <w:right w:val="none" w:sz="0" w:space="0" w:color="auto"/>
              </w:divBdr>
            </w:div>
            <w:div w:id="1976249992">
              <w:marLeft w:val="0"/>
              <w:marRight w:val="0"/>
              <w:marTop w:val="0"/>
              <w:marBottom w:val="240"/>
              <w:divBdr>
                <w:top w:val="none" w:sz="0" w:space="0" w:color="auto"/>
                <w:left w:val="none" w:sz="0" w:space="0" w:color="auto"/>
                <w:bottom w:val="none" w:sz="0" w:space="0" w:color="auto"/>
                <w:right w:val="none" w:sz="0" w:space="0" w:color="auto"/>
              </w:divBdr>
            </w:div>
            <w:div w:id="478501869">
              <w:marLeft w:val="0"/>
              <w:marRight w:val="0"/>
              <w:marTop w:val="0"/>
              <w:marBottom w:val="240"/>
              <w:divBdr>
                <w:top w:val="none" w:sz="0" w:space="0" w:color="auto"/>
                <w:left w:val="none" w:sz="0" w:space="0" w:color="auto"/>
                <w:bottom w:val="none" w:sz="0" w:space="0" w:color="auto"/>
                <w:right w:val="none" w:sz="0" w:space="0" w:color="auto"/>
              </w:divBdr>
            </w:div>
            <w:div w:id="1139541947">
              <w:marLeft w:val="0"/>
              <w:marRight w:val="0"/>
              <w:marTop w:val="0"/>
              <w:marBottom w:val="240"/>
              <w:divBdr>
                <w:top w:val="none" w:sz="0" w:space="0" w:color="auto"/>
                <w:left w:val="none" w:sz="0" w:space="0" w:color="auto"/>
                <w:bottom w:val="none" w:sz="0" w:space="0" w:color="auto"/>
                <w:right w:val="none" w:sz="0" w:space="0" w:color="auto"/>
              </w:divBdr>
            </w:div>
            <w:div w:id="511409846">
              <w:marLeft w:val="0"/>
              <w:marRight w:val="0"/>
              <w:marTop w:val="0"/>
              <w:marBottom w:val="240"/>
              <w:divBdr>
                <w:top w:val="none" w:sz="0" w:space="0" w:color="auto"/>
                <w:left w:val="none" w:sz="0" w:space="0" w:color="auto"/>
                <w:bottom w:val="none" w:sz="0" w:space="0" w:color="auto"/>
                <w:right w:val="none" w:sz="0" w:space="0" w:color="auto"/>
              </w:divBdr>
            </w:div>
            <w:div w:id="1110734143">
              <w:marLeft w:val="0"/>
              <w:marRight w:val="0"/>
              <w:marTop w:val="0"/>
              <w:marBottom w:val="240"/>
              <w:divBdr>
                <w:top w:val="none" w:sz="0" w:space="0" w:color="auto"/>
                <w:left w:val="none" w:sz="0" w:space="0" w:color="auto"/>
                <w:bottom w:val="none" w:sz="0" w:space="0" w:color="auto"/>
                <w:right w:val="none" w:sz="0" w:space="0" w:color="auto"/>
              </w:divBdr>
            </w:div>
            <w:div w:id="726073629">
              <w:marLeft w:val="0"/>
              <w:marRight w:val="0"/>
              <w:marTop w:val="0"/>
              <w:marBottom w:val="240"/>
              <w:divBdr>
                <w:top w:val="none" w:sz="0" w:space="0" w:color="auto"/>
                <w:left w:val="none" w:sz="0" w:space="0" w:color="auto"/>
                <w:bottom w:val="none" w:sz="0" w:space="0" w:color="auto"/>
                <w:right w:val="none" w:sz="0" w:space="0" w:color="auto"/>
              </w:divBdr>
            </w:div>
            <w:div w:id="769860889">
              <w:marLeft w:val="0"/>
              <w:marRight w:val="0"/>
              <w:marTop w:val="0"/>
              <w:marBottom w:val="240"/>
              <w:divBdr>
                <w:top w:val="none" w:sz="0" w:space="0" w:color="auto"/>
                <w:left w:val="none" w:sz="0" w:space="0" w:color="auto"/>
                <w:bottom w:val="none" w:sz="0" w:space="0" w:color="auto"/>
                <w:right w:val="none" w:sz="0" w:space="0" w:color="auto"/>
              </w:divBdr>
            </w:div>
            <w:div w:id="1420369989">
              <w:marLeft w:val="0"/>
              <w:marRight w:val="0"/>
              <w:marTop w:val="0"/>
              <w:marBottom w:val="240"/>
              <w:divBdr>
                <w:top w:val="none" w:sz="0" w:space="0" w:color="auto"/>
                <w:left w:val="none" w:sz="0" w:space="0" w:color="auto"/>
                <w:bottom w:val="none" w:sz="0" w:space="0" w:color="auto"/>
                <w:right w:val="none" w:sz="0" w:space="0" w:color="auto"/>
              </w:divBdr>
            </w:div>
            <w:div w:id="5445548">
              <w:marLeft w:val="0"/>
              <w:marRight w:val="0"/>
              <w:marTop w:val="0"/>
              <w:marBottom w:val="240"/>
              <w:divBdr>
                <w:top w:val="none" w:sz="0" w:space="0" w:color="auto"/>
                <w:left w:val="none" w:sz="0" w:space="0" w:color="auto"/>
                <w:bottom w:val="none" w:sz="0" w:space="0" w:color="auto"/>
                <w:right w:val="none" w:sz="0" w:space="0" w:color="auto"/>
              </w:divBdr>
            </w:div>
            <w:div w:id="588005443">
              <w:marLeft w:val="0"/>
              <w:marRight w:val="0"/>
              <w:marTop w:val="0"/>
              <w:marBottom w:val="240"/>
              <w:divBdr>
                <w:top w:val="none" w:sz="0" w:space="0" w:color="auto"/>
                <w:left w:val="none" w:sz="0" w:space="0" w:color="auto"/>
                <w:bottom w:val="none" w:sz="0" w:space="0" w:color="auto"/>
                <w:right w:val="none" w:sz="0" w:space="0" w:color="auto"/>
              </w:divBdr>
            </w:div>
            <w:div w:id="1952273666">
              <w:marLeft w:val="0"/>
              <w:marRight w:val="0"/>
              <w:marTop w:val="0"/>
              <w:marBottom w:val="240"/>
              <w:divBdr>
                <w:top w:val="none" w:sz="0" w:space="0" w:color="auto"/>
                <w:left w:val="none" w:sz="0" w:space="0" w:color="auto"/>
                <w:bottom w:val="none" w:sz="0" w:space="0" w:color="auto"/>
                <w:right w:val="none" w:sz="0" w:space="0" w:color="auto"/>
              </w:divBdr>
            </w:div>
            <w:div w:id="1160149417">
              <w:marLeft w:val="0"/>
              <w:marRight w:val="0"/>
              <w:marTop w:val="0"/>
              <w:marBottom w:val="240"/>
              <w:divBdr>
                <w:top w:val="none" w:sz="0" w:space="0" w:color="auto"/>
                <w:left w:val="none" w:sz="0" w:space="0" w:color="auto"/>
                <w:bottom w:val="none" w:sz="0" w:space="0" w:color="auto"/>
                <w:right w:val="none" w:sz="0" w:space="0" w:color="auto"/>
              </w:divBdr>
            </w:div>
            <w:div w:id="1868834416">
              <w:marLeft w:val="0"/>
              <w:marRight w:val="0"/>
              <w:marTop w:val="0"/>
              <w:marBottom w:val="240"/>
              <w:divBdr>
                <w:top w:val="none" w:sz="0" w:space="0" w:color="auto"/>
                <w:left w:val="none" w:sz="0" w:space="0" w:color="auto"/>
                <w:bottom w:val="none" w:sz="0" w:space="0" w:color="auto"/>
                <w:right w:val="none" w:sz="0" w:space="0" w:color="auto"/>
              </w:divBdr>
            </w:div>
            <w:div w:id="877818328">
              <w:marLeft w:val="0"/>
              <w:marRight w:val="0"/>
              <w:marTop w:val="0"/>
              <w:marBottom w:val="240"/>
              <w:divBdr>
                <w:top w:val="none" w:sz="0" w:space="0" w:color="auto"/>
                <w:left w:val="none" w:sz="0" w:space="0" w:color="auto"/>
                <w:bottom w:val="none" w:sz="0" w:space="0" w:color="auto"/>
                <w:right w:val="none" w:sz="0" w:space="0" w:color="auto"/>
              </w:divBdr>
            </w:div>
            <w:div w:id="196355565">
              <w:marLeft w:val="0"/>
              <w:marRight w:val="0"/>
              <w:marTop w:val="0"/>
              <w:marBottom w:val="240"/>
              <w:divBdr>
                <w:top w:val="none" w:sz="0" w:space="0" w:color="auto"/>
                <w:left w:val="none" w:sz="0" w:space="0" w:color="auto"/>
                <w:bottom w:val="none" w:sz="0" w:space="0" w:color="auto"/>
                <w:right w:val="none" w:sz="0" w:space="0" w:color="auto"/>
              </w:divBdr>
            </w:div>
            <w:div w:id="2023049937">
              <w:marLeft w:val="0"/>
              <w:marRight w:val="0"/>
              <w:marTop w:val="0"/>
              <w:marBottom w:val="240"/>
              <w:divBdr>
                <w:top w:val="none" w:sz="0" w:space="0" w:color="auto"/>
                <w:left w:val="none" w:sz="0" w:space="0" w:color="auto"/>
                <w:bottom w:val="none" w:sz="0" w:space="0" w:color="auto"/>
                <w:right w:val="none" w:sz="0" w:space="0" w:color="auto"/>
              </w:divBdr>
            </w:div>
            <w:div w:id="1083376912">
              <w:marLeft w:val="0"/>
              <w:marRight w:val="0"/>
              <w:marTop w:val="0"/>
              <w:marBottom w:val="240"/>
              <w:divBdr>
                <w:top w:val="none" w:sz="0" w:space="0" w:color="auto"/>
                <w:left w:val="none" w:sz="0" w:space="0" w:color="auto"/>
                <w:bottom w:val="none" w:sz="0" w:space="0" w:color="auto"/>
                <w:right w:val="none" w:sz="0" w:space="0" w:color="auto"/>
              </w:divBdr>
            </w:div>
            <w:div w:id="1084112867">
              <w:marLeft w:val="0"/>
              <w:marRight w:val="0"/>
              <w:marTop w:val="0"/>
              <w:marBottom w:val="240"/>
              <w:divBdr>
                <w:top w:val="none" w:sz="0" w:space="0" w:color="auto"/>
                <w:left w:val="none" w:sz="0" w:space="0" w:color="auto"/>
                <w:bottom w:val="none" w:sz="0" w:space="0" w:color="auto"/>
                <w:right w:val="none" w:sz="0" w:space="0" w:color="auto"/>
              </w:divBdr>
            </w:div>
            <w:div w:id="2117557408">
              <w:marLeft w:val="0"/>
              <w:marRight w:val="0"/>
              <w:marTop w:val="0"/>
              <w:marBottom w:val="240"/>
              <w:divBdr>
                <w:top w:val="none" w:sz="0" w:space="0" w:color="auto"/>
                <w:left w:val="none" w:sz="0" w:space="0" w:color="auto"/>
                <w:bottom w:val="none" w:sz="0" w:space="0" w:color="auto"/>
                <w:right w:val="none" w:sz="0" w:space="0" w:color="auto"/>
              </w:divBdr>
            </w:div>
            <w:div w:id="285233884">
              <w:marLeft w:val="0"/>
              <w:marRight w:val="0"/>
              <w:marTop w:val="0"/>
              <w:marBottom w:val="240"/>
              <w:divBdr>
                <w:top w:val="none" w:sz="0" w:space="0" w:color="auto"/>
                <w:left w:val="none" w:sz="0" w:space="0" w:color="auto"/>
                <w:bottom w:val="none" w:sz="0" w:space="0" w:color="auto"/>
                <w:right w:val="none" w:sz="0" w:space="0" w:color="auto"/>
              </w:divBdr>
            </w:div>
            <w:div w:id="1636715973">
              <w:marLeft w:val="0"/>
              <w:marRight w:val="0"/>
              <w:marTop w:val="0"/>
              <w:marBottom w:val="240"/>
              <w:divBdr>
                <w:top w:val="none" w:sz="0" w:space="0" w:color="auto"/>
                <w:left w:val="none" w:sz="0" w:space="0" w:color="auto"/>
                <w:bottom w:val="none" w:sz="0" w:space="0" w:color="auto"/>
                <w:right w:val="none" w:sz="0" w:space="0" w:color="auto"/>
              </w:divBdr>
            </w:div>
            <w:div w:id="233394753">
              <w:marLeft w:val="0"/>
              <w:marRight w:val="0"/>
              <w:marTop w:val="0"/>
              <w:marBottom w:val="240"/>
              <w:divBdr>
                <w:top w:val="none" w:sz="0" w:space="0" w:color="auto"/>
                <w:left w:val="none" w:sz="0" w:space="0" w:color="auto"/>
                <w:bottom w:val="none" w:sz="0" w:space="0" w:color="auto"/>
                <w:right w:val="none" w:sz="0" w:space="0" w:color="auto"/>
              </w:divBdr>
            </w:div>
            <w:div w:id="607854039">
              <w:marLeft w:val="0"/>
              <w:marRight w:val="0"/>
              <w:marTop w:val="0"/>
              <w:marBottom w:val="240"/>
              <w:divBdr>
                <w:top w:val="none" w:sz="0" w:space="0" w:color="auto"/>
                <w:left w:val="none" w:sz="0" w:space="0" w:color="auto"/>
                <w:bottom w:val="none" w:sz="0" w:space="0" w:color="auto"/>
                <w:right w:val="none" w:sz="0" w:space="0" w:color="auto"/>
              </w:divBdr>
            </w:div>
            <w:div w:id="1345284098">
              <w:marLeft w:val="0"/>
              <w:marRight w:val="0"/>
              <w:marTop w:val="0"/>
              <w:marBottom w:val="240"/>
              <w:divBdr>
                <w:top w:val="none" w:sz="0" w:space="0" w:color="auto"/>
                <w:left w:val="none" w:sz="0" w:space="0" w:color="auto"/>
                <w:bottom w:val="none" w:sz="0" w:space="0" w:color="auto"/>
                <w:right w:val="none" w:sz="0" w:space="0" w:color="auto"/>
              </w:divBdr>
            </w:div>
            <w:div w:id="1151754932">
              <w:marLeft w:val="0"/>
              <w:marRight w:val="0"/>
              <w:marTop w:val="0"/>
              <w:marBottom w:val="240"/>
              <w:divBdr>
                <w:top w:val="none" w:sz="0" w:space="0" w:color="auto"/>
                <w:left w:val="none" w:sz="0" w:space="0" w:color="auto"/>
                <w:bottom w:val="none" w:sz="0" w:space="0" w:color="auto"/>
                <w:right w:val="none" w:sz="0" w:space="0" w:color="auto"/>
              </w:divBdr>
            </w:div>
            <w:div w:id="817572591">
              <w:marLeft w:val="0"/>
              <w:marRight w:val="0"/>
              <w:marTop w:val="0"/>
              <w:marBottom w:val="240"/>
              <w:divBdr>
                <w:top w:val="none" w:sz="0" w:space="0" w:color="auto"/>
                <w:left w:val="none" w:sz="0" w:space="0" w:color="auto"/>
                <w:bottom w:val="none" w:sz="0" w:space="0" w:color="auto"/>
                <w:right w:val="none" w:sz="0" w:space="0" w:color="auto"/>
              </w:divBdr>
            </w:div>
            <w:div w:id="455683421">
              <w:marLeft w:val="0"/>
              <w:marRight w:val="0"/>
              <w:marTop w:val="0"/>
              <w:marBottom w:val="240"/>
              <w:divBdr>
                <w:top w:val="none" w:sz="0" w:space="0" w:color="auto"/>
                <w:left w:val="none" w:sz="0" w:space="0" w:color="auto"/>
                <w:bottom w:val="none" w:sz="0" w:space="0" w:color="auto"/>
                <w:right w:val="none" w:sz="0" w:space="0" w:color="auto"/>
              </w:divBdr>
            </w:div>
            <w:div w:id="1506213962">
              <w:marLeft w:val="0"/>
              <w:marRight w:val="0"/>
              <w:marTop w:val="0"/>
              <w:marBottom w:val="240"/>
              <w:divBdr>
                <w:top w:val="none" w:sz="0" w:space="0" w:color="auto"/>
                <w:left w:val="none" w:sz="0" w:space="0" w:color="auto"/>
                <w:bottom w:val="none" w:sz="0" w:space="0" w:color="auto"/>
                <w:right w:val="none" w:sz="0" w:space="0" w:color="auto"/>
              </w:divBdr>
            </w:div>
            <w:div w:id="363987608">
              <w:marLeft w:val="0"/>
              <w:marRight w:val="0"/>
              <w:marTop w:val="0"/>
              <w:marBottom w:val="240"/>
              <w:divBdr>
                <w:top w:val="none" w:sz="0" w:space="0" w:color="auto"/>
                <w:left w:val="none" w:sz="0" w:space="0" w:color="auto"/>
                <w:bottom w:val="none" w:sz="0" w:space="0" w:color="auto"/>
                <w:right w:val="none" w:sz="0" w:space="0" w:color="auto"/>
              </w:divBdr>
            </w:div>
            <w:div w:id="100223257">
              <w:marLeft w:val="0"/>
              <w:marRight w:val="0"/>
              <w:marTop w:val="0"/>
              <w:marBottom w:val="240"/>
              <w:divBdr>
                <w:top w:val="none" w:sz="0" w:space="0" w:color="auto"/>
                <w:left w:val="none" w:sz="0" w:space="0" w:color="auto"/>
                <w:bottom w:val="none" w:sz="0" w:space="0" w:color="auto"/>
                <w:right w:val="none" w:sz="0" w:space="0" w:color="auto"/>
              </w:divBdr>
            </w:div>
            <w:div w:id="1473062249">
              <w:marLeft w:val="0"/>
              <w:marRight w:val="0"/>
              <w:marTop w:val="0"/>
              <w:marBottom w:val="240"/>
              <w:divBdr>
                <w:top w:val="none" w:sz="0" w:space="0" w:color="auto"/>
                <w:left w:val="none" w:sz="0" w:space="0" w:color="auto"/>
                <w:bottom w:val="none" w:sz="0" w:space="0" w:color="auto"/>
                <w:right w:val="none" w:sz="0" w:space="0" w:color="auto"/>
              </w:divBdr>
            </w:div>
            <w:div w:id="1136223228">
              <w:marLeft w:val="0"/>
              <w:marRight w:val="0"/>
              <w:marTop w:val="0"/>
              <w:marBottom w:val="240"/>
              <w:divBdr>
                <w:top w:val="none" w:sz="0" w:space="0" w:color="auto"/>
                <w:left w:val="none" w:sz="0" w:space="0" w:color="auto"/>
                <w:bottom w:val="none" w:sz="0" w:space="0" w:color="auto"/>
                <w:right w:val="none" w:sz="0" w:space="0" w:color="auto"/>
              </w:divBdr>
            </w:div>
            <w:div w:id="1484541105">
              <w:marLeft w:val="0"/>
              <w:marRight w:val="0"/>
              <w:marTop w:val="0"/>
              <w:marBottom w:val="240"/>
              <w:divBdr>
                <w:top w:val="none" w:sz="0" w:space="0" w:color="auto"/>
                <w:left w:val="none" w:sz="0" w:space="0" w:color="auto"/>
                <w:bottom w:val="none" w:sz="0" w:space="0" w:color="auto"/>
                <w:right w:val="none" w:sz="0" w:space="0" w:color="auto"/>
              </w:divBdr>
            </w:div>
            <w:div w:id="1000962024">
              <w:marLeft w:val="0"/>
              <w:marRight w:val="0"/>
              <w:marTop w:val="0"/>
              <w:marBottom w:val="240"/>
              <w:divBdr>
                <w:top w:val="none" w:sz="0" w:space="0" w:color="auto"/>
                <w:left w:val="none" w:sz="0" w:space="0" w:color="auto"/>
                <w:bottom w:val="none" w:sz="0" w:space="0" w:color="auto"/>
                <w:right w:val="none" w:sz="0" w:space="0" w:color="auto"/>
              </w:divBdr>
            </w:div>
            <w:div w:id="459999205">
              <w:marLeft w:val="0"/>
              <w:marRight w:val="0"/>
              <w:marTop w:val="0"/>
              <w:marBottom w:val="240"/>
              <w:divBdr>
                <w:top w:val="none" w:sz="0" w:space="0" w:color="auto"/>
                <w:left w:val="none" w:sz="0" w:space="0" w:color="auto"/>
                <w:bottom w:val="none" w:sz="0" w:space="0" w:color="auto"/>
                <w:right w:val="none" w:sz="0" w:space="0" w:color="auto"/>
              </w:divBdr>
            </w:div>
            <w:div w:id="1899395531">
              <w:marLeft w:val="0"/>
              <w:marRight w:val="0"/>
              <w:marTop w:val="0"/>
              <w:marBottom w:val="240"/>
              <w:divBdr>
                <w:top w:val="none" w:sz="0" w:space="0" w:color="auto"/>
                <w:left w:val="none" w:sz="0" w:space="0" w:color="auto"/>
                <w:bottom w:val="none" w:sz="0" w:space="0" w:color="auto"/>
                <w:right w:val="none" w:sz="0" w:space="0" w:color="auto"/>
              </w:divBdr>
            </w:div>
            <w:div w:id="2115175620">
              <w:marLeft w:val="0"/>
              <w:marRight w:val="0"/>
              <w:marTop w:val="0"/>
              <w:marBottom w:val="240"/>
              <w:divBdr>
                <w:top w:val="none" w:sz="0" w:space="0" w:color="auto"/>
                <w:left w:val="none" w:sz="0" w:space="0" w:color="auto"/>
                <w:bottom w:val="none" w:sz="0" w:space="0" w:color="auto"/>
                <w:right w:val="none" w:sz="0" w:space="0" w:color="auto"/>
              </w:divBdr>
            </w:div>
            <w:div w:id="1683700285">
              <w:marLeft w:val="0"/>
              <w:marRight w:val="0"/>
              <w:marTop w:val="0"/>
              <w:marBottom w:val="240"/>
              <w:divBdr>
                <w:top w:val="none" w:sz="0" w:space="0" w:color="auto"/>
                <w:left w:val="none" w:sz="0" w:space="0" w:color="auto"/>
                <w:bottom w:val="none" w:sz="0" w:space="0" w:color="auto"/>
                <w:right w:val="none" w:sz="0" w:space="0" w:color="auto"/>
              </w:divBdr>
            </w:div>
            <w:div w:id="1510176628">
              <w:marLeft w:val="0"/>
              <w:marRight w:val="0"/>
              <w:marTop w:val="0"/>
              <w:marBottom w:val="240"/>
              <w:divBdr>
                <w:top w:val="none" w:sz="0" w:space="0" w:color="auto"/>
                <w:left w:val="none" w:sz="0" w:space="0" w:color="auto"/>
                <w:bottom w:val="none" w:sz="0" w:space="0" w:color="auto"/>
                <w:right w:val="none" w:sz="0" w:space="0" w:color="auto"/>
              </w:divBdr>
            </w:div>
            <w:div w:id="914971747">
              <w:marLeft w:val="0"/>
              <w:marRight w:val="0"/>
              <w:marTop w:val="0"/>
              <w:marBottom w:val="240"/>
              <w:divBdr>
                <w:top w:val="none" w:sz="0" w:space="0" w:color="auto"/>
                <w:left w:val="none" w:sz="0" w:space="0" w:color="auto"/>
                <w:bottom w:val="none" w:sz="0" w:space="0" w:color="auto"/>
                <w:right w:val="none" w:sz="0" w:space="0" w:color="auto"/>
              </w:divBdr>
            </w:div>
            <w:div w:id="1846820895">
              <w:marLeft w:val="0"/>
              <w:marRight w:val="0"/>
              <w:marTop w:val="0"/>
              <w:marBottom w:val="240"/>
              <w:divBdr>
                <w:top w:val="none" w:sz="0" w:space="0" w:color="auto"/>
                <w:left w:val="none" w:sz="0" w:space="0" w:color="auto"/>
                <w:bottom w:val="none" w:sz="0" w:space="0" w:color="auto"/>
                <w:right w:val="none" w:sz="0" w:space="0" w:color="auto"/>
              </w:divBdr>
            </w:div>
            <w:div w:id="1952928177">
              <w:marLeft w:val="0"/>
              <w:marRight w:val="0"/>
              <w:marTop w:val="0"/>
              <w:marBottom w:val="240"/>
              <w:divBdr>
                <w:top w:val="none" w:sz="0" w:space="0" w:color="auto"/>
                <w:left w:val="none" w:sz="0" w:space="0" w:color="auto"/>
                <w:bottom w:val="none" w:sz="0" w:space="0" w:color="auto"/>
                <w:right w:val="none" w:sz="0" w:space="0" w:color="auto"/>
              </w:divBdr>
            </w:div>
            <w:div w:id="619072015">
              <w:marLeft w:val="0"/>
              <w:marRight w:val="0"/>
              <w:marTop w:val="0"/>
              <w:marBottom w:val="240"/>
              <w:divBdr>
                <w:top w:val="none" w:sz="0" w:space="0" w:color="auto"/>
                <w:left w:val="none" w:sz="0" w:space="0" w:color="auto"/>
                <w:bottom w:val="none" w:sz="0" w:space="0" w:color="auto"/>
                <w:right w:val="none" w:sz="0" w:space="0" w:color="auto"/>
              </w:divBdr>
            </w:div>
            <w:div w:id="1061834153">
              <w:marLeft w:val="0"/>
              <w:marRight w:val="0"/>
              <w:marTop w:val="0"/>
              <w:marBottom w:val="240"/>
              <w:divBdr>
                <w:top w:val="none" w:sz="0" w:space="0" w:color="auto"/>
                <w:left w:val="none" w:sz="0" w:space="0" w:color="auto"/>
                <w:bottom w:val="none" w:sz="0" w:space="0" w:color="auto"/>
                <w:right w:val="none" w:sz="0" w:space="0" w:color="auto"/>
              </w:divBdr>
            </w:div>
            <w:div w:id="1703289037">
              <w:marLeft w:val="0"/>
              <w:marRight w:val="0"/>
              <w:marTop w:val="0"/>
              <w:marBottom w:val="240"/>
              <w:divBdr>
                <w:top w:val="none" w:sz="0" w:space="0" w:color="auto"/>
                <w:left w:val="none" w:sz="0" w:space="0" w:color="auto"/>
                <w:bottom w:val="none" w:sz="0" w:space="0" w:color="auto"/>
                <w:right w:val="none" w:sz="0" w:space="0" w:color="auto"/>
              </w:divBdr>
            </w:div>
            <w:div w:id="1886602301">
              <w:marLeft w:val="0"/>
              <w:marRight w:val="0"/>
              <w:marTop w:val="0"/>
              <w:marBottom w:val="240"/>
              <w:divBdr>
                <w:top w:val="none" w:sz="0" w:space="0" w:color="auto"/>
                <w:left w:val="none" w:sz="0" w:space="0" w:color="auto"/>
                <w:bottom w:val="none" w:sz="0" w:space="0" w:color="auto"/>
                <w:right w:val="none" w:sz="0" w:space="0" w:color="auto"/>
              </w:divBdr>
            </w:div>
            <w:div w:id="1905992473">
              <w:marLeft w:val="0"/>
              <w:marRight w:val="0"/>
              <w:marTop w:val="0"/>
              <w:marBottom w:val="240"/>
              <w:divBdr>
                <w:top w:val="none" w:sz="0" w:space="0" w:color="auto"/>
                <w:left w:val="none" w:sz="0" w:space="0" w:color="auto"/>
                <w:bottom w:val="none" w:sz="0" w:space="0" w:color="auto"/>
                <w:right w:val="none" w:sz="0" w:space="0" w:color="auto"/>
              </w:divBdr>
            </w:div>
            <w:div w:id="19938823">
              <w:marLeft w:val="0"/>
              <w:marRight w:val="0"/>
              <w:marTop w:val="0"/>
              <w:marBottom w:val="240"/>
              <w:divBdr>
                <w:top w:val="none" w:sz="0" w:space="0" w:color="auto"/>
                <w:left w:val="none" w:sz="0" w:space="0" w:color="auto"/>
                <w:bottom w:val="none" w:sz="0" w:space="0" w:color="auto"/>
                <w:right w:val="none" w:sz="0" w:space="0" w:color="auto"/>
              </w:divBdr>
            </w:div>
            <w:div w:id="894699989">
              <w:marLeft w:val="0"/>
              <w:marRight w:val="0"/>
              <w:marTop w:val="0"/>
              <w:marBottom w:val="240"/>
              <w:divBdr>
                <w:top w:val="none" w:sz="0" w:space="0" w:color="auto"/>
                <w:left w:val="none" w:sz="0" w:space="0" w:color="auto"/>
                <w:bottom w:val="none" w:sz="0" w:space="0" w:color="auto"/>
                <w:right w:val="none" w:sz="0" w:space="0" w:color="auto"/>
              </w:divBdr>
            </w:div>
            <w:div w:id="1194806099">
              <w:marLeft w:val="0"/>
              <w:marRight w:val="0"/>
              <w:marTop w:val="0"/>
              <w:marBottom w:val="240"/>
              <w:divBdr>
                <w:top w:val="none" w:sz="0" w:space="0" w:color="auto"/>
                <w:left w:val="none" w:sz="0" w:space="0" w:color="auto"/>
                <w:bottom w:val="none" w:sz="0" w:space="0" w:color="auto"/>
                <w:right w:val="none" w:sz="0" w:space="0" w:color="auto"/>
              </w:divBdr>
            </w:div>
            <w:div w:id="1289312000">
              <w:marLeft w:val="0"/>
              <w:marRight w:val="0"/>
              <w:marTop w:val="0"/>
              <w:marBottom w:val="240"/>
              <w:divBdr>
                <w:top w:val="none" w:sz="0" w:space="0" w:color="auto"/>
                <w:left w:val="none" w:sz="0" w:space="0" w:color="auto"/>
                <w:bottom w:val="none" w:sz="0" w:space="0" w:color="auto"/>
                <w:right w:val="none" w:sz="0" w:space="0" w:color="auto"/>
              </w:divBdr>
            </w:div>
            <w:div w:id="1240821342">
              <w:marLeft w:val="0"/>
              <w:marRight w:val="0"/>
              <w:marTop w:val="0"/>
              <w:marBottom w:val="240"/>
              <w:divBdr>
                <w:top w:val="none" w:sz="0" w:space="0" w:color="auto"/>
                <w:left w:val="none" w:sz="0" w:space="0" w:color="auto"/>
                <w:bottom w:val="none" w:sz="0" w:space="0" w:color="auto"/>
                <w:right w:val="none" w:sz="0" w:space="0" w:color="auto"/>
              </w:divBdr>
            </w:div>
            <w:div w:id="829369695">
              <w:marLeft w:val="0"/>
              <w:marRight w:val="0"/>
              <w:marTop w:val="0"/>
              <w:marBottom w:val="240"/>
              <w:divBdr>
                <w:top w:val="none" w:sz="0" w:space="0" w:color="auto"/>
                <w:left w:val="none" w:sz="0" w:space="0" w:color="auto"/>
                <w:bottom w:val="none" w:sz="0" w:space="0" w:color="auto"/>
                <w:right w:val="none" w:sz="0" w:space="0" w:color="auto"/>
              </w:divBdr>
            </w:div>
            <w:div w:id="850879569">
              <w:marLeft w:val="0"/>
              <w:marRight w:val="0"/>
              <w:marTop w:val="0"/>
              <w:marBottom w:val="240"/>
              <w:divBdr>
                <w:top w:val="none" w:sz="0" w:space="0" w:color="auto"/>
                <w:left w:val="none" w:sz="0" w:space="0" w:color="auto"/>
                <w:bottom w:val="none" w:sz="0" w:space="0" w:color="auto"/>
                <w:right w:val="none" w:sz="0" w:space="0" w:color="auto"/>
              </w:divBdr>
            </w:div>
            <w:div w:id="264657257">
              <w:marLeft w:val="0"/>
              <w:marRight w:val="0"/>
              <w:marTop w:val="0"/>
              <w:marBottom w:val="240"/>
              <w:divBdr>
                <w:top w:val="none" w:sz="0" w:space="0" w:color="auto"/>
                <w:left w:val="none" w:sz="0" w:space="0" w:color="auto"/>
                <w:bottom w:val="none" w:sz="0" w:space="0" w:color="auto"/>
                <w:right w:val="none" w:sz="0" w:space="0" w:color="auto"/>
              </w:divBdr>
            </w:div>
            <w:div w:id="717360884">
              <w:marLeft w:val="0"/>
              <w:marRight w:val="0"/>
              <w:marTop w:val="0"/>
              <w:marBottom w:val="240"/>
              <w:divBdr>
                <w:top w:val="none" w:sz="0" w:space="0" w:color="auto"/>
                <w:left w:val="none" w:sz="0" w:space="0" w:color="auto"/>
                <w:bottom w:val="none" w:sz="0" w:space="0" w:color="auto"/>
                <w:right w:val="none" w:sz="0" w:space="0" w:color="auto"/>
              </w:divBdr>
            </w:div>
            <w:div w:id="774060635">
              <w:marLeft w:val="0"/>
              <w:marRight w:val="0"/>
              <w:marTop w:val="0"/>
              <w:marBottom w:val="240"/>
              <w:divBdr>
                <w:top w:val="none" w:sz="0" w:space="0" w:color="auto"/>
                <w:left w:val="none" w:sz="0" w:space="0" w:color="auto"/>
                <w:bottom w:val="none" w:sz="0" w:space="0" w:color="auto"/>
                <w:right w:val="none" w:sz="0" w:space="0" w:color="auto"/>
              </w:divBdr>
            </w:div>
            <w:div w:id="1282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69895">
      <w:bodyDiv w:val="1"/>
      <w:marLeft w:val="0"/>
      <w:marRight w:val="0"/>
      <w:marTop w:val="0"/>
      <w:marBottom w:val="0"/>
      <w:divBdr>
        <w:top w:val="none" w:sz="0" w:space="0" w:color="auto"/>
        <w:left w:val="none" w:sz="0" w:space="0" w:color="auto"/>
        <w:bottom w:val="none" w:sz="0" w:space="0" w:color="auto"/>
        <w:right w:val="none" w:sz="0" w:space="0" w:color="auto"/>
      </w:divBdr>
      <w:divsChild>
        <w:div w:id="2106992078">
          <w:marLeft w:val="0"/>
          <w:marRight w:val="0"/>
          <w:marTop w:val="0"/>
          <w:marBottom w:val="0"/>
          <w:divBdr>
            <w:top w:val="none" w:sz="0" w:space="0" w:color="auto"/>
            <w:left w:val="none" w:sz="0" w:space="0" w:color="auto"/>
            <w:bottom w:val="none" w:sz="0" w:space="0" w:color="auto"/>
            <w:right w:val="none" w:sz="0" w:space="0" w:color="auto"/>
          </w:divBdr>
          <w:divsChild>
            <w:div w:id="97937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89442">
      <w:bodyDiv w:val="1"/>
      <w:marLeft w:val="0"/>
      <w:marRight w:val="0"/>
      <w:marTop w:val="0"/>
      <w:marBottom w:val="0"/>
      <w:divBdr>
        <w:top w:val="none" w:sz="0" w:space="0" w:color="auto"/>
        <w:left w:val="none" w:sz="0" w:space="0" w:color="auto"/>
        <w:bottom w:val="none" w:sz="0" w:space="0" w:color="auto"/>
        <w:right w:val="none" w:sz="0" w:space="0" w:color="auto"/>
      </w:divBdr>
      <w:divsChild>
        <w:div w:id="517888449">
          <w:marLeft w:val="0"/>
          <w:marRight w:val="0"/>
          <w:marTop w:val="0"/>
          <w:marBottom w:val="0"/>
          <w:divBdr>
            <w:top w:val="none" w:sz="0" w:space="0" w:color="auto"/>
            <w:left w:val="none" w:sz="0" w:space="0" w:color="auto"/>
            <w:bottom w:val="none" w:sz="0" w:space="0" w:color="auto"/>
            <w:right w:val="none" w:sz="0" w:space="0" w:color="auto"/>
          </w:divBdr>
          <w:divsChild>
            <w:div w:id="164751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5196">
      <w:bodyDiv w:val="1"/>
      <w:marLeft w:val="0"/>
      <w:marRight w:val="0"/>
      <w:marTop w:val="0"/>
      <w:marBottom w:val="0"/>
      <w:divBdr>
        <w:top w:val="none" w:sz="0" w:space="0" w:color="auto"/>
        <w:left w:val="none" w:sz="0" w:space="0" w:color="auto"/>
        <w:bottom w:val="none" w:sz="0" w:space="0" w:color="auto"/>
        <w:right w:val="none" w:sz="0" w:space="0" w:color="auto"/>
      </w:divBdr>
      <w:divsChild>
        <w:div w:id="1580945066">
          <w:marLeft w:val="0"/>
          <w:marRight w:val="0"/>
          <w:marTop w:val="0"/>
          <w:marBottom w:val="0"/>
          <w:divBdr>
            <w:top w:val="none" w:sz="0" w:space="0" w:color="auto"/>
            <w:left w:val="none" w:sz="0" w:space="0" w:color="auto"/>
            <w:bottom w:val="none" w:sz="0" w:space="0" w:color="auto"/>
            <w:right w:val="none" w:sz="0" w:space="0" w:color="auto"/>
          </w:divBdr>
          <w:divsChild>
            <w:div w:id="14566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43140">
      <w:bodyDiv w:val="1"/>
      <w:marLeft w:val="0"/>
      <w:marRight w:val="0"/>
      <w:marTop w:val="0"/>
      <w:marBottom w:val="0"/>
      <w:divBdr>
        <w:top w:val="none" w:sz="0" w:space="0" w:color="auto"/>
        <w:left w:val="none" w:sz="0" w:space="0" w:color="auto"/>
        <w:bottom w:val="none" w:sz="0" w:space="0" w:color="auto"/>
        <w:right w:val="none" w:sz="0" w:space="0" w:color="auto"/>
      </w:divBdr>
      <w:divsChild>
        <w:div w:id="703943985">
          <w:marLeft w:val="0"/>
          <w:marRight w:val="0"/>
          <w:marTop w:val="0"/>
          <w:marBottom w:val="0"/>
          <w:divBdr>
            <w:top w:val="none" w:sz="0" w:space="0" w:color="auto"/>
            <w:left w:val="none" w:sz="0" w:space="0" w:color="auto"/>
            <w:bottom w:val="none" w:sz="0" w:space="0" w:color="auto"/>
            <w:right w:val="none" w:sz="0" w:space="0" w:color="auto"/>
          </w:divBdr>
          <w:divsChild>
            <w:div w:id="2223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268093">
      <w:bodyDiv w:val="1"/>
      <w:marLeft w:val="0"/>
      <w:marRight w:val="0"/>
      <w:marTop w:val="0"/>
      <w:marBottom w:val="0"/>
      <w:divBdr>
        <w:top w:val="none" w:sz="0" w:space="0" w:color="auto"/>
        <w:left w:val="none" w:sz="0" w:space="0" w:color="auto"/>
        <w:bottom w:val="none" w:sz="0" w:space="0" w:color="auto"/>
        <w:right w:val="none" w:sz="0" w:space="0" w:color="auto"/>
      </w:divBdr>
    </w:div>
    <w:div w:id="1772356968">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1341221">
      <w:bodyDiv w:val="1"/>
      <w:marLeft w:val="0"/>
      <w:marRight w:val="0"/>
      <w:marTop w:val="0"/>
      <w:marBottom w:val="0"/>
      <w:divBdr>
        <w:top w:val="none" w:sz="0" w:space="0" w:color="auto"/>
        <w:left w:val="none" w:sz="0" w:space="0" w:color="auto"/>
        <w:bottom w:val="none" w:sz="0" w:space="0" w:color="auto"/>
        <w:right w:val="none" w:sz="0" w:space="0" w:color="auto"/>
      </w:divBdr>
      <w:divsChild>
        <w:div w:id="1150252400">
          <w:marLeft w:val="0"/>
          <w:marRight w:val="0"/>
          <w:marTop w:val="0"/>
          <w:marBottom w:val="0"/>
          <w:divBdr>
            <w:top w:val="none" w:sz="0" w:space="0" w:color="auto"/>
            <w:left w:val="none" w:sz="0" w:space="0" w:color="auto"/>
            <w:bottom w:val="none" w:sz="0" w:space="0" w:color="auto"/>
            <w:right w:val="none" w:sz="0" w:space="0" w:color="auto"/>
          </w:divBdr>
          <w:divsChild>
            <w:div w:id="11640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0535">
      <w:bodyDiv w:val="1"/>
      <w:marLeft w:val="0"/>
      <w:marRight w:val="0"/>
      <w:marTop w:val="0"/>
      <w:marBottom w:val="0"/>
      <w:divBdr>
        <w:top w:val="none" w:sz="0" w:space="0" w:color="auto"/>
        <w:left w:val="none" w:sz="0" w:space="0" w:color="auto"/>
        <w:bottom w:val="none" w:sz="0" w:space="0" w:color="auto"/>
        <w:right w:val="none" w:sz="0" w:space="0" w:color="auto"/>
      </w:divBdr>
      <w:divsChild>
        <w:div w:id="914050503">
          <w:marLeft w:val="0"/>
          <w:marRight w:val="0"/>
          <w:marTop w:val="0"/>
          <w:marBottom w:val="0"/>
          <w:divBdr>
            <w:top w:val="none" w:sz="0" w:space="0" w:color="auto"/>
            <w:left w:val="none" w:sz="0" w:space="0" w:color="auto"/>
            <w:bottom w:val="none" w:sz="0" w:space="0" w:color="auto"/>
            <w:right w:val="none" w:sz="0" w:space="0" w:color="auto"/>
          </w:divBdr>
          <w:divsChild>
            <w:div w:id="3129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791389834">
      <w:bodyDiv w:val="1"/>
      <w:marLeft w:val="0"/>
      <w:marRight w:val="0"/>
      <w:marTop w:val="0"/>
      <w:marBottom w:val="0"/>
      <w:divBdr>
        <w:top w:val="none" w:sz="0" w:space="0" w:color="auto"/>
        <w:left w:val="none" w:sz="0" w:space="0" w:color="auto"/>
        <w:bottom w:val="none" w:sz="0" w:space="0" w:color="auto"/>
        <w:right w:val="none" w:sz="0" w:space="0" w:color="auto"/>
      </w:divBdr>
      <w:divsChild>
        <w:div w:id="117376553">
          <w:marLeft w:val="0"/>
          <w:marRight w:val="0"/>
          <w:marTop w:val="0"/>
          <w:marBottom w:val="0"/>
          <w:divBdr>
            <w:top w:val="none" w:sz="0" w:space="0" w:color="auto"/>
            <w:left w:val="none" w:sz="0" w:space="0" w:color="auto"/>
            <w:bottom w:val="none" w:sz="0" w:space="0" w:color="auto"/>
            <w:right w:val="none" w:sz="0" w:space="0" w:color="auto"/>
          </w:divBdr>
          <w:divsChild>
            <w:div w:id="7834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5949">
      <w:bodyDiv w:val="1"/>
      <w:marLeft w:val="0"/>
      <w:marRight w:val="0"/>
      <w:marTop w:val="0"/>
      <w:marBottom w:val="0"/>
      <w:divBdr>
        <w:top w:val="none" w:sz="0" w:space="0" w:color="auto"/>
        <w:left w:val="none" w:sz="0" w:space="0" w:color="auto"/>
        <w:bottom w:val="none" w:sz="0" w:space="0" w:color="auto"/>
        <w:right w:val="none" w:sz="0" w:space="0" w:color="auto"/>
      </w:divBdr>
      <w:divsChild>
        <w:div w:id="1424958109">
          <w:marLeft w:val="0"/>
          <w:marRight w:val="0"/>
          <w:marTop w:val="0"/>
          <w:marBottom w:val="0"/>
          <w:divBdr>
            <w:top w:val="none" w:sz="0" w:space="0" w:color="auto"/>
            <w:left w:val="none" w:sz="0" w:space="0" w:color="auto"/>
            <w:bottom w:val="none" w:sz="0" w:space="0" w:color="auto"/>
            <w:right w:val="none" w:sz="0" w:space="0" w:color="auto"/>
          </w:divBdr>
          <w:divsChild>
            <w:div w:id="195751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8779">
      <w:bodyDiv w:val="1"/>
      <w:marLeft w:val="0"/>
      <w:marRight w:val="0"/>
      <w:marTop w:val="0"/>
      <w:marBottom w:val="0"/>
      <w:divBdr>
        <w:top w:val="none" w:sz="0" w:space="0" w:color="auto"/>
        <w:left w:val="none" w:sz="0" w:space="0" w:color="auto"/>
        <w:bottom w:val="none" w:sz="0" w:space="0" w:color="auto"/>
        <w:right w:val="none" w:sz="0" w:space="0" w:color="auto"/>
      </w:divBdr>
      <w:divsChild>
        <w:div w:id="471748499">
          <w:marLeft w:val="0"/>
          <w:marRight w:val="0"/>
          <w:marTop w:val="0"/>
          <w:marBottom w:val="0"/>
          <w:divBdr>
            <w:top w:val="none" w:sz="0" w:space="0" w:color="auto"/>
            <w:left w:val="none" w:sz="0" w:space="0" w:color="auto"/>
            <w:bottom w:val="none" w:sz="0" w:space="0" w:color="auto"/>
            <w:right w:val="none" w:sz="0" w:space="0" w:color="auto"/>
          </w:divBdr>
          <w:divsChild>
            <w:div w:id="2087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01727764">
      <w:bodyDiv w:val="1"/>
      <w:marLeft w:val="0"/>
      <w:marRight w:val="0"/>
      <w:marTop w:val="0"/>
      <w:marBottom w:val="0"/>
      <w:divBdr>
        <w:top w:val="none" w:sz="0" w:space="0" w:color="auto"/>
        <w:left w:val="none" w:sz="0" w:space="0" w:color="auto"/>
        <w:bottom w:val="none" w:sz="0" w:space="0" w:color="auto"/>
        <w:right w:val="none" w:sz="0" w:space="0" w:color="auto"/>
      </w:divBdr>
      <w:divsChild>
        <w:div w:id="1498882320">
          <w:marLeft w:val="0"/>
          <w:marRight w:val="0"/>
          <w:marTop w:val="0"/>
          <w:marBottom w:val="0"/>
          <w:divBdr>
            <w:top w:val="none" w:sz="0" w:space="0" w:color="auto"/>
            <w:left w:val="none" w:sz="0" w:space="0" w:color="auto"/>
            <w:bottom w:val="none" w:sz="0" w:space="0" w:color="auto"/>
            <w:right w:val="none" w:sz="0" w:space="0" w:color="auto"/>
          </w:divBdr>
          <w:divsChild>
            <w:div w:id="9590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33716381">
      <w:bodyDiv w:val="1"/>
      <w:marLeft w:val="0"/>
      <w:marRight w:val="0"/>
      <w:marTop w:val="0"/>
      <w:marBottom w:val="0"/>
      <w:divBdr>
        <w:top w:val="none" w:sz="0" w:space="0" w:color="auto"/>
        <w:left w:val="none" w:sz="0" w:space="0" w:color="auto"/>
        <w:bottom w:val="none" w:sz="0" w:space="0" w:color="auto"/>
        <w:right w:val="none" w:sz="0" w:space="0" w:color="auto"/>
      </w:divBdr>
      <w:divsChild>
        <w:div w:id="1046492447">
          <w:marLeft w:val="0"/>
          <w:marRight w:val="0"/>
          <w:marTop w:val="0"/>
          <w:marBottom w:val="0"/>
          <w:divBdr>
            <w:top w:val="none" w:sz="0" w:space="0" w:color="auto"/>
            <w:left w:val="none" w:sz="0" w:space="0" w:color="auto"/>
            <w:bottom w:val="none" w:sz="0" w:space="0" w:color="auto"/>
            <w:right w:val="none" w:sz="0" w:space="0" w:color="auto"/>
          </w:divBdr>
          <w:divsChild>
            <w:div w:id="62111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07287">
      <w:bodyDiv w:val="1"/>
      <w:marLeft w:val="0"/>
      <w:marRight w:val="0"/>
      <w:marTop w:val="0"/>
      <w:marBottom w:val="0"/>
      <w:divBdr>
        <w:top w:val="none" w:sz="0" w:space="0" w:color="auto"/>
        <w:left w:val="none" w:sz="0" w:space="0" w:color="auto"/>
        <w:bottom w:val="none" w:sz="0" w:space="0" w:color="auto"/>
        <w:right w:val="none" w:sz="0" w:space="0" w:color="auto"/>
      </w:divBdr>
      <w:divsChild>
        <w:div w:id="1339696403">
          <w:marLeft w:val="0"/>
          <w:marRight w:val="0"/>
          <w:marTop w:val="0"/>
          <w:marBottom w:val="0"/>
          <w:divBdr>
            <w:top w:val="none" w:sz="0" w:space="0" w:color="auto"/>
            <w:left w:val="none" w:sz="0" w:space="0" w:color="auto"/>
            <w:bottom w:val="none" w:sz="0" w:space="0" w:color="auto"/>
            <w:right w:val="none" w:sz="0" w:space="0" w:color="auto"/>
          </w:divBdr>
          <w:divsChild>
            <w:div w:id="1932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55144802">
      <w:bodyDiv w:val="1"/>
      <w:marLeft w:val="0"/>
      <w:marRight w:val="0"/>
      <w:marTop w:val="0"/>
      <w:marBottom w:val="0"/>
      <w:divBdr>
        <w:top w:val="none" w:sz="0" w:space="0" w:color="auto"/>
        <w:left w:val="none" w:sz="0" w:space="0" w:color="auto"/>
        <w:bottom w:val="none" w:sz="0" w:space="0" w:color="auto"/>
        <w:right w:val="none" w:sz="0" w:space="0" w:color="auto"/>
      </w:divBdr>
      <w:divsChild>
        <w:div w:id="1180385601">
          <w:marLeft w:val="0"/>
          <w:marRight w:val="0"/>
          <w:marTop w:val="0"/>
          <w:marBottom w:val="0"/>
          <w:divBdr>
            <w:top w:val="none" w:sz="0" w:space="0" w:color="auto"/>
            <w:left w:val="none" w:sz="0" w:space="0" w:color="auto"/>
            <w:bottom w:val="none" w:sz="0" w:space="0" w:color="auto"/>
            <w:right w:val="none" w:sz="0" w:space="0" w:color="auto"/>
          </w:divBdr>
          <w:divsChild>
            <w:div w:id="92032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9918">
      <w:bodyDiv w:val="1"/>
      <w:marLeft w:val="0"/>
      <w:marRight w:val="0"/>
      <w:marTop w:val="0"/>
      <w:marBottom w:val="0"/>
      <w:divBdr>
        <w:top w:val="none" w:sz="0" w:space="0" w:color="auto"/>
        <w:left w:val="none" w:sz="0" w:space="0" w:color="auto"/>
        <w:bottom w:val="none" w:sz="0" w:space="0" w:color="auto"/>
        <w:right w:val="none" w:sz="0" w:space="0" w:color="auto"/>
      </w:divBdr>
      <w:divsChild>
        <w:div w:id="1177840560">
          <w:marLeft w:val="0"/>
          <w:marRight w:val="0"/>
          <w:marTop w:val="0"/>
          <w:marBottom w:val="0"/>
          <w:divBdr>
            <w:top w:val="none" w:sz="0" w:space="0" w:color="auto"/>
            <w:left w:val="none" w:sz="0" w:space="0" w:color="auto"/>
            <w:bottom w:val="none" w:sz="0" w:space="0" w:color="auto"/>
            <w:right w:val="none" w:sz="0" w:space="0" w:color="auto"/>
          </w:divBdr>
          <w:divsChild>
            <w:div w:id="12954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8689">
      <w:bodyDiv w:val="1"/>
      <w:marLeft w:val="0"/>
      <w:marRight w:val="0"/>
      <w:marTop w:val="0"/>
      <w:marBottom w:val="0"/>
      <w:divBdr>
        <w:top w:val="none" w:sz="0" w:space="0" w:color="auto"/>
        <w:left w:val="none" w:sz="0" w:space="0" w:color="auto"/>
        <w:bottom w:val="none" w:sz="0" w:space="0" w:color="auto"/>
        <w:right w:val="none" w:sz="0" w:space="0" w:color="auto"/>
      </w:divBdr>
      <w:divsChild>
        <w:div w:id="196159961">
          <w:marLeft w:val="0"/>
          <w:marRight w:val="0"/>
          <w:marTop w:val="0"/>
          <w:marBottom w:val="0"/>
          <w:divBdr>
            <w:top w:val="none" w:sz="0" w:space="0" w:color="auto"/>
            <w:left w:val="none" w:sz="0" w:space="0" w:color="auto"/>
            <w:bottom w:val="none" w:sz="0" w:space="0" w:color="auto"/>
            <w:right w:val="none" w:sz="0" w:space="0" w:color="auto"/>
          </w:divBdr>
          <w:divsChild>
            <w:div w:id="195462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70610">
      <w:bodyDiv w:val="1"/>
      <w:marLeft w:val="0"/>
      <w:marRight w:val="0"/>
      <w:marTop w:val="0"/>
      <w:marBottom w:val="0"/>
      <w:divBdr>
        <w:top w:val="none" w:sz="0" w:space="0" w:color="auto"/>
        <w:left w:val="none" w:sz="0" w:space="0" w:color="auto"/>
        <w:bottom w:val="none" w:sz="0" w:space="0" w:color="auto"/>
        <w:right w:val="none" w:sz="0" w:space="0" w:color="auto"/>
      </w:divBdr>
      <w:divsChild>
        <w:div w:id="759988019">
          <w:marLeft w:val="0"/>
          <w:marRight w:val="0"/>
          <w:marTop w:val="0"/>
          <w:marBottom w:val="0"/>
          <w:divBdr>
            <w:top w:val="none" w:sz="0" w:space="0" w:color="auto"/>
            <w:left w:val="none" w:sz="0" w:space="0" w:color="auto"/>
            <w:bottom w:val="none" w:sz="0" w:space="0" w:color="auto"/>
            <w:right w:val="none" w:sz="0" w:space="0" w:color="auto"/>
          </w:divBdr>
          <w:divsChild>
            <w:div w:id="1337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1556">
      <w:bodyDiv w:val="1"/>
      <w:marLeft w:val="0"/>
      <w:marRight w:val="0"/>
      <w:marTop w:val="0"/>
      <w:marBottom w:val="0"/>
      <w:divBdr>
        <w:top w:val="none" w:sz="0" w:space="0" w:color="auto"/>
        <w:left w:val="none" w:sz="0" w:space="0" w:color="auto"/>
        <w:bottom w:val="none" w:sz="0" w:space="0" w:color="auto"/>
        <w:right w:val="none" w:sz="0" w:space="0" w:color="auto"/>
      </w:divBdr>
      <w:divsChild>
        <w:div w:id="585458271">
          <w:marLeft w:val="0"/>
          <w:marRight w:val="0"/>
          <w:marTop w:val="0"/>
          <w:marBottom w:val="0"/>
          <w:divBdr>
            <w:top w:val="none" w:sz="0" w:space="0" w:color="auto"/>
            <w:left w:val="none" w:sz="0" w:space="0" w:color="auto"/>
            <w:bottom w:val="none" w:sz="0" w:space="0" w:color="auto"/>
            <w:right w:val="none" w:sz="0" w:space="0" w:color="auto"/>
          </w:divBdr>
          <w:divsChild>
            <w:div w:id="75651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32953">
      <w:bodyDiv w:val="1"/>
      <w:marLeft w:val="0"/>
      <w:marRight w:val="0"/>
      <w:marTop w:val="0"/>
      <w:marBottom w:val="0"/>
      <w:divBdr>
        <w:top w:val="none" w:sz="0" w:space="0" w:color="auto"/>
        <w:left w:val="none" w:sz="0" w:space="0" w:color="auto"/>
        <w:bottom w:val="none" w:sz="0" w:space="0" w:color="auto"/>
        <w:right w:val="none" w:sz="0" w:space="0" w:color="auto"/>
      </w:divBdr>
      <w:divsChild>
        <w:div w:id="435518739">
          <w:marLeft w:val="0"/>
          <w:marRight w:val="0"/>
          <w:marTop w:val="0"/>
          <w:marBottom w:val="0"/>
          <w:divBdr>
            <w:top w:val="none" w:sz="0" w:space="0" w:color="auto"/>
            <w:left w:val="none" w:sz="0" w:space="0" w:color="auto"/>
            <w:bottom w:val="none" w:sz="0" w:space="0" w:color="auto"/>
            <w:right w:val="none" w:sz="0" w:space="0" w:color="auto"/>
          </w:divBdr>
          <w:divsChild>
            <w:div w:id="9481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01787">
      <w:bodyDiv w:val="1"/>
      <w:marLeft w:val="0"/>
      <w:marRight w:val="0"/>
      <w:marTop w:val="0"/>
      <w:marBottom w:val="0"/>
      <w:divBdr>
        <w:top w:val="none" w:sz="0" w:space="0" w:color="auto"/>
        <w:left w:val="none" w:sz="0" w:space="0" w:color="auto"/>
        <w:bottom w:val="none" w:sz="0" w:space="0" w:color="auto"/>
        <w:right w:val="none" w:sz="0" w:space="0" w:color="auto"/>
      </w:divBdr>
      <w:divsChild>
        <w:div w:id="342123259">
          <w:marLeft w:val="0"/>
          <w:marRight w:val="0"/>
          <w:marTop w:val="0"/>
          <w:marBottom w:val="0"/>
          <w:divBdr>
            <w:top w:val="none" w:sz="0" w:space="0" w:color="auto"/>
            <w:left w:val="none" w:sz="0" w:space="0" w:color="auto"/>
            <w:bottom w:val="none" w:sz="0" w:space="0" w:color="auto"/>
            <w:right w:val="none" w:sz="0" w:space="0" w:color="auto"/>
          </w:divBdr>
          <w:divsChild>
            <w:div w:id="20366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81330">
      <w:bodyDiv w:val="1"/>
      <w:marLeft w:val="0"/>
      <w:marRight w:val="0"/>
      <w:marTop w:val="0"/>
      <w:marBottom w:val="0"/>
      <w:divBdr>
        <w:top w:val="none" w:sz="0" w:space="0" w:color="auto"/>
        <w:left w:val="none" w:sz="0" w:space="0" w:color="auto"/>
        <w:bottom w:val="none" w:sz="0" w:space="0" w:color="auto"/>
        <w:right w:val="none" w:sz="0" w:space="0" w:color="auto"/>
      </w:divBdr>
      <w:divsChild>
        <w:div w:id="851841095">
          <w:marLeft w:val="0"/>
          <w:marRight w:val="0"/>
          <w:marTop w:val="0"/>
          <w:marBottom w:val="0"/>
          <w:divBdr>
            <w:top w:val="none" w:sz="0" w:space="0" w:color="auto"/>
            <w:left w:val="none" w:sz="0" w:space="0" w:color="auto"/>
            <w:bottom w:val="none" w:sz="0" w:space="0" w:color="auto"/>
            <w:right w:val="none" w:sz="0" w:space="0" w:color="auto"/>
          </w:divBdr>
          <w:divsChild>
            <w:div w:id="118721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27350">
      <w:bodyDiv w:val="1"/>
      <w:marLeft w:val="0"/>
      <w:marRight w:val="0"/>
      <w:marTop w:val="0"/>
      <w:marBottom w:val="0"/>
      <w:divBdr>
        <w:top w:val="none" w:sz="0" w:space="0" w:color="auto"/>
        <w:left w:val="none" w:sz="0" w:space="0" w:color="auto"/>
        <w:bottom w:val="none" w:sz="0" w:space="0" w:color="auto"/>
        <w:right w:val="none" w:sz="0" w:space="0" w:color="auto"/>
      </w:divBdr>
      <w:divsChild>
        <w:div w:id="536554021">
          <w:marLeft w:val="0"/>
          <w:marRight w:val="0"/>
          <w:marTop w:val="0"/>
          <w:marBottom w:val="0"/>
          <w:divBdr>
            <w:top w:val="none" w:sz="0" w:space="0" w:color="auto"/>
            <w:left w:val="none" w:sz="0" w:space="0" w:color="auto"/>
            <w:bottom w:val="none" w:sz="0" w:space="0" w:color="auto"/>
            <w:right w:val="none" w:sz="0" w:space="0" w:color="auto"/>
          </w:divBdr>
          <w:divsChild>
            <w:div w:id="77177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76576361">
      <w:bodyDiv w:val="1"/>
      <w:marLeft w:val="0"/>
      <w:marRight w:val="0"/>
      <w:marTop w:val="0"/>
      <w:marBottom w:val="0"/>
      <w:divBdr>
        <w:top w:val="none" w:sz="0" w:space="0" w:color="auto"/>
        <w:left w:val="none" w:sz="0" w:space="0" w:color="auto"/>
        <w:bottom w:val="none" w:sz="0" w:space="0" w:color="auto"/>
        <w:right w:val="none" w:sz="0" w:space="0" w:color="auto"/>
      </w:divBdr>
      <w:divsChild>
        <w:div w:id="22370627">
          <w:marLeft w:val="0"/>
          <w:marRight w:val="0"/>
          <w:marTop w:val="0"/>
          <w:marBottom w:val="0"/>
          <w:divBdr>
            <w:top w:val="none" w:sz="0" w:space="0" w:color="auto"/>
            <w:left w:val="none" w:sz="0" w:space="0" w:color="auto"/>
            <w:bottom w:val="none" w:sz="0" w:space="0" w:color="auto"/>
            <w:right w:val="none" w:sz="0" w:space="0" w:color="auto"/>
          </w:divBdr>
          <w:divsChild>
            <w:div w:id="13619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78549">
      <w:bodyDiv w:val="1"/>
      <w:marLeft w:val="0"/>
      <w:marRight w:val="0"/>
      <w:marTop w:val="0"/>
      <w:marBottom w:val="0"/>
      <w:divBdr>
        <w:top w:val="none" w:sz="0" w:space="0" w:color="auto"/>
        <w:left w:val="none" w:sz="0" w:space="0" w:color="auto"/>
        <w:bottom w:val="none" w:sz="0" w:space="0" w:color="auto"/>
        <w:right w:val="none" w:sz="0" w:space="0" w:color="auto"/>
      </w:divBdr>
      <w:divsChild>
        <w:div w:id="868034782">
          <w:marLeft w:val="0"/>
          <w:marRight w:val="0"/>
          <w:marTop w:val="0"/>
          <w:marBottom w:val="0"/>
          <w:divBdr>
            <w:top w:val="none" w:sz="0" w:space="0" w:color="auto"/>
            <w:left w:val="none" w:sz="0" w:space="0" w:color="auto"/>
            <w:bottom w:val="none" w:sz="0" w:space="0" w:color="auto"/>
            <w:right w:val="none" w:sz="0" w:space="0" w:color="auto"/>
          </w:divBdr>
          <w:divsChild>
            <w:div w:id="16648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860">
      <w:bodyDiv w:val="1"/>
      <w:marLeft w:val="0"/>
      <w:marRight w:val="0"/>
      <w:marTop w:val="0"/>
      <w:marBottom w:val="0"/>
      <w:divBdr>
        <w:top w:val="none" w:sz="0" w:space="0" w:color="auto"/>
        <w:left w:val="none" w:sz="0" w:space="0" w:color="auto"/>
        <w:bottom w:val="none" w:sz="0" w:space="0" w:color="auto"/>
        <w:right w:val="none" w:sz="0" w:space="0" w:color="auto"/>
      </w:divBdr>
      <w:divsChild>
        <w:div w:id="1134757875">
          <w:marLeft w:val="0"/>
          <w:marRight w:val="0"/>
          <w:marTop w:val="0"/>
          <w:marBottom w:val="0"/>
          <w:divBdr>
            <w:top w:val="none" w:sz="0" w:space="0" w:color="auto"/>
            <w:left w:val="none" w:sz="0" w:space="0" w:color="auto"/>
            <w:bottom w:val="none" w:sz="0" w:space="0" w:color="auto"/>
            <w:right w:val="none" w:sz="0" w:space="0" w:color="auto"/>
          </w:divBdr>
          <w:divsChild>
            <w:div w:id="13061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13245">
      <w:bodyDiv w:val="1"/>
      <w:marLeft w:val="0"/>
      <w:marRight w:val="0"/>
      <w:marTop w:val="0"/>
      <w:marBottom w:val="0"/>
      <w:divBdr>
        <w:top w:val="none" w:sz="0" w:space="0" w:color="auto"/>
        <w:left w:val="none" w:sz="0" w:space="0" w:color="auto"/>
        <w:bottom w:val="none" w:sz="0" w:space="0" w:color="auto"/>
        <w:right w:val="none" w:sz="0" w:space="0" w:color="auto"/>
      </w:divBdr>
      <w:divsChild>
        <w:div w:id="994718586">
          <w:marLeft w:val="0"/>
          <w:marRight w:val="0"/>
          <w:marTop w:val="0"/>
          <w:marBottom w:val="0"/>
          <w:divBdr>
            <w:top w:val="none" w:sz="0" w:space="0" w:color="auto"/>
            <w:left w:val="none" w:sz="0" w:space="0" w:color="auto"/>
            <w:bottom w:val="none" w:sz="0" w:space="0" w:color="auto"/>
            <w:right w:val="none" w:sz="0" w:space="0" w:color="auto"/>
          </w:divBdr>
          <w:divsChild>
            <w:div w:id="3203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894194499">
      <w:bodyDiv w:val="1"/>
      <w:marLeft w:val="0"/>
      <w:marRight w:val="0"/>
      <w:marTop w:val="0"/>
      <w:marBottom w:val="0"/>
      <w:divBdr>
        <w:top w:val="none" w:sz="0" w:space="0" w:color="auto"/>
        <w:left w:val="none" w:sz="0" w:space="0" w:color="auto"/>
        <w:bottom w:val="none" w:sz="0" w:space="0" w:color="auto"/>
        <w:right w:val="none" w:sz="0" w:space="0" w:color="auto"/>
      </w:divBdr>
      <w:divsChild>
        <w:div w:id="1186208175">
          <w:marLeft w:val="0"/>
          <w:marRight w:val="0"/>
          <w:marTop w:val="0"/>
          <w:marBottom w:val="0"/>
          <w:divBdr>
            <w:top w:val="none" w:sz="0" w:space="0" w:color="auto"/>
            <w:left w:val="none" w:sz="0" w:space="0" w:color="auto"/>
            <w:bottom w:val="none" w:sz="0" w:space="0" w:color="auto"/>
            <w:right w:val="none" w:sz="0" w:space="0" w:color="auto"/>
          </w:divBdr>
          <w:divsChild>
            <w:div w:id="14308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772993">
      <w:bodyDiv w:val="1"/>
      <w:marLeft w:val="0"/>
      <w:marRight w:val="0"/>
      <w:marTop w:val="0"/>
      <w:marBottom w:val="0"/>
      <w:divBdr>
        <w:top w:val="none" w:sz="0" w:space="0" w:color="auto"/>
        <w:left w:val="none" w:sz="0" w:space="0" w:color="auto"/>
        <w:bottom w:val="none" w:sz="0" w:space="0" w:color="auto"/>
        <w:right w:val="none" w:sz="0" w:space="0" w:color="auto"/>
      </w:divBdr>
      <w:divsChild>
        <w:div w:id="563758261">
          <w:marLeft w:val="0"/>
          <w:marRight w:val="0"/>
          <w:marTop w:val="0"/>
          <w:marBottom w:val="0"/>
          <w:divBdr>
            <w:top w:val="none" w:sz="0" w:space="0" w:color="auto"/>
            <w:left w:val="none" w:sz="0" w:space="0" w:color="auto"/>
            <w:bottom w:val="none" w:sz="0" w:space="0" w:color="auto"/>
            <w:right w:val="none" w:sz="0" w:space="0" w:color="auto"/>
          </w:divBdr>
          <w:divsChild>
            <w:div w:id="117233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4909">
      <w:bodyDiv w:val="1"/>
      <w:marLeft w:val="0"/>
      <w:marRight w:val="0"/>
      <w:marTop w:val="0"/>
      <w:marBottom w:val="0"/>
      <w:divBdr>
        <w:top w:val="none" w:sz="0" w:space="0" w:color="auto"/>
        <w:left w:val="none" w:sz="0" w:space="0" w:color="auto"/>
        <w:bottom w:val="none" w:sz="0" w:space="0" w:color="auto"/>
        <w:right w:val="none" w:sz="0" w:space="0" w:color="auto"/>
      </w:divBdr>
      <w:divsChild>
        <w:div w:id="1921744207">
          <w:marLeft w:val="0"/>
          <w:marRight w:val="0"/>
          <w:marTop w:val="0"/>
          <w:marBottom w:val="0"/>
          <w:divBdr>
            <w:top w:val="none" w:sz="0" w:space="0" w:color="auto"/>
            <w:left w:val="none" w:sz="0" w:space="0" w:color="auto"/>
            <w:bottom w:val="none" w:sz="0" w:space="0" w:color="auto"/>
            <w:right w:val="none" w:sz="0" w:space="0" w:color="auto"/>
          </w:divBdr>
          <w:divsChild>
            <w:div w:id="15129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5323">
      <w:bodyDiv w:val="1"/>
      <w:marLeft w:val="0"/>
      <w:marRight w:val="0"/>
      <w:marTop w:val="0"/>
      <w:marBottom w:val="0"/>
      <w:divBdr>
        <w:top w:val="none" w:sz="0" w:space="0" w:color="auto"/>
        <w:left w:val="none" w:sz="0" w:space="0" w:color="auto"/>
        <w:bottom w:val="none" w:sz="0" w:space="0" w:color="auto"/>
        <w:right w:val="none" w:sz="0" w:space="0" w:color="auto"/>
      </w:divBdr>
      <w:divsChild>
        <w:div w:id="1089623596">
          <w:marLeft w:val="0"/>
          <w:marRight w:val="0"/>
          <w:marTop w:val="0"/>
          <w:marBottom w:val="0"/>
          <w:divBdr>
            <w:top w:val="none" w:sz="0" w:space="0" w:color="auto"/>
            <w:left w:val="none" w:sz="0" w:space="0" w:color="auto"/>
            <w:bottom w:val="none" w:sz="0" w:space="0" w:color="auto"/>
            <w:right w:val="none" w:sz="0" w:space="0" w:color="auto"/>
          </w:divBdr>
          <w:divsChild>
            <w:div w:id="10159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5991">
      <w:bodyDiv w:val="1"/>
      <w:marLeft w:val="0"/>
      <w:marRight w:val="0"/>
      <w:marTop w:val="0"/>
      <w:marBottom w:val="0"/>
      <w:divBdr>
        <w:top w:val="none" w:sz="0" w:space="0" w:color="auto"/>
        <w:left w:val="none" w:sz="0" w:space="0" w:color="auto"/>
        <w:bottom w:val="none" w:sz="0" w:space="0" w:color="auto"/>
        <w:right w:val="none" w:sz="0" w:space="0" w:color="auto"/>
      </w:divBdr>
      <w:divsChild>
        <w:div w:id="93325255">
          <w:marLeft w:val="0"/>
          <w:marRight w:val="0"/>
          <w:marTop w:val="0"/>
          <w:marBottom w:val="0"/>
          <w:divBdr>
            <w:top w:val="none" w:sz="0" w:space="0" w:color="auto"/>
            <w:left w:val="none" w:sz="0" w:space="0" w:color="auto"/>
            <w:bottom w:val="none" w:sz="0" w:space="0" w:color="auto"/>
            <w:right w:val="none" w:sz="0" w:space="0" w:color="auto"/>
          </w:divBdr>
          <w:divsChild>
            <w:div w:id="77575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576121">
      <w:bodyDiv w:val="1"/>
      <w:marLeft w:val="0"/>
      <w:marRight w:val="0"/>
      <w:marTop w:val="0"/>
      <w:marBottom w:val="0"/>
      <w:divBdr>
        <w:top w:val="none" w:sz="0" w:space="0" w:color="auto"/>
        <w:left w:val="none" w:sz="0" w:space="0" w:color="auto"/>
        <w:bottom w:val="none" w:sz="0" w:space="0" w:color="auto"/>
        <w:right w:val="none" w:sz="0" w:space="0" w:color="auto"/>
      </w:divBdr>
      <w:divsChild>
        <w:div w:id="236401944">
          <w:marLeft w:val="0"/>
          <w:marRight w:val="0"/>
          <w:marTop w:val="0"/>
          <w:marBottom w:val="0"/>
          <w:divBdr>
            <w:top w:val="none" w:sz="0" w:space="0" w:color="auto"/>
            <w:left w:val="none" w:sz="0" w:space="0" w:color="auto"/>
            <w:bottom w:val="none" w:sz="0" w:space="0" w:color="auto"/>
            <w:right w:val="none" w:sz="0" w:space="0" w:color="auto"/>
          </w:divBdr>
          <w:divsChild>
            <w:div w:id="156606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19752400">
      <w:bodyDiv w:val="1"/>
      <w:marLeft w:val="0"/>
      <w:marRight w:val="0"/>
      <w:marTop w:val="0"/>
      <w:marBottom w:val="0"/>
      <w:divBdr>
        <w:top w:val="none" w:sz="0" w:space="0" w:color="auto"/>
        <w:left w:val="none" w:sz="0" w:space="0" w:color="auto"/>
        <w:bottom w:val="none" w:sz="0" w:space="0" w:color="auto"/>
        <w:right w:val="none" w:sz="0" w:space="0" w:color="auto"/>
      </w:divBdr>
      <w:divsChild>
        <w:div w:id="1016619238">
          <w:marLeft w:val="0"/>
          <w:marRight w:val="0"/>
          <w:marTop w:val="0"/>
          <w:marBottom w:val="0"/>
          <w:divBdr>
            <w:top w:val="none" w:sz="0" w:space="0" w:color="auto"/>
            <w:left w:val="none" w:sz="0" w:space="0" w:color="auto"/>
            <w:bottom w:val="none" w:sz="0" w:space="0" w:color="auto"/>
            <w:right w:val="none" w:sz="0" w:space="0" w:color="auto"/>
          </w:divBdr>
          <w:divsChild>
            <w:div w:id="158965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47051">
      <w:bodyDiv w:val="1"/>
      <w:marLeft w:val="0"/>
      <w:marRight w:val="0"/>
      <w:marTop w:val="0"/>
      <w:marBottom w:val="0"/>
      <w:divBdr>
        <w:top w:val="none" w:sz="0" w:space="0" w:color="auto"/>
        <w:left w:val="none" w:sz="0" w:space="0" w:color="auto"/>
        <w:bottom w:val="none" w:sz="0" w:space="0" w:color="auto"/>
        <w:right w:val="none" w:sz="0" w:space="0" w:color="auto"/>
      </w:divBdr>
      <w:divsChild>
        <w:div w:id="1897625598">
          <w:marLeft w:val="0"/>
          <w:marRight w:val="0"/>
          <w:marTop w:val="0"/>
          <w:marBottom w:val="0"/>
          <w:divBdr>
            <w:top w:val="none" w:sz="0" w:space="0" w:color="auto"/>
            <w:left w:val="none" w:sz="0" w:space="0" w:color="auto"/>
            <w:bottom w:val="none" w:sz="0" w:space="0" w:color="auto"/>
            <w:right w:val="none" w:sz="0" w:space="0" w:color="auto"/>
          </w:divBdr>
          <w:divsChild>
            <w:div w:id="3109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30574880">
      <w:bodyDiv w:val="1"/>
      <w:marLeft w:val="0"/>
      <w:marRight w:val="0"/>
      <w:marTop w:val="0"/>
      <w:marBottom w:val="0"/>
      <w:divBdr>
        <w:top w:val="none" w:sz="0" w:space="0" w:color="auto"/>
        <w:left w:val="none" w:sz="0" w:space="0" w:color="auto"/>
        <w:bottom w:val="none" w:sz="0" w:space="0" w:color="auto"/>
        <w:right w:val="none" w:sz="0" w:space="0" w:color="auto"/>
      </w:divBdr>
      <w:divsChild>
        <w:div w:id="397940914">
          <w:marLeft w:val="0"/>
          <w:marRight w:val="0"/>
          <w:marTop w:val="0"/>
          <w:marBottom w:val="0"/>
          <w:divBdr>
            <w:top w:val="none" w:sz="0" w:space="0" w:color="auto"/>
            <w:left w:val="none" w:sz="0" w:space="0" w:color="auto"/>
            <w:bottom w:val="none" w:sz="0" w:space="0" w:color="auto"/>
            <w:right w:val="none" w:sz="0" w:space="0" w:color="auto"/>
          </w:divBdr>
          <w:divsChild>
            <w:div w:id="117233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24024">
      <w:bodyDiv w:val="1"/>
      <w:marLeft w:val="0"/>
      <w:marRight w:val="0"/>
      <w:marTop w:val="0"/>
      <w:marBottom w:val="0"/>
      <w:divBdr>
        <w:top w:val="none" w:sz="0" w:space="0" w:color="auto"/>
        <w:left w:val="none" w:sz="0" w:space="0" w:color="auto"/>
        <w:bottom w:val="none" w:sz="0" w:space="0" w:color="auto"/>
        <w:right w:val="none" w:sz="0" w:space="0" w:color="auto"/>
      </w:divBdr>
      <w:divsChild>
        <w:div w:id="1675061672">
          <w:marLeft w:val="0"/>
          <w:marRight w:val="0"/>
          <w:marTop w:val="0"/>
          <w:marBottom w:val="0"/>
          <w:divBdr>
            <w:top w:val="none" w:sz="0" w:space="0" w:color="auto"/>
            <w:left w:val="none" w:sz="0" w:space="0" w:color="auto"/>
            <w:bottom w:val="none" w:sz="0" w:space="0" w:color="auto"/>
            <w:right w:val="none" w:sz="0" w:space="0" w:color="auto"/>
          </w:divBdr>
          <w:divsChild>
            <w:div w:id="16586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01727">
      <w:bodyDiv w:val="1"/>
      <w:marLeft w:val="0"/>
      <w:marRight w:val="0"/>
      <w:marTop w:val="0"/>
      <w:marBottom w:val="0"/>
      <w:divBdr>
        <w:top w:val="none" w:sz="0" w:space="0" w:color="auto"/>
        <w:left w:val="none" w:sz="0" w:space="0" w:color="auto"/>
        <w:bottom w:val="none" w:sz="0" w:space="0" w:color="auto"/>
        <w:right w:val="none" w:sz="0" w:space="0" w:color="auto"/>
      </w:divBdr>
      <w:divsChild>
        <w:div w:id="1004670413">
          <w:marLeft w:val="0"/>
          <w:marRight w:val="0"/>
          <w:marTop w:val="0"/>
          <w:marBottom w:val="0"/>
          <w:divBdr>
            <w:top w:val="none" w:sz="0" w:space="0" w:color="auto"/>
            <w:left w:val="none" w:sz="0" w:space="0" w:color="auto"/>
            <w:bottom w:val="none" w:sz="0" w:space="0" w:color="auto"/>
            <w:right w:val="none" w:sz="0" w:space="0" w:color="auto"/>
          </w:divBdr>
          <w:divsChild>
            <w:div w:id="115634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12528">
      <w:bodyDiv w:val="1"/>
      <w:marLeft w:val="0"/>
      <w:marRight w:val="0"/>
      <w:marTop w:val="0"/>
      <w:marBottom w:val="0"/>
      <w:divBdr>
        <w:top w:val="none" w:sz="0" w:space="0" w:color="auto"/>
        <w:left w:val="none" w:sz="0" w:space="0" w:color="auto"/>
        <w:bottom w:val="none" w:sz="0" w:space="0" w:color="auto"/>
        <w:right w:val="none" w:sz="0" w:space="0" w:color="auto"/>
      </w:divBdr>
      <w:divsChild>
        <w:div w:id="716508861">
          <w:marLeft w:val="0"/>
          <w:marRight w:val="0"/>
          <w:marTop w:val="0"/>
          <w:marBottom w:val="0"/>
          <w:divBdr>
            <w:top w:val="none" w:sz="0" w:space="0" w:color="auto"/>
            <w:left w:val="none" w:sz="0" w:space="0" w:color="auto"/>
            <w:bottom w:val="none" w:sz="0" w:space="0" w:color="auto"/>
            <w:right w:val="none" w:sz="0" w:space="0" w:color="auto"/>
          </w:divBdr>
          <w:divsChild>
            <w:div w:id="82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43953345">
      <w:bodyDiv w:val="1"/>
      <w:marLeft w:val="0"/>
      <w:marRight w:val="0"/>
      <w:marTop w:val="0"/>
      <w:marBottom w:val="0"/>
      <w:divBdr>
        <w:top w:val="none" w:sz="0" w:space="0" w:color="auto"/>
        <w:left w:val="none" w:sz="0" w:space="0" w:color="auto"/>
        <w:bottom w:val="none" w:sz="0" w:space="0" w:color="auto"/>
        <w:right w:val="none" w:sz="0" w:space="0" w:color="auto"/>
      </w:divBdr>
      <w:divsChild>
        <w:div w:id="925068235">
          <w:marLeft w:val="0"/>
          <w:marRight w:val="0"/>
          <w:marTop w:val="0"/>
          <w:marBottom w:val="0"/>
          <w:divBdr>
            <w:top w:val="none" w:sz="0" w:space="0" w:color="auto"/>
            <w:left w:val="none" w:sz="0" w:space="0" w:color="auto"/>
            <w:bottom w:val="none" w:sz="0" w:space="0" w:color="auto"/>
            <w:right w:val="none" w:sz="0" w:space="0" w:color="auto"/>
          </w:divBdr>
          <w:divsChild>
            <w:div w:id="6362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1399">
      <w:bodyDiv w:val="1"/>
      <w:marLeft w:val="0"/>
      <w:marRight w:val="0"/>
      <w:marTop w:val="0"/>
      <w:marBottom w:val="0"/>
      <w:divBdr>
        <w:top w:val="none" w:sz="0" w:space="0" w:color="auto"/>
        <w:left w:val="none" w:sz="0" w:space="0" w:color="auto"/>
        <w:bottom w:val="none" w:sz="0" w:space="0" w:color="auto"/>
        <w:right w:val="none" w:sz="0" w:space="0" w:color="auto"/>
      </w:divBdr>
      <w:divsChild>
        <w:div w:id="83112242">
          <w:marLeft w:val="0"/>
          <w:marRight w:val="0"/>
          <w:marTop w:val="0"/>
          <w:marBottom w:val="0"/>
          <w:divBdr>
            <w:top w:val="none" w:sz="0" w:space="0" w:color="auto"/>
            <w:left w:val="none" w:sz="0" w:space="0" w:color="auto"/>
            <w:bottom w:val="none" w:sz="0" w:space="0" w:color="auto"/>
            <w:right w:val="none" w:sz="0" w:space="0" w:color="auto"/>
          </w:divBdr>
          <w:divsChild>
            <w:div w:id="957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98717">
      <w:bodyDiv w:val="1"/>
      <w:marLeft w:val="0"/>
      <w:marRight w:val="0"/>
      <w:marTop w:val="0"/>
      <w:marBottom w:val="0"/>
      <w:divBdr>
        <w:top w:val="none" w:sz="0" w:space="0" w:color="auto"/>
        <w:left w:val="none" w:sz="0" w:space="0" w:color="auto"/>
        <w:bottom w:val="none" w:sz="0" w:space="0" w:color="auto"/>
        <w:right w:val="none" w:sz="0" w:space="0" w:color="auto"/>
      </w:divBdr>
      <w:divsChild>
        <w:div w:id="1980720508">
          <w:marLeft w:val="0"/>
          <w:marRight w:val="0"/>
          <w:marTop w:val="0"/>
          <w:marBottom w:val="0"/>
          <w:divBdr>
            <w:top w:val="none" w:sz="0" w:space="0" w:color="auto"/>
            <w:left w:val="none" w:sz="0" w:space="0" w:color="auto"/>
            <w:bottom w:val="none" w:sz="0" w:space="0" w:color="auto"/>
            <w:right w:val="none" w:sz="0" w:space="0" w:color="auto"/>
          </w:divBdr>
          <w:divsChild>
            <w:div w:id="2150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2666547">
      <w:bodyDiv w:val="1"/>
      <w:marLeft w:val="0"/>
      <w:marRight w:val="0"/>
      <w:marTop w:val="0"/>
      <w:marBottom w:val="0"/>
      <w:divBdr>
        <w:top w:val="none" w:sz="0" w:space="0" w:color="auto"/>
        <w:left w:val="none" w:sz="0" w:space="0" w:color="auto"/>
        <w:bottom w:val="none" w:sz="0" w:space="0" w:color="auto"/>
        <w:right w:val="none" w:sz="0" w:space="0" w:color="auto"/>
      </w:divBdr>
      <w:divsChild>
        <w:div w:id="1722168043">
          <w:marLeft w:val="0"/>
          <w:marRight w:val="0"/>
          <w:marTop w:val="0"/>
          <w:marBottom w:val="0"/>
          <w:divBdr>
            <w:top w:val="none" w:sz="0" w:space="0" w:color="auto"/>
            <w:left w:val="none" w:sz="0" w:space="0" w:color="auto"/>
            <w:bottom w:val="none" w:sz="0" w:space="0" w:color="auto"/>
            <w:right w:val="none" w:sz="0" w:space="0" w:color="auto"/>
          </w:divBdr>
          <w:divsChild>
            <w:div w:id="2264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1968929879">
      <w:bodyDiv w:val="1"/>
      <w:marLeft w:val="0"/>
      <w:marRight w:val="0"/>
      <w:marTop w:val="0"/>
      <w:marBottom w:val="0"/>
      <w:divBdr>
        <w:top w:val="none" w:sz="0" w:space="0" w:color="auto"/>
        <w:left w:val="none" w:sz="0" w:space="0" w:color="auto"/>
        <w:bottom w:val="none" w:sz="0" w:space="0" w:color="auto"/>
        <w:right w:val="none" w:sz="0" w:space="0" w:color="auto"/>
      </w:divBdr>
      <w:divsChild>
        <w:div w:id="1124613301">
          <w:marLeft w:val="0"/>
          <w:marRight w:val="0"/>
          <w:marTop w:val="0"/>
          <w:marBottom w:val="0"/>
          <w:divBdr>
            <w:top w:val="none" w:sz="0" w:space="0" w:color="auto"/>
            <w:left w:val="none" w:sz="0" w:space="0" w:color="auto"/>
            <w:bottom w:val="none" w:sz="0" w:space="0" w:color="auto"/>
            <w:right w:val="none" w:sz="0" w:space="0" w:color="auto"/>
          </w:divBdr>
          <w:divsChild>
            <w:div w:id="11347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44624">
      <w:bodyDiv w:val="1"/>
      <w:marLeft w:val="0"/>
      <w:marRight w:val="0"/>
      <w:marTop w:val="0"/>
      <w:marBottom w:val="0"/>
      <w:divBdr>
        <w:top w:val="none" w:sz="0" w:space="0" w:color="auto"/>
        <w:left w:val="none" w:sz="0" w:space="0" w:color="auto"/>
        <w:bottom w:val="none" w:sz="0" w:space="0" w:color="auto"/>
        <w:right w:val="none" w:sz="0" w:space="0" w:color="auto"/>
      </w:divBdr>
      <w:divsChild>
        <w:div w:id="531456824">
          <w:marLeft w:val="0"/>
          <w:marRight w:val="0"/>
          <w:marTop w:val="0"/>
          <w:marBottom w:val="0"/>
          <w:divBdr>
            <w:top w:val="none" w:sz="0" w:space="0" w:color="auto"/>
            <w:left w:val="none" w:sz="0" w:space="0" w:color="auto"/>
            <w:bottom w:val="none" w:sz="0" w:space="0" w:color="auto"/>
            <w:right w:val="none" w:sz="0" w:space="0" w:color="auto"/>
          </w:divBdr>
          <w:divsChild>
            <w:div w:id="64574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2954">
      <w:bodyDiv w:val="1"/>
      <w:marLeft w:val="0"/>
      <w:marRight w:val="0"/>
      <w:marTop w:val="0"/>
      <w:marBottom w:val="0"/>
      <w:divBdr>
        <w:top w:val="none" w:sz="0" w:space="0" w:color="auto"/>
        <w:left w:val="none" w:sz="0" w:space="0" w:color="auto"/>
        <w:bottom w:val="none" w:sz="0" w:space="0" w:color="auto"/>
        <w:right w:val="none" w:sz="0" w:space="0" w:color="auto"/>
      </w:divBdr>
      <w:divsChild>
        <w:div w:id="869294323">
          <w:marLeft w:val="0"/>
          <w:marRight w:val="0"/>
          <w:marTop w:val="0"/>
          <w:marBottom w:val="0"/>
          <w:divBdr>
            <w:top w:val="none" w:sz="0" w:space="0" w:color="auto"/>
            <w:left w:val="none" w:sz="0" w:space="0" w:color="auto"/>
            <w:bottom w:val="none" w:sz="0" w:space="0" w:color="auto"/>
            <w:right w:val="none" w:sz="0" w:space="0" w:color="auto"/>
          </w:divBdr>
          <w:divsChild>
            <w:div w:id="143413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89997">
      <w:bodyDiv w:val="1"/>
      <w:marLeft w:val="0"/>
      <w:marRight w:val="0"/>
      <w:marTop w:val="0"/>
      <w:marBottom w:val="0"/>
      <w:divBdr>
        <w:top w:val="none" w:sz="0" w:space="0" w:color="auto"/>
        <w:left w:val="none" w:sz="0" w:space="0" w:color="auto"/>
        <w:bottom w:val="none" w:sz="0" w:space="0" w:color="auto"/>
        <w:right w:val="none" w:sz="0" w:space="0" w:color="auto"/>
      </w:divBdr>
    </w:div>
    <w:div w:id="1987975336">
      <w:bodyDiv w:val="1"/>
      <w:marLeft w:val="0"/>
      <w:marRight w:val="0"/>
      <w:marTop w:val="0"/>
      <w:marBottom w:val="0"/>
      <w:divBdr>
        <w:top w:val="none" w:sz="0" w:space="0" w:color="auto"/>
        <w:left w:val="none" w:sz="0" w:space="0" w:color="auto"/>
        <w:bottom w:val="none" w:sz="0" w:space="0" w:color="auto"/>
        <w:right w:val="none" w:sz="0" w:space="0" w:color="auto"/>
      </w:divBdr>
      <w:divsChild>
        <w:div w:id="801535838">
          <w:marLeft w:val="0"/>
          <w:marRight w:val="0"/>
          <w:marTop w:val="0"/>
          <w:marBottom w:val="0"/>
          <w:divBdr>
            <w:top w:val="none" w:sz="0" w:space="0" w:color="auto"/>
            <w:left w:val="none" w:sz="0" w:space="0" w:color="auto"/>
            <w:bottom w:val="none" w:sz="0" w:space="0" w:color="auto"/>
            <w:right w:val="none" w:sz="0" w:space="0" w:color="auto"/>
          </w:divBdr>
          <w:divsChild>
            <w:div w:id="139704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940343">
      <w:bodyDiv w:val="1"/>
      <w:marLeft w:val="0"/>
      <w:marRight w:val="0"/>
      <w:marTop w:val="0"/>
      <w:marBottom w:val="0"/>
      <w:divBdr>
        <w:top w:val="none" w:sz="0" w:space="0" w:color="auto"/>
        <w:left w:val="none" w:sz="0" w:space="0" w:color="auto"/>
        <w:bottom w:val="none" w:sz="0" w:space="0" w:color="auto"/>
        <w:right w:val="none" w:sz="0" w:space="0" w:color="auto"/>
      </w:divBdr>
      <w:divsChild>
        <w:div w:id="1016225655">
          <w:marLeft w:val="0"/>
          <w:marRight w:val="0"/>
          <w:marTop w:val="0"/>
          <w:marBottom w:val="0"/>
          <w:divBdr>
            <w:top w:val="none" w:sz="0" w:space="0" w:color="auto"/>
            <w:left w:val="none" w:sz="0" w:space="0" w:color="auto"/>
            <w:bottom w:val="none" w:sz="0" w:space="0" w:color="auto"/>
            <w:right w:val="none" w:sz="0" w:space="0" w:color="auto"/>
          </w:divBdr>
          <w:divsChild>
            <w:div w:id="30547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8892">
      <w:bodyDiv w:val="1"/>
      <w:marLeft w:val="0"/>
      <w:marRight w:val="0"/>
      <w:marTop w:val="0"/>
      <w:marBottom w:val="0"/>
      <w:divBdr>
        <w:top w:val="none" w:sz="0" w:space="0" w:color="auto"/>
        <w:left w:val="none" w:sz="0" w:space="0" w:color="auto"/>
        <w:bottom w:val="none" w:sz="0" w:space="0" w:color="auto"/>
        <w:right w:val="none" w:sz="0" w:space="0" w:color="auto"/>
      </w:divBdr>
      <w:divsChild>
        <w:div w:id="1398941545">
          <w:marLeft w:val="0"/>
          <w:marRight w:val="0"/>
          <w:marTop w:val="0"/>
          <w:marBottom w:val="0"/>
          <w:divBdr>
            <w:top w:val="none" w:sz="0" w:space="0" w:color="auto"/>
            <w:left w:val="none" w:sz="0" w:space="0" w:color="auto"/>
            <w:bottom w:val="none" w:sz="0" w:space="0" w:color="auto"/>
            <w:right w:val="none" w:sz="0" w:space="0" w:color="auto"/>
          </w:divBdr>
          <w:divsChild>
            <w:div w:id="174741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99844">
      <w:bodyDiv w:val="1"/>
      <w:marLeft w:val="0"/>
      <w:marRight w:val="0"/>
      <w:marTop w:val="0"/>
      <w:marBottom w:val="0"/>
      <w:divBdr>
        <w:top w:val="none" w:sz="0" w:space="0" w:color="auto"/>
        <w:left w:val="none" w:sz="0" w:space="0" w:color="auto"/>
        <w:bottom w:val="none" w:sz="0" w:space="0" w:color="auto"/>
        <w:right w:val="none" w:sz="0" w:space="0" w:color="auto"/>
      </w:divBdr>
      <w:divsChild>
        <w:div w:id="388193486">
          <w:marLeft w:val="0"/>
          <w:marRight w:val="0"/>
          <w:marTop w:val="0"/>
          <w:marBottom w:val="0"/>
          <w:divBdr>
            <w:top w:val="none" w:sz="0" w:space="0" w:color="auto"/>
            <w:left w:val="none" w:sz="0" w:space="0" w:color="auto"/>
            <w:bottom w:val="none" w:sz="0" w:space="0" w:color="auto"/>
            <w:right w:val="none" w:sz="0" w:space="0" w:color="auto"/>
          </w:divBdr>
          <w:divsChild>
            <w:div w:id="21066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96524">
      <w:bodyDiv w:val="1"/>
      <w:marLeft w:val="0"/>
      <w:marRight w:val="0"/>
      <w:marTop w:val="0"/>
      <w:marBottom w:val="0"/>
      <w:divBdr>
        <w:top w:val="none" w:sz="0" w:space="0" w:color="auto"/>
        <w:left w:val="none" w:sz="0" w:space="0" w:color="auto"/>
        <w:bottom w:val="none" w:sz="0" w:space="0" w:color="auto"/>
        <w:right w:val="none" w:sz="0" w:space="0" w:color="auto"/>
      </w:divBdr>
      <w:divsChild>
        <w:div w:id="1226336166">
          <w:marLeft w:val="0"/>
          <w:marRight w:val="0"/>
          <w:marTop w:val="0"/>
          <w:marBottom w:val="0"/>
          <w:divBdr>
            <w:top w:val="none" w:sz="0" w:space="0" w:color="auto"/>
            <w:left w:val="none" w:sz="0" w:space="0" w:color="auto"/>
            <w:bottom w:val="none" w:sz="0" w:space="0" w:color="auto"/>
            <w:right w:val="none" w:sz="0" w:space="0" w:color="auto"/>
          </w:divBdr>
          <w:divsChild>
            <w:div w:id="145791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3300">
      <w:bodyDiv w:val="1"/>
      <w:marLeft w:val="0"/>
      <w:marRight w:val="0"/>
      <w:marTop w:val="0"/>
      <w:marBottom w:val="0"/>
      <w:divBdr>
        <w:top w:val="none" w:sz="0" w:space="0" w:color="auto"/>
        <w:left w:val="none" w:sz="0" w:space="0" w:color="auto"/>
        <w:bottom w:val="none" w:sz="0" w:space="0" w:color="auto"/>
        <w:right w:val="none" w:sz="0" w:space="0" w:color="auto"/>
      </w:divBdr>
      <w:divsChild>
        <w:div w:id="1019164519">
          <w:marLeft w:val="0"/>
          <w:marRight w:val="0"/>
          <w:marTop w:val="0"/>
          <w:marBottom w:val="0"/>
          <w:divBdr>
            <w:top w:val="none" w:sz="0" w:space="0" w:color="auto"/>
            <w:left w:val="none" w:sz="0" w:space="0" w:color="auto"/>
            <w:bottom w:val="none" w:sz="0" w:space="0" w:color="auto"/>
            <w:right w:val="none" w:sz="0" w:space="0" w:color="auto"/>
          </w:divBdr>
          <w:divsChild>
            <w:div w:id="99414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59737">
      <w:bodyDiv w:val="1"/>
      <w:marLeft w:val="0"/>
      <w:marRight w:val="0"/>
      <w:marTop w:val="0"/>
      <w:marBottom w:val="0"/>
      <w:divBdr>
        <w:top w:val="none" w:sz="0" w:space="0" w:color="auto"/>
        <w:left w:val="none" w:sz="0" w:space="0" w:color="auto"/>
        <w:bottom w:val="none" w:sz="0" w:space="0" w:color="auto"/>
        <w:right w:val="none" w:sz="0" w:space="0" w:color="auto"/>
      </w:divBdr>
      <w:divsChild>
        <w:div w:id="813835973">
          <w:marLeft w:val="0"/>
          <w:marRight w:val="0"/>
          <w:marTop w:val="0"/>
          <w:marBottom w:val="0"/>
          <w:divBdr>
            <w:top w:val="none" w:sz="0" w:space="0" w:color="auto"/>
            <w:left w:val="none" w:sz="0" w:space="0" w:color="auto"/>
            <w:bottom w:val="none" w:sz="0" w:space="0" w:color="auto"/>
            <w:right w:val="none" w:sz="0" w:space="0" w:color="auto"/>
          </w:divBdr>
          <w:divsChild>
            <w:div w:id="8063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50350">
      <w:bodyDiv w:val="1"/>
      <w:marLeft w:val="0"/>
      <w:marRight w:val="0"/>
      <w:marTop w:val="0"/>
      <w:marBottom w:val="0"/>
      <w:divBdr>
        <w:top w:val="none" w:sz="0" w:space="0" w:color="auto"/>
        <w:left w:val="none" w:sz="0" w:space="0" w:color="auto"/>
        <w:bottom w:val="none" w:sz="0" w:space="0" w:color="auto"/>
        <w:right w:val="none" w:sz="0" w:space="0" w:color="auto"/>
      </w:divBdr>
      <w:divsChild>
        <w:div w:id="57023346">
          <w:marLeft w:val="0"/>
          <w:marRight w:val="0"/>
          <w:marTop w:val="0"/>
          <w:marBottom w:val="0"/>
          <w:divBdr>
            <w:top w:val="none" w:sz="0" w:space="0" w:color="auto"/>
            <w:left w:val="none" w:sz="0" w:space="0" w:color="auto"/>
            <w:bottom w:val="none" w:sz="0" w:space="0" w:color="auto"/>
            <w:right w:val="none" w:sz="0" w:space="0" w:color="auto"/>
          </w:divBdr>
          <w:divsChild>
            <w:div w:id="13375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440174">
      <w:bodyDiv w:val="1"/>
      <w:marLeft w:val="0"/>
      <w:marRight w:val="0"/>
      <w:marTop w:val="0"/>
      <w:marBottom w:val="0"/>
      <w:divBdr>
        <w:top w:val="none" w:sz="0" w:space="0" w:color="auto"/>
        <w:left w:val="none" w:sz="0" w:space="0" w:color="auto"/>
        <w:bottom w:val="none" w:sz="0" w:space="0" w:color="auto"/>
        <w:right w:val="none" w:sz="0" w:space="0" w:color="auto"/>
      </w:divBdr>
      <w:divsChild>
        <w:div w:id="53554939">
          <w:marLeft w:val="0"/>
          <w:marRight w:val="0"/>
          <w:marTop w:val="0"/>
          <w:marBottom w:val="0"/>
          <w:divBdr>
            <w:top w:val="none" w:sz="0" w:space="0" w:color="auto"/>
            <w:left w:val="none" w:sz="0" w:space="0" w:color="auto"/>
            <w:bottom w:val="none" w:sz="0" w:space="0" w:color="auto"/>
            <w:right w:val="none" w:sz="0" w:space="0" w:color="auto"/>
          </w:divBdr>
          <w:divsChild>
            <w:div w:id="8192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91110">
      <w:bodyDiv w:val="1"/>
      <w:marLeft w:val="0"/>
      <w:marRight w:val="0"/>
      <w:marTop w:val="0"/>
      <w:marBottom w:val="0"/>
      <w:divBdr>
        <w:top w:val="none" w:sz="0" w:space="0" w:color="auto"/>
        <w:left w:val="none" w:sz="0" w:space="0" w:color="auto"/>
        <w:bottom w:val="none" w:sz="0" w:space="0" w:color="auto"/>
        <w:right w:val="none" w:sz="0" w:space="0" w:color="auto"/>
      </w:divBdr>
      <w:divsChild>
        <w:div w:id="2024092612">
          <w:marLeft w:val="0"/>
          <w:marRight w:val="0"/>
          <w:marTop w:val="0"/>
          <w:marBottom w:val="0"/>
          <w:divBdr>
            <w:top w:val="none" w:sz="0" w:space="0" w:color="auto"/>
            <w:left w:val="none" w:sz="0" w:space="0" w:color="auto"/>
            <w:bottom w:val="none" w:sz="0" w:space="0" w:color="auto"/>
            <w:right w:val="none" w:sz="0" w:space="0" w:color="auto"/>
          </w:divBdr>
          <w:divsChild>
            <w:div w:id="2772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36686343">
      <w:bodyDiv w:val="1"/>
      <w:marLeft w:val="0"/>
      <w:marRight w:val="0"/>
      <w:marTop w:val="0"/>
      <w:marBottom w:val="0"/>
      <w:divBdr>
        <w:top w:val="none" w:sz="0" w:space="0" w:color="auto"/>
        <w:left w:val="none" w:sz="0" w:space="0" w:color="auto"/>
        <w:bottom w:val="none" w:sz="0" w:space="0" w:color="auto"/>
        <w:right w:val="none" w:sz="0" w:space="0" w:color="auto"/>
      </w:divBdr>
      <w:divsChild>
        <w:div w:id="1537087229">
          <w:marLeft w:val="0"/>
          <w:marRight w:val="0"/>
          <w:marTop w:val="0"/>
          <w:marBottom w:val="0"/>
          <w:divBdr>
            <w:top w:val="none" w:sz="0" w:space="0" w:color="auto"/>
            <w:left w:val="none" w:sz="0" w:space="0" w:color="auto"/>
            <w:bottom w:val="none" w:sz="0" w:space="0" w:color="auto"/>
            <w:right w:val="none" w:sz="0" w:space="0" w:color="auto"/>
          </w:divBdr>
          <w:divsChild>
            <w:div w:id="183922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51451">
      <w:bodyDiv w:val="1"/>
      <w:marLeft w:val="0"/>
      <w:marRight w:val="0"/>
      <w:marTop w:val="0"/>
      <w:marBottom w:val="0"/>
      <w:divBdr>
        <w:top w:val="none" w:sz="0" w:space="0" w:color="auto"/>
        <w:left w:val="none" w:sz="0" w:space="0" w:color="auto"/>
        <w:bottom w:val="none" w:sz="0" w:space="0" w:color="auto"/>
        <w:right w:val="none" w:sz="0" w:space="0" w:color="auto"/>
      </w:divBdr>
      <w:divsChild>
        <w:div w:id="1970940300">
          <w:marLeft w:val="0"/>
          <w:marRight w:val="0"/>
          <w:marTop w:val="0"/>
          <w:marBottom w:val="0"/>
          <w:divBdr>
            <w:top w:val="none" w:sz="0" w:space="0" w:color="auto"/>
            <w:left w:val="none" w:sz="0" w:space="0" w:color="auto"/>
            <w:bottom w:val="none" w:sz="0" w:space="0" w:color="auto"/>
            <w:right w:val="none" w:sz="0" w:space="0" w:color="auto"/>
          </w:divBdr>
          <w:divsChild>
            <w:div w:id="12904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7192">
      <w:bodyDiv w:val="1"/>
      <w:marLeft w:val="0"/>
      <w:marRight w:val="0"/>
      <w:marTop w:val="0"/>
      <w:marBottom w:val="0"/>
      <w:divBdr>
        <w:top w:val="none" w:sz="0" w:space="0" w:color="auto"/>
        <w:left w:val="none" w:sz="0" w:space="0" w:color="auto"/>
        <w:bottom w:val="none" w:sz="0" w:space="0" w:color="auto"/>
        <w:right w:val="none" w:sz="0" w:space="0" w:color="auto"/>
      </w:divBdr>
      <w:divsChild>
        <w:div w:id="219100884">
          <w:marLeft w:val="0"/>
          <w:marRight w:val="0"/>
          <w:marTop w:val="0"/>
          <w:marBottom w:val="0"/>
          <w:divBdr>
            <w:top w:val="none" w:sz="0" w:space="0" w:color="auto"/>
            <w:left w:val="none" w:sz="0" w:space="0" w:color="auto"/>
            <w:bottom w:val="none" w:sz="0" w:space="0" w:color="auto"/>
            <w:right w:val="none" w:sz="0" w:space="0" w:color="auto"/>
          </w:divBdr>
          <w:divsChild>
            <w:div w:id="91524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 w:id="2061518630">
      <w:bodyDiv w:val="1"/>
      <w:marLeft w:val="0"/>
      <w:marRight w:val="0"/>
      <w:marTop w:val="0"/>
      <w:marBottom w:val="0"/>
      <w:divBdr>
        <w:top w:val="none" w:sz="0" w:space="0" w:color="auto"/>
        <w:left w:val="none" w:sz="0" w:space="0" w:color="auto"/>
        <w:bottom w:val="none" w:sz="0" w:space="0" w:color="auto"/>
        <w:right w:val="none" w:sz="0" w:space="0" w:color="auto"/>
      </w:divBdr>
      <w:divsChild>
        <w:div w:id="1296792905">
          <w:marLeft w:val="0"/>
          <w:marRight w:val="0"/>
          <w:marTop w:val="0"/>
          <w:marBottom w:val="0"/>
          <w:divBdr>
            <w:top w:val="none" w:sz="0" w:space="0" w:color="auto"/>
            <w:left w:val="none" w:sz="0" w:space="0" w:color="auto"/>
            <w:bottom w:val="none" w:sz="0" w:space="0" w:color="auto"/>
            <w:right w:val="none" w:sz="0" w:space="0" w:color="auto"/>
          </w:divBdr>
          <w:divsChild>
            <w:div w:id="58565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9241">
      <w:bodyDiv w:val="1"/>
      <w:marLeft w:val="0"/>
      <w:marRight w:val="0"/>
      <w:marTop w:val="0"/>
      <w:marBottom w:val="0"/>
      <w:divBdr>
        <w:top w:val="none" w:sz="0" w:space="0" w:color="auto"/>
        <w:left w:val="none" w:sz="0" w:space="0" w:color="auto"/>
        <w:bottom w:val="none" w:sz="0" w:space="0" w:color="auto"/>
        <w:right w:val="none" w:sz="0" w:space="0" w:color="auto"/>
      </w:divBdr>
      <w:divsChild>
        <w:div w:id="992099325">
          <w:marLeft w:val="0"/>
          <w:marRight w:val="0"/>
          <w:marTop w:val="0"/>
          <w:marBottom w:val="0"/>
          <w:divBdr>
            <w:top w:val="none" w:sz="0" w:space="0" w:color="auto"/>
            <w:left w:val="none" w:sz="0" w:space="0" w:color="auto"/>
            <w:bottom w:val="none" w:sz="0" w:space="0" w:color="auto"/>
            <w:right w:val="none" w:sz="0" w:space="0" w:color="auto"/>
          </w:divBdr>
          <w:divsChild>
            <w:div w:id="57779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90514">
      <w:bodyDiv w:val="1"/>
      <w:marLeft w:val="0"/>
      <w:marRight w:val="0"/>
      <w:marTop w:val="0"/>
      <w:marBottom w:val="0"/>
      <w:divBdr>
        <w:top w:val="none" w:sz="0" w:space="0" w:color="auto"/>
        <w:left w:val="none" w:sz="0" w:space="0" w:color="auto"/>
        <w:bottom w:val="none" w:sz="0" w:space="0" w:color="auto"/>
        <w:right w:val="none" w:sz="0" w:space="0" w:color="auto"/>
      </w:divBdr>
      <w:divsChild>
        <w:div w:id="267740661">
          <w:marLeft w:val="0"/>
          <w:marRight w:val="0"/>
          <w:marTop w:val="0"/>
          <w:marBottom w:val="0"/>
          <w:divBdr>
            <w:top w:val="none" w:sz="0" w:space="0" w:color="auto"/>
            <w:left w:val="none" w:sz="0" w:space="0" w:color="auto"/>
            <w:bottom w:val="none" w:sz="0" w:space="0" w:color="auto"/>
            <w:right w:val="none" w:sz="0" w:space="0" w:color="auto"/>
          </w:divBdr>
          <w:divsChild>
            <w:div w:id="99722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7405">
      <w:bodyDiv w:val="1"/>
      <w:marLeft w:val="0"/>
      <w:marRight w:val="0"/>
      <w:marTop w:val="0"/>
      <w:marBottom w:val="0"/>
      <w:divBdr>
        <w:top w:val="none" w:sz="0" w:space="0" w:color="auto"/>
        <w:left w:val="none" w:sz="0" w:space="0" w:color="auto"/>
        <w:bottom w:val="none" w:sz="0" w:space="0" w:color="auto"/>
        <w:right w:val="none" w:sz="0" w:space="0" w:color="auto"/>
      </w:divBdr>
      <w:divsChild>
        <w:div w:id="1624069750">
          <w:marLeft w:val="0"/>
          <w:marRight w:val="0"/>
          <w:marTop w:val="0"/>
          <w:marBottom w:val="0"/>
          <w:divBdr>
            <w:top w:val="none" w:sz="0" w:space="0" w:color="auto"/>
            <w:left w:val="none" w:sz="0" w:space="0" w:color="auto"/>
            <w:bottom w:val="none" w:sz="0" w:space="0" w:color="auto"/>
            <w:right w:val="none" w:sz="0" w:space="0" w:color="auto"/>
          </w:divBdr>
          <w:divsChild>
            <w:div w:id="1015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47448">
      <w:bodyDiv w:val="1"/>
      <w:marLeft w:val="0"/>
      <w:marRight w:val="0"/>
      <w:marTop w:val="0"/>
      <w:marBottom w:val="0"/>
      <w:divBdr>
        <w:top w:val="none" w:sz="0" w:space="0" w:color="auto"/>
        <w:left w:val="none" w:sz="0" w:space="0" w:color="auto"/>
        <w:bottom w:val="none" w:sz="0" w:space="0" w:color="auto"/>
        <w:right w:val="none" w:sz="0" w:space="0" w:color="auto"/>
      </w:divBdr>
      <w:divsChild>
        <w:div w:id="2128692335">
          <w:marLeft w:val="0"/>
          <w:marRight w:val="0"/>
          <w:marTop w:val="0"/>
          <w:marBottom w:val="0"/>
          <w:divBdr>
            <w:top w:val="none" w:sz="0" w:space="0" w:color="auto"/>
            <w:left w:val="none" w:sz="0" w:space="0" w:color="auto"/>
            <w:bottom w:val="none" w:sz="0" w:space="0" w:color="auto"/>
            <w:right w:val="none" w:sz="0" w:space="0" w:color="auto"/>
          </w:divBdr>
          <w:divsChild>
            <w:div w:id="38044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78265">
      <w:bodyDiv w:val="1"/>
      <w:marLeft w:val="0"/>
      <w:marRight w:val="0"/>
      <w:marTop w:val="0"/>
      <w:marBottom w:val="0"/>
      <w:divBdr>
        <w:top w:val="none" w:sz="0" w:space="0" w:color="auto"/>
        <w:left w:val="none" w:sz="0" w:space="0" w:color="auto"/>
        <w:bottom w:val="none" w:sz="0" w:space="0" w:color="auto"/>
        <w:right w:val="none" w:sz="0" w:space="0" w:color="auto"/>
      </w:divBdr>
      <w:divsChild>
        <w:div w:id="1302540852">
          <w:marLeft w:val="0"/>
          <w:marRight w:val="0"/>
          <w:marTop w:val="0"/>
          <w:marBottom w:val="0"/>
          <w:divBdr>
            <w:top w:val="none" w:sz="0" w:space="0" w:color="auto"/>
            <w:left w:val="none" w:sz="0" w:space="0" w:color="auto"/>
            <w:bottom w:val="none" w:sz="0" w:space="0" w:color="auto"/>
            <w:right w:val="none" w:sz="0" w:space="0" w:color="auto"/>
          </w:divBdr>
          <w:divsChild>
            <w:div w:id="541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393">
      <w:bodyDiv w:val="1"/>
      <w:marLeft w:val="0"/>
      <w:marRight w:val="0"/>
      <w:marTop w:val="0"/>
      <w:marBottom w:val="0"/>
      <w:divBdr>
        <w:top w:val="none" w:sz="0" w:space="0" w:color="auto"/>
        <w:left w:val="none" w:sz="0" w:space="0" w:color="auto"/>
        <w:bottom w:val="none" w:sz="0" w:space="0" w:color="auto"/>
        <w:right w:val="none" w:sz="0" w:space="0" w:color="auto"/>
      </w:divBdr>
      <w:divsChild>
        <w:div w:id="1377895507">
          <w:marLeft w:val="0"/>
          <w:marRight w:val="0"/>
          <w:marTop w:val="0"/>
          <w:marBottom w:val="0"/>
          <w:divBdr>
            <w:top w:val="none" w:sz="0" w:space="0" w:color="auto"/>
            <w:left w:val="none" w:sz="0" w:space="0" w:color="auto"/>
            <w:bottom w:val="none" w:sz="0" w:space="0" w:color="auto"/>
            <w:right w:val="none" w:sz="0" w:space="0" w:color="auto"/>
          </w:divBdr>
          <w:divsChild>
            <w:div w:id="599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366145">
      <w:bodyDiv w:val="1"/>
      <w:marLeft w:val="0"/>
      <w:marRight w:val="0"/>
      <w:marTop w:val="0"/>
      <w:marBottom w:val="0"/>
      <w:divBdr>
        <w:top w:val="none" w:sz="0" w:space="0" w:color="auto"/>
        <w:left w:val="none" w:sz="0" w:space="0" w:color="auto"/>
        <w:bottom w:val="none" w:sz="0" w:space="0" w:color="auto"/>
        <w:right w:val="none" w:sz="0" w:space="0" w:color="auto"/>
      </w:divBdr>
      <w:divsChild>
        <w:div w:id="653488476">
          <w:marLeft w:val="0"/>
          <w:marRight w:val="0"/>
          <w:marTop w:val="0"/>
          <w:marBottom w:val="0"/>
          <w:divBdr>
            <w:top w:val="none" w:sz="0" w:space="0" w:color="auto"/>
            <w:left w:val="none" w:sz="0" w:space="0" w:color="auto"/>
            <w:bottom w:val="none" w:sz="0" w:space="0" w:color="auto"/>
            <w:right w:val="none" w:sz="0" w:space="0" w:color="auto"/>
          </w:divBdr>
          <w:divsChild>
            <w:div w:id="13504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39863">
      <w:bodyDiv w:val="1"/>
      <w:marLeft w:val="0"/>
      <w:marRight w:val="0"/>
      <w:marTop w:val="0"/>
      <w:marBottom w:val="0"/>
      <w:divBdr>
        <w:top w:val="none" w:sz="0" w:space="0" w:color="auto"/>
        <w:left w:val="none" w:sz="0" w:space="0" w:color="auto"/>
        <w:bottom w:val="none" w:sz="0" w:space="0" w:color="auto"/>
        <w:right w:val="none" w:sz="0" w:space="0" w:color="auto"/>
      </w:divBdr>
      <w:divsChild>
        <w:div w:id="145056678">
          <w:marLeft w:val="0"/>
          <w:marRight w:val="0"/>
          <w:marTop w:val="0"/>
          <w:marBottom w:val="0"/>
          <w:divBdr>
            <w:top w:val="none" w:sz="0" w:space="0" w:color="auto"/>
            <w:left w:val="none" w:sz="0" w:space="0" w:color="auto"/>
            <w:bottom w:val="none" w:sz="0" w:space="0" w:color="auto"/>
            <w:right w:val="none" w:sz="0" w:space="0" w:color="auto"/>
          </w:divBdr>
          <w:divsChild>
            <w:div w:id="8476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88754">
      <w:bodyDiv w:val="1"/>
      <w:marLeft w:val="0"/>
      <w:marRight w:val="0"/>
      <w:marTop w:val="0"/>
      <w:marBottom w:val="0"/>
      <w:divBdr>
        <w:top w:val="none" w:sz="0" w:space="0" w:color="auto"/>
        <w:left w:val="none" w:sz="0" w:space="0" w:color="auto"/>
        <w:bottom w:val="none" w:sz="0" w:space="0" w:color="auto"/>
        <w:right w:val="none" w:sz="0" w:space="0" w:color="auto"/>
      </w:divBdr>
      <w:divsChild>
        <w:div w:id="178591062">
          <w:marLeft w:val="0"/>
          <w:marRight w:val="0"/>
          <w:marTop w:val="0"/>
          <w:marBottom w:val="0"/>
          <w:divBdr>
            <w:top w:val="none" w:sz="0" w:space="0" w:color="auto"/>
            <w:left w:val="none" w:sz="0" w:space="0" w:color="auto"/>
            <w:bottom w:val="none" w:sz="0" w:space="0" w:color="auto"/>
            <w:right w:val="none" w:sz="0" w:space="0" w:color="auto"/>
          </w:divBdr>
          <w:divsChild>
            <w:div w:id="75039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2620">
      <w:bodyDiv w:val="1"/>
      <w:marLeft w:val="0"/>
      <w:marRight w:val="0"/>
      <w:marTop w:val="0"/>
      <w:marBottom w:val="0"/>
      <w:divBdr>
        <w:top w:val="none" w:sz="0" w:space="0" w:color="auto"/>
        <w:left w:val="none" w:sz="0" w:space="0" w:color="auto"/>
        <w:bottom w:val="none" w:sz="0" w:space="0" w:color="auto"/>
        <w:right w:val="none" w:sz="0" w:space="0" w:color="auto"/>
      </w:divBdr>
      <w:divsChild>
        <w:div w:id="443698615">
          <w:marLeft w:val="0"/>
          <w:marRight w:val="0"/>
          <w:marTop w:val="0"/>
          <w:marBottom w:val="0"/>
          <w:divBdr>
            <w:top w:val="none" w:sz="0" w:space="0" w:color="auto"/>
            <w:left w:val="none" w:sz="0" w:space="0" w:color="auto"/>
            <w:bottom w:val="none" w:sz="0" w:space="0" w:color="auto"/>
            <w:right w:val="none" w:sz="0" w:space="0" w:color="auto"/>
          </w:divBdr>
          <w:divsChild>
            <w:div w:id="18577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9732">
      <w:bodyDiv w:val="1"/>
      <w:marLeft w:val="0"/>
      <w:marRight w:val="0"/>
      <w:marTop w:val="0"/>
      <w:marBottom w:val="0"/>
      <w:divBdr>
        <w:top w:val="none" w:sz="0" w:space="0" w:color="auto"/>
        <w:left w:val="none" w:sz="0" w:space="0" w:color="auto"/>
        <w:bottom w:val="none" w:sz="0" w:space="0" w:color="auto"/>
        <w:right w:val="none" w:sz="0" w:space="0" w:color="auto"/>
      </w:divBdr>
      <w:divsChild>
        <w:div w:id="1470584945">
          <w:marLeft w:val="0"/>
          <w:marRight w:val="0"/>
          <w:marTop w:val="0"/>
          <w:marBottom w:val="0"/>
          <w:divBdr>
            <w:top w:val="none" w:sz="0" w:space="0" w:color="auto"/>
            <w:left w:val="none" w:sz="0" w:space="0" w:color="auto"/>
            <w:bottom w:val="none" w:sz="0" w:space="0" w:color="auto"/>
            <w:right w:val="none" w:sz="0" w:space="0" w:color="auto"/>
          </w:divBdr>
          <w:divsChild>
            <w:div w:id="155499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56557">
      <w:bodyDiv w:val="1"/>
      <w:marLeft w:val="0"/>
      <w:marRight w:val="0"/>
      <w:marTop w:val="0"/>
      <w:marBottom w:val="0"/>
      <w:divBdr>
        <w:top w:val="none" w:sz="0" w:space="0" w:color="auto"/>
        <w:left w:val="none" w:sz="0" w:space="0" w:color="auto"/>
        <w:bottom w:val="none" w:sz="0" w:space="0" w:color="auto"/>
        <w:right w:val="none" w:sz="0" w:space="0" w:color="auto"/>
      </w:divBdr>
      <w:divsChild>
        <w:div w:id="1861776125">
          <w:marLeft w:val="0"/>
          <w:marRight w:val="0"/>
          <w:marTop w:val="0"/>
          <w:marBottom w:val="0"/>
          <w:divBdr>
            <w:top w:val="none" w:sz="0" w:space="0" w:color="auto"/>
            <w:left w:val="none" w:sz="0" w:space="0" w:color="auto"/>
            <w:bottom w:val="none" w:sz="0" w:space="0" w:color="auto"/>
            <w:right w:val="none" w:sz="0" w:space="0" w:color="auto"/>
          </w:divBdr>
          <w:divsChild>
            <w:div w:id="4999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5.xml"/><Relationship Id="rId42" Type="http://schemas.openxmlformats.org/officeDocument/2006/relationships/chart" Target="charts/chart13.xml"/><Relationship Id="rId47" Type="http://schemas.openxmlformats.org/officeDocument/2006/relationships/chart" Target="charts/chart16.xml"/><Relationship Id="rId63" Type="http://schemas.openxmlformats.org/officeDocument/2006/relationships/chart" Target="charts/chart30.xml"/><Relationship Id="rId68" Type="http://schemas.openxmlformats.org/officeDocument/2006/relationships/header" Target="header13.xml"/><Relationship Id="rId7" Type="http://schemas.openxmlformats.org/officeDocument/2006/relationships/settings" Target="setting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chart" Target="charts/chart2.xml"/><Relationship Id="rId11" Type="http://schemas.openxmlformats.org/officeDocument/2006/relationships/image" Target="media/image1.emf"/><Relationship Id="rId24" Type="http://schemas.openxmlformats.org/officeDocument/2006/relationships/header" Target="header6.xml"/><Relationship Id="rId32" Type="http://schemas.openxmlformats.org/officeDocument/2006/relationships/chart" Target="charts/chart5.xml"/><Relationship Id="rId37" Type="http://schemas.openxmlformats.org/officeDocument/2006/relationships/image" Target="media/image4.png"/><Relationship Id="rId40" Type="http://schemas.openxmlformats.org/officeDocument/2006/relationships/chart" Target="charts/chart11.xml"/><Relationship Id="rId45" Type="http://schemas.openxmlformats.org/officeDocument/2006/relationships/image" Target="media/image5.png"/><Relationship Id="rId53" Type="http://schemas.openxmlformats.org/officeDocument/2006/relationships/chart" Target="charts/chart22.xml"/><Relationship Id="rId58" Type="http://schemas.openxmlformats.org/officeDocument/2006/relationships/chart" Target="charts/chart27.xml"/><Relationship Id="rId66" Type="http://schemas.openxmlformats.org/officeDocument/2006/relationships/header" Target="header11.xml"/><Relationship Id="rId5" Type="http://schemas.openxmlformats.org/officeDocument/2006/relationships/numbering" Target="numbering.xml"/><Relationship Id="rId61" Type="http://schemas.openxmlformats.org/officeDocument/2006/relationships/image" Target="media/image7.png"/><Relationship Id="rId19" Type="http://schemas.openxmlformats.org/officeDocument/2006/relationships/footer" Target="footer3.xml"/><Relationship Id="rId14" Type="http://schemas.openxmlformats.org/officeDocument/2006/relationships/image" Target="media/image2.emf"/><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chart" Target="charts/chart14.xml"/><Relationship Id="rId48" Type="http://schemas.openxmlformats.org/officeDocument/2006/relationships/chart" Target="charts/chart17.xml"/><Relationship Id="rId56" Type="http://schemas.openxmlformats.org/officeDocument/2006/relationships/chart" Target="charts/chart25.xml"/><Relationship Id="rId64" Type="http://schemas.openxmlformats.org/officeDocument/2006/relationships/header" Target="header9.xml"/><Relationship Id="rId69" Type="http://schemas.openxmlformats.org/officeDocument/2006/relationships/header" Target="header14.xml"/><Relationship Id="rId8" Type="http://schemas.openxmlformats.org/officeDocument/2006/relationships/webSettings" Target="webSettings.xml"/><Relationship Id="rId51" Type="http://schemas.openxmlformats.org/officeDocument/2006/relationships/chart" Target="charts/chart20.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chart" Target="charts/chart6.xml"/><Relationship Id="rId38" Type="http://schemas.openxmlformats.org/officeDocument/2006/relationships/chart" Target="charts/chart9.xml"/><Relationship Id="rId46" Type="http://schemas.openxmlformats.org/officeDocument/2006/relationships/image" Target="media/image6.png"/><Relationship Id="rId59" Type="http://schemas.openxmlformats.org/officeDocument/2006/relationships/chart" Target="charts/chart28.xml"/><Relationship Id="rId67" Type="http://schemas.openxmlformats.org/officeDocument/2006/relationships/header" Target="header12.xml"/><Relationship Id="rId20" Type="http://schemas.openxmlformats.org/officeDocument/2006/relationships/footer" Target="footer4.xml"/><Relationship Id="rId41" Type="http://schemas.openxmlformats.org/officeDocument/2006/relationships/chart" Target="charts/chart12.xml"/><Relationship Id="rId54" Type="http://schemas.openxmlformats.org/officeDocument/2006/relationships/chart" Target="charts/chart23.xml"/><Relationship Id="rId62" Type="http://schemas.openxmlformats.org/officeDocument/2006/relationships/image" Target="media/image8.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chart" Target="charts/chart1.xml"/><Relationship Id="rId36" Type="http://schemas.openxmlformats.org/officeDocument/2006/relationships/image" Target="media/image3.png"/><Relationship Id="rId49" Type="http://schemas.openxmlformats.org/officeDocument/2006/relationships/chart" Target="charts/chart18.xml"/><Relationship Id="rId57" Type="http://schemas.openxmlformats.org/officeDocument/2006/relationships/chart" Target="charts/chart26.xml"/><Relationship Id="rId10" Type="http://schemas.openxmlformats.org/officeDocument/2006/relationships/endnotes" Target="endnotes.xml"/><Relationship Id="rId31" Type="http://schemas.openxmlformats.org/officeDocument/2006/relationships/chart" Target="charts/chart4.xml"/><Relationship Id="rId44" Type="http://schemas.openxmlformats.org/officeDocument/2006/relationships/chart" Target="charts/chart15.xml"/><Relationship Id="rId52" Type="http://schemas.openxmlformats.org/officeDocument/2006/relationships/chart" Target="charts/chart21.xml"/><Relationship Id="rId60" Type="http://schemas.openxmlformats.org/officeDocument/2006/relationships/chart" Target="charts/chart29.xml"/><Relationship Id="rId65"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chart" Target="charts/chart10.xml"/><Relationship Id="rId34" Type="http://schemas.openxmlformats.org/officeDocument/2006/relationships/chart" Target="charts/chart7.xml"/><Relationship Id="rId50" Type="http://schemas.openxmlformats.org/officeDocument/2006/relationships/chart" Target="charts/chart19.xml"/><Relationship Id="rId55" Type="http://schemas.openxmlformats.org/officeDocument/2006/relationships/chart" Target="charts/chart24.xml"/></Relationships>
</file>

<file path=word/_rels/footnotes.xml.rels><?xml version="1.0" encoding="UTF-8" standalone="yes"?>
<Relationships xmlns="http://schemas.openxmlformats.org/package/2006/relationships"><Relationship Id="rId2" Type="http://schemas.openxmlformats.org/officeDocument/2006/relationships/hyperlink" Target="https://archive.ics.uci.edu/ml/datasets/Legal+Case+Reports" TargetMode="External"/><Relationship Id="rId1" Type="http://schemas.openxmlformats.org/officeDocument/2006/relationships/hyperlink" Target="https://www.kaggle.com/jboysen/scotus-corp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votte5\Disk%20Google\PrF%20MUNI\Dr\dizertace\dizertace%20word\sablonaDP-MUNI-LAW-dis.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II_dat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II_dat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II_data.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II_dat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II_data.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II_data.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II_data.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rozhodnuti_temata_hodnoceni.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rozhodnuti_temata_hodnoceni.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rozhodnuti_temata_hodnoceni.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iga\evaluace.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ovotte5\Disk%20Google\PrF%20MUNI\Dr\textanalysis\GACR\statistika\nejcitovanejsi-outdegree.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novotte5\Disk%20Google\PrF%20MUNI\Dr\textanalysis\caselawanalysis\lemmatizace_tm\evaluace_rozhodnuti_temata_hodnoceni.xlsx" TargetMode="External"/><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ovotte5\Disk%20Google\PrF%20MUNI\Dr\textanalysis\GACR\statistika\nejcitovanejsi-outdegre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novotte5\Disk%20Google\PrF%20MUNI\Dr\textanalysis\GACR\statistika\nejcitovanejsi-outdegre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ovotte5\Disk%20Google\PrF%20MUNI\Dr\textanalysis\GACR\statistika\nejcitovanejsi-indegre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ovotte5\Disk%20Google\PrF%20MUNI\Dr\textanalysis\GACR\statistika\nejcitovanejsi-indegre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ovotte5\Disk%20Google\PrF%20MUNI\Dr\textanalysis\GACR\statistika\nejcitovanejsi-indegre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novotte5\Disk%20Google\PrF%20MUNI\Dr\dizertace\dizertace%20word\dat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'časovy vyvoj'!$A$48</c:f>
              <c:strCache>
                <c:ptCount val="1"/>
                <c:pt idx="0">
                  <c:v>Počet rozhodnutí publikovaných od 1993 do daného roku neobsahujících žádnou citaci</c:v>
                </c:pt>
              </c:strCache>
            </c:strRef>
          </c:tx>
          <c:spPr>
            <a:ln w="28575" cap="rnd">
              <a:solidFill>
                <a:schemeClr val="accent3">
                  <a:shade val="65000"/>
                </a:schemeClr>
              </a:solidFill>
              <a:round/>
            </a:ln>
            <a:effectLst/>
          </c:spPr>
          <c:marker>
            <c:symbol val="none"/>
          </c:marker>
          <c:cat>
            <c:numRef>
              <c:f>'časovy vyvoj'!$B$3:$AA$3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vyvoj'!$B$4:$AA$4</c:f>
              <c:numCache>
                <c:formatCode>General</c:formatCode>
                <c:ptCount val="26"/>
                <c:pt idx="0">
                  <c:v>218</c:v>
                </c:pt>
                <c:pt idx="1">
                  <c:v>776</c:v>
                </c:pt>
                <c:pt idx="2">
                  <c:v>1351</c:v>
                </c:pt>
                <c:pt idx="3">
                  <c:v>2135</c:v>
                </c:pt>
                <c:pt idx="4">
                  <c:v>3133</c:v>
                </c:pt>
                <c:pt idx="5">
                  <c:v>4246</c:v>
                </c:pt>
                <c:pt idx="6">
                  <c:v>5617</c:v>
                </c:pt>
                <c:pt idx="7">
                  <c:v>8376</c:v>
                </c:pt>
                <c:pt idx="8">
                  <c:v>11929</c:v>
                </c:pt>
                <c:pt idx="9">
                  <c:v>15864</c:v>
                </c:pt>
                <c:pt idx="10">
                  <c:v>20491</c:v>
                </c:pt>
                <c:pt idx="11">
                  <c:v>24771</c:v>
                </c:pt>
                <c:pt idx="12">
                  <c:v>31001</c:v>
                </c:pt>
                <c:pt idx="13">
                  <c:v>36738</c:v>
                </c:pt>
                <c:pt idx="14">
                  <c:v>41439</c:v>
                </c:pt>
                <c:pt idx="15">
                  <c:v>45818</c:v>
                </c:pt>
                <c:pt idx="16">
                  <c:v>49666</c:v>
                </c:pt>
                <c:pt idx="17">
                  <c:v>53473</c:v>
                </c:pt>
                <c:pt idx="18">
                  <c:v>57276</c:v>
                </c:pt>
                <c:pt idx="19">
                  <c:v>61062</c:v>
                </c:pt>
                <c:pt idx="20">
                  <c:v>64639</c:v>
                </c:pt>
                <c:pt idx="21">
                  <c:v>67907</c:v>
                </c:pt>
                <c:pt idx="22">
                  <c:v>70675</c:v>
                </c:pt>
                <c:pt idx="23">
                  <c:v>73502</c:v>
                </c:pt>
                <c:pt idx="24">
                  <c:v>76589</c:v>
                </c:pt>
                <c:pt idx="25">
                  <c:v>78963</c:v>
                </c:pt>
              </c:numCache>
            </c:numRef>
          </c:val>
          <c:smooth val="0"/>
          <c:extLst>
            <c:ext xmlns:c16="http://schemas.microsoft.com/office/drawing/2014/chart" uri="{C3380CC4-5D6E-409C-BE32-E72D297353CC}">
              <c16:uniqueId val="{00000000-9A40-4C74-AD91-F3E59D63C782}"/>
            </c:ext>
          </c:extLst>
        </c:ser>
        <c:ser>
          <c:idx val="1"/>
          <c:order val="1"/>
          <c:tx>
            <c:strRef>
              <c:f>'časovy vyvoj'!$A$49</c:f>
              <c:strCache>
                <c:ptCount val="1"/>
                <c:pt idx="0">
                  <c:v>Počet rozhodnutí publikovaných od 1993 do daného roku obsahujících alespoň jednu citaci</c:v>
                </c:pt>
              </c:strCache>
            </c:strRef>
          </c:tx>
          <c:spPr>
            <a:ln w="28575" cap="rnd">
              <a:solidFill>
                <a:schemeClr val="accent3"/>
              </a:solidFill>
              <a:round/>
            </a:ln>
            <a:effectLst/>
          </c:spPr>
          <c:marker>
            <c:symbol val="none"/>
          </c:marker>
          <c:cat>
            <c:numRef>
              <c:f>'časovy vyvoj'!$B$3:$AA$3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vyvoj'!$B$5:$AA$5</c:f>
              <c:numCache>
                <c:formatCode>General</c:formatCode>
                <c:ptCount val="26"/>
                <c:pt idx="0">
                  <c:v>7</c:v>
                </c:pt>
                <c:pt idx="1">
                  <c:v>75</c:v>
                </c:pt>
                <c:pt idx="2">
                  <c:v>275</c:v>
                </c:pt>
                <c:pt idx="3">
                  <c:v>529</c:v>
                </c:pt>
                <c:pt idx="4">
                  <c:v>921</c:v>
                </c:pt>
                <c:pt idx="5">
                  <c:v>1477</c:v>
                </c:pt>
                <c:pt idx="6">
                  <c:v>2230</c:v>
                </c:pt>
                <c:pt idx="7">
                  <c:v>4007</c:v>
                </c:pt>
                <c:pt idx="8">
                  <c:v>6659</c:v>
                </c:pt>
                <c:pt idx="9">
                  <c:v>9411</c:v>
                </c:pt>
                <c:pt idx="10">
                  <c:v>12724</c:v>
                </c:pt>
                <c:pt idx="11">
                  <c:v>16905</c:v>
                </c:pt>
                <c:pt idx="12">
                  <c:v>23443</c:v>
                </c:pt>
                <c:pt idx="13">
                  <c:v>31227</c:v>
                </c:pt>
                <c:pt idx="14">
                  <c:v>40318</c:v>
                </c:pt>
                <c:pt idx="15">
                  <c:v>49404</c:v>
                </c:pt>
                <c:pt idx="16">
                  <c:v>59212</c:v>
                </c:pt>
                <c:pt idx="17">
                  <c:v>69123</c:v>
                </c:pt>
                <c:pt idx="18">
                  <c:v>79387</c:v>
                </c:pt>
                <c:pt idx="19">
                  <c:v>89830</c:v>
                </c:pt>
                <c:pt idx="20">
                  <c:v>99829</c:v>
                </c:pt>
                <c:pt idx="21">
                  <c:v>111082</c:v>
                </c:pt>
                <c:pt idx="22">
                  <c:v>123028</c:v>
                </c:pt>
                <c:pt idx="23">
                  <c:v>135817</c:v>
                </c:pt>
                <c:pt idx="24">
                  <c:v>149112</c:v>
                </c:pt>
                <c:pt idx="25">
                  <c:v>158760</c:v>
                </c:pt>
              </c:numCache>
            </c:numRef>
          </c:val>
          <c:smooth val="0"/>
          <c:extLst>
            <c:ext xmlns:c16="http://schemas.microsoft.com/office/drawing/2014/chart" uri="{C3380CC4-5D6E-409C-BE32-E72D297353CC}">
              <c16:uniqueId val="{00000001-9A40-4C74-AD91-F3E59D63C782}"/>
            </c:ext>
          </c:extLst>
        </c:ser>
        <c:ser>
          <c:idx val="2"/>
          <c:order val="2"/>
          <c:tx>
            <c:strRef>
              <c:f>'časovy vyvoj'!$A$50</c:f>
              <c:strCache>
                <c:ptCount val="1"/>
                <c:pt idx="0">
                  <c:v>Počet rozhodnutí publikovaných od 1993 do daného roku</c:v>
                </c:pt>
              </c:strCache>
            </c:strRef>
          </c:tx>
          <c:spPr>
            <a:ln w="28575" cap="rnd">
              <a:solidFill>
                <a:schemeClr val="accent3">
                  <a:tint val="65000"/>
                </a:schemeClr>
              </a:solidFill>
              <a:round/>
            </a:ln>
            <a:effectLst/>
          </c:spPr>
          <c:marker>
            <c:symbol val="none"/>
          </c:marker>
          <c:cat>
            <c:numRef>
              <c:f>'časovy vyvoj'!$B$3:$AA$3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vyvoj'!$B$9:$AA$9</c:f>
              <c:numCache>
                <c:formatCode>General</c:formatCode>
                <c:ptCount val="26"/>
                <c:pt idx="0">
                  <c:v>225</c:v>
                </c:pt>
                <c:pt idx="1">
                  <c:v>851</c:v>
                </c:pt>
                <c:pt idx="2">
                  <c:v>1626</c:v>
                </c:pt>
                <c:pt idx="3">
                  <c:v>2664</c:v>
                </c:pt>
                <c:pt idx="4">
                  <c:v>4054</c:v>
                </c:pt>
                <c:pt idx="5">
                  <c:v>5723</c:v>
                </c:pt>
                <c:pt idx="6">
                  <c:v>7847</c:v>
                </c:pt>
                <c:pt idx="7">
                  <c:v>12383</c:v>
                </c:pt>
                <c:pt idx="8">
                  <c:v>18588</c:v>
                </c:pt>
                <c:pt idx="9">
                  <c:v>25275</c:v>
                </c:pt>
                <c:pt idx="10">
                  <c:v>33215</c:v>
                </c:pt>
                <c:pt idx="11">
                  <c:v>41676</c:v>
                </c:pt>
                <c:pt idx="12">
                  <c:v>54444</c:v>
                </c:pt>
                <c:pt idx="13">
                  <c:v>67965</c:v>
                </c:pt>
                <c:pt idx="14">
                  <c:v>81757</c:v>
                </c:pt>
                <c:pt idx="15">
                  <c:v>95222</c:v>
                </c:pt>
                <c:pt idx="16">
                  <c:v>108878</c:v>
                </c:pt>
                <c:pt idx="17">
                  <c:v>122596</c:v>
                </c:pt>
                <c:pt idx="18">
                  <c:v>136663</c:v>
                </c:pt>
                <c:pt idx="19">
                  <c:v>150892</c:v>
                </c:pt>
                <c:pt idx="20">
                  <c:v>164468</c:v>
                </c:pt>
                <c:pt idx="21">
                  <c:v>178989</c:v>
                </c:pt>
                <c:pt idx="22">
                  <c:v>193703</c:v>
                </c:pt>
                <c:pt idx="23">
                  <c:v>209319</c:v>
                </c:pt>
                <c:pt idx="24">
                  <c:v>225701</c:v>
                </c:pt>
                <c:pt idx="25">
                  <c:v>237723</c:v>
                </c:pt>
              </c:numCache>
            </c:numRef>
          </c:val>
          <c:smooth val="0"/>
          <c:extLst>
            <c:ext xmlns:c16="http://schemas.microsoft.com/office/drawing/2014/chart" uri="{C3380CC4-5D6E-409C-BE32-E72D297353CC}">
              <c16:uniqueId val="{00000002-9A40-4C74-AD91-F3E59D63C782}"/>
            </c:ext>
          </c:extLst>
        </c:ser>
        <c:dLbls>
          <c:showLegendKey val="0"/>
          <c:showVal val="0"/>
          <c:showCatName val="0"/>
          <c:showSerName val="0"/>
          <c:showPercent val="0"/>
          <c:showBubbleSize val="0"/>
        </c:dLbls>
        <c:smooth val="0"/>
        <c:axId val="507272623"/>
        <c:axId val="507281775"/>
      </c:lineChart>
      <c:catAx>
        <c:axId val="5072726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Čas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7281775"/>
        <c:crosses val="autoZero"/>
        <c:auto val="1"/>
        <c:lblAlgn val="ctr"/>
        <c:lblOffset val="100"/>
        <c:noMultiLvlLbl val="0"/>
      </c:catAx>
      <c:valAx>
        <c:axId val="5072817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 Počet rozhodnutí</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7272623"/>
        <c:crosses val="autoZero"/>
        <c:crossBetween val="between"/>
      </c:valAx>
      <c:spPr>
        <a:noFill/>
        <a:ln>
          <a:noFill/>
        </a:ln>
        <a:effectLst/>
      </c:spPr>
    </c:plotArea>
    <c:legend>
      <c:legendPos val="b"/>
      <c:layout>
        <c:manualLayout>
          <c:xMode val="edge"/>
          <c:yMode val="edge"/>
          <c:x val="6.8678696412948381E-2"/>
          <c:y val="0.6718722659667542"/>
          <c:w val="0.88635104986876634"/>
          <c:h val="0.271553986786134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NS!$A$49</c:f>
              <c:strCache>
                <c:ptCount val="1"/>
                <c:pt idx="0">
                  <c:v>Počet rozhodnutí publikovaných v daném roce neobsahujících žádnou citaci</c:v>
                </c:pt>
              </c:strCache>
            </c:strRef>
          </c:tx>
          <c:spPr>
            <a:ln w="28575" cap="rnd">
              <a:solidFill>
                <a:schemeClr val="accent3">
                  <a:shade val="65000"/>
                </a:schemeClr>
              </a:solidFill>
              <a:round/>
            </a:ln>
            <a:effectLst/>
          </c:spPr>
          <c:marker>
            <c:symbol val="none"/>
          </c:marker>
          <c:cat>
            <c:numRef>
              <c:f>NS!$B$13:$AA$13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NS!$B$14:$AA$14</c:f>
              <c:numCache>
                <c:formatCode>General</c:formatCode>
                <c:ptCount val="26"/>
                <c:pt idx="4">
                  <c:v>14</c:v>
                </c:pt>
                <c:pt idx="5">
                  <c:v>32</c:v>
                </c:pt>
                <c:pt idx="6">
                  <c:v>17</c:v>
                </c:pt>
                <c:pt idx="7">
                  <c:v>1194</c:v>
                </c:pt>
                <c:pt idx="8">
                  <c:v>1954</c:v>
                </c:pt>
                <c:pt idx="9">
                  <c:v>2587</c:v>
                </c:pt>
                <c:pt idx="10">
                  <c:v>2963</c:v>
                </c:pt>
                <c:pt idx="11">
                  <c:v>2717</c:v>
                </c:pt>
                <c:pt idx="12">
                  <c:v>2401</c:v>
                </c:pt>
                <c:pt idx="13">
                  <c:v>2267</c:v>
                </c:pt>
                <c:pt idx="14">
                  <c:v>1853</c:v>
                </c:pt>
                <c:pt idx="15">
                  <c:v>2013</c:v>
                </c:pt>
                <c:pt idx="16">
                  <c:v>1778</c:v>
                </c:pt>
                <c:pt idx="17">
                  <c:v>1745</c:v>
                </c:pt>
                <c:pt idx="18">
                  <c:v>1630</c:v>
                </c:pt>
                <c:pt idx="19">
                  <c:v>1351</c:v>
                </c:pt>
                <c:pt idx="20">
                  <c:v>1292</c:v>
                </c:pt>
                <c:pt idx="21">
                  <c:v>1337</c:v>
                </c:pt>
                <c:pt idx="22">
                  <c:v>1097</c:v>
                </c:pt>
                <c:pt idx="23">
                  <c:v>937</c:v>
                </c:pt>
                <c:pt idx="24">
                  <c:v>1078</c:v>
                </c:pt>
                <c:pt idx="25">
                  <c:v>714</c:v>
                </c:pt>
              </c:numCache>
            </c:numRef>
          </c:val>
          <c:smooth val="0"/>
          <c:extLst>
            <c:ext xmlns:c16="http://schemas.microsoft.com/office/drawing/2014/chart" uri="{C3380CC4-5D6E-409C-BE32-E72D297353CC}">
              <c16:uniqueId val="{00000000-E965-42CA-831F-1C95CC443932}"/>
            </c:ext>
          </c:extLst>
        </c:ser>
        <c:ser>
          <c:idx val="1"/>
          <c:order val="1"/>
          <c:tx>
            <c:strRef>
              <c:f>NS!$A$50</c:f>
              <c:strCache>
                <c:ptCount val="1"/>
                <c:pt idx="0">
                  <c:v>Počet rozhodnutí publikovaných v daném roce obsahujících alespoň jednu citaci</c:v>
                </c:pt>
              </c:strCache>
            </c:strRef>
          </c:tx>
          <c:spPr>
            <a:ln w="28575" cap="rnd">
              <a:solidFill>
                <a:schemeClr val="accent3"/>
              </a:solidFill>
              <a:round/>
            </a:ln>
            <a:effectLst/>
          </c:spPr>
          <c:marker>
            <c:symbol val="none"/>
          </c:marker>
          <c:cat>
            <c:numRef>
              <c:f>NS!$B$13:$AA$13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NS!$B$15:$AA$15</c:f>
              <c:numCache>
                <c:formatCode>General</c:formatCode>
                <c:ptCount val="26"/>
                <c:pt idx="4">
                  <c:v>8</c:v>
                </c:pt>
                <c:pt idx="5">
                  <c:v>9</c:v>
                </c:pt>
                <c:pt idx="6">
                  <c:v>27</c:v>
                </c:pt>
                <c:pt idx="7">
                  <c:v>755</c:v>
                </c:pt>
                <c:pt idx="8">
                  <c:v>1426</c:v>
                </c:pt>
                <c:pt idx="9">
                  <c:v>1404</c:v>
                </c:pt>
                <c:pt idx="10">
                  <c:v>1914</c:v>
                </c:pt>
                <c:pt idx="11">
                  <c:v>2450</c:v>
                </c:pt>
                <c:pt idx="12">
                  <c:v>3204</c:v>
                </c:pt>
                <c:pt idx="13">
                  <c:v>3542</c:v>
                </c:pt>
                <c:pt idx="14">
                  <c:v>3862</c:v>
                </c:pt>
                <c:pt idx="15">
                  <c:v>4297</c:v>
                </c:pt>
                <c:pt idx="16">
                  <c:v>4937</c:v>
                </c:pt>
                <c:pt idx="17">
                  <c:v>5286</c:v>
                </c:pt>
                <c:pt idx="18">
                  <c:v>5613</c:v>
                </c:pt>
                <c:pt idx="19">
                  <c:v>5171</c:v>
                </c:pt>
                <c:pt idx="20">
                  <c:v>4884</c:v>
                </c:pt>
                <c:pt idx="21">
                  <c:v>5473</c:v>
                </c:pt>
                <c:pt idx="22">
                  <c:v>6147</c:v>
                </c:pt>
                <c:pt idx="23">
                  <c:v>6803</c:v>
                </c:pt>
                <c:pt idx="24">
                  <c:v>6981</c:v>
                </c:pt>
                <c:pt idx="25">
                  <c:v>4813</c:v>
                </c:pt>
              </c:numCache>
            </c:numRef>
          </c:val>
          <c:smooth val="0"/>
          <c:extLst>
            <c:ext xmlns:c16="http://schemas.microsoft.com/office/drawing/2014/chart" uri="{C3380CC4-5D6E-409C-BE32-E72D297353CC}">
              <c16:uniqueId val="{00000001-E965-42CA-831F-1C95CC443932}"/>
            </c:ext>
          </c:extLst>
        </c:ser>
        <c:ser>
          <c:idx val="2"/>
          <c:order val="2"/>
          <c:tx>
            <c:strRef>
              <c:f>NS!$A$51</c:f>
              <c:strCache>
                <c:ptCount val="1"/>
                <c:pt idx="0">
                  <c:v>Počet rozhodnutí publikovaných v daném roce</c:v>
                </c:pt>
              </c:strCache>
            </c:strRef>
          </c:tx>
          <c:spPr>
            <a:ln w="28575" cap="rnd">
              <a:solidFill>
                <a:schemeClr val="accent3">
                  <a:tint val="65000"/>
                </a:schemeClr>
              </a:solidFill>
              <a:round/>
            </a:ln>
            <a:effectLst/>
          </c:spPr>
          <c:marker>
            <c:symbol val="none"/>
          </c:marker>
          <c:cat>
            <c:numRef>
              <c:f>NS!$B$13:$AA$13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NS!$B$19:$AA$19</c:f>
              <c:numCache>
                <c:formatCode>General</c:formatCode>
                <c:ptCount val="26"/>
                <c:pt idx="4">
                  <c:v>22</c:v>
                </c:pt>
                <c:pt idx="5">
                  <c:v>41</c:v>
                </c:pt>
                <c:pt idx="6">
                  <c:v>44</c:v>
                </c:pt>
                <c:pt idx="7">
                  <c:v>1949</c:v>
                </c:pt>
                <c:pt idx="8">
                  <c:v>3380</c:v>
                </c:pt>
                <c:pt idx="9">
                  <c:v>3991</c:v>
                </c:pt>
                <c:pt idx="10">
                  <c:v>4877</c:v>
                </c:pt>
                <c:pt idx="11">
                  <c:v>5167</c:v>
                </c:pt>
                <c:pt idx="12">
                  <c:v>5605</c:v>
                </c:pt>
                <c:pt idx="13">
                  <c:v>5809</c:v>
                </c:pt>
                <c:pt idx="14">
                  <c:v>5715</c:v>
                </c:pt>
                <c:pt idx="15">
                  <c:v>6310</c:v>
                </c:pt>
                <c:pt idx="16">
                  <c:v>6715</c:v>
                </c:pt>
                <c:pt idx="17">
                  <c:v>7031</c:v>
                </c:pt>
                <c:pt idx="18">
                  <c:v>7243</c:v>
                </c:pt>
                <c:pt idx="19">
                  <c:v>6522</c:v>
                </c:pt>
                <c:pt idx="20">
                  <c:v>6176</c:v>
                </c:pt>
                <c:pt idx="21">
                  <c:v>6810</c:v>
                </c:pt>
                <c:pt idx="22">
                  <c:v>7244</c:v>
                </c:pt>
                <c:pt idx="23">
                  <c:v>7740</c:v>
                </c:pt>
                <c:pt idx="24">
                  <c:v>8059</c:v>
                </c:pt>
                <c:pt idx="25">
                  <c:v>5527</c:v>
                </c:pt>
              </c:numCache>
            </c:numRef>
          </c:val>
          <c:smooth val="0"/>
          <c:extLst>
            <c:ext xmlns:c16="http://schemas.microsoft.com/office/drawing/2014/chart" uri="{C3380CC4-5D6E-409C-BE32-E72D297353CC}">
              <c16:uniqueId val="{00000002-E965-42CA-831F-1C95CC443932}"/>
            </c:ext>
          </c:extLst>
        </c:ser>
        <c:dLbls>
          <c:showLegendKey val="0"/>
          <c:showVal val="0"/>
          <c:showCatName val="0"/>
          <c:showSerName val="0"/>
          <c:showPercent val="0"/>
          <c:showBubbleSize val="0"/>
        </c:dLbls>
        <c:smooth val="0"/>
        <c:axId val="507268463"/>
        <c:axId val="507283023"/>
      </c:lineChart>
      <c:catAx>
        <c:axId val="50726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7283023"/>
        <c:crosses val="autoZero"/>
        <c:auto val="1"/>
        <c:lblAlgn val="ctr"/>
        <c:lblOffset val="100"/>
        <c:noMultiLvlLbl val="0"/>
      </c:catAx>
      <c:valAx>
        <c:axId val="5072830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0726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NSS!$A$49</c:f>
              <c:strCache>
                <c:ptCount val="1"/>
                <c:pt idx="0">
                  <c:v>Počet rozhodnutí publikovaných v daném roce neobsahujících žádnou citaci</c:v>
                </c:pt>
              </c:strCache>
            </c:strRef>
          </c:tx>
          <c:spPr>
            <a:ln w="28575" cap="rnd">
              <a:solidFill>
                <a:schemeClr val="accent3">
                  <a:shade val="65000"/>
                </a:schemeClr>
              </a:solidFill>
              <a:round/>
            </a:ln>
            <a:effectLst/>
          </c:spPr>
          <c:marker>
            <c:symbol val="none"/>
          </c:marker>
          <c:cat>
            <c:numRef>
              <c:f>NSS!$B$13:$AA$13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NSS!$B$14:$AA$14</c:f>
              <c:numCache>
                <c:formatCode>General</c:formatCode>
                <c:ptCount val="26"/>
                <c:pt idx="10">
                  <c:v>510</c:v>
                </c:pt>
                <c:pt idx="11">
                  <c:v>547</c:v>
                </c:pt>
                <c:pt idx="12">
                  <c:v>2828</c:v>
                </c:pt>
                <c:pt idx="13">
                  <c:v>2257</c:v>
                </c:pt>
                <c:pt idx="14">
                  <c:v>1647</c:v>
                </c:pt>
                <c:pt idx="15">
                  <c:v>1033</c:v>
                </c:pt>
                <c:pt idx="16">
                  <c:v>805</c:v>
                </c:pt>
                <c:pt idx="17">
                  <c:v>644</c:v>
                </c:pt>
                <c:pt idx="18">
                  <c:v>718</c:v>
                </c:pt>
                <c:pt idx="19">
                  <c:v>755</c:v>
                </c:pt>
                <c:pt idx="20">
                  <c:v>875</c:v>
                </c:pt>
                <c:pt idx="21">
                  <c:v>664</c:v>
                </c:pt>
                <c:pt idx="22">
                  <c:v>744</c:v>
                </c:pt>
                <c:pt idx="23">
                  <c:v>660</c:v>
                </c:pt>
                <c:pt idx="24">
                  <c:v>856</c:v>
                </c:pt>
                <c:pt idx="25">
                  <c:v>702</c:v>
                </c:pt>
              </c:numCache>
            </c:numRef>
          </c:val>
          <c:smooth val="0"/>
          <c:extLst>
            <c:ext xmlns:c16="http://schemas.microsoft.com/office/drawing/2014/chart" uri="{C3380CC4-5D6E-409C-BE32-E72D297353CC}">
              <c16:uniqueId val="{00000000-AB70-41FA-A28E-8A7129D772BD}"/>
            </c:ext>
          </c:extLst>
        </c:ser>
        <c:ser>
          <c:idx val="1"/>
          <c:order val="1"/>
          <c:tx>
            <c:strRef>
              <c:f>NSS!$A$50</c:f>
              <c:strCache>
                <c:ptCount val="1"/>
                <c:pt idx="0">
                  <c:v>Počet rozhodnutí publikovaných v daném roce obsahujících alespoň jednu citaci</c:v>
                </c:pt>
              </c:strCache>
            </c:strRef>
          </c:tx>
          <c:spPr>
            <a:ln w="28575" cap="rnd">
              <a:solidFill>
                <a:schemeClr val="accent3"/>
              </a:solidFill>
              <a:round/>
            </a:ln>
            <a:effectLst/>
          </c:spPr>
          <c:marker>
            <c:symbol val="none"/>
          </c:marker>
          <c:cat>
            <c:numRef>
              <c:f>NSS!$B$13:$AA$13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NSS!$B$15:$AA$15</c:f>
              <c:numCache>
                <c:formatCode>General</c:formatCode>
                <c:ptCount val="26"/>
                <c:pt idx="10">
                  <c:v>90</c:v>
                </c:pt>
                <c:pt idx="11">
                  <c:v>201</c:v>
                </c:pt>
                <c:pt idx="12">
                  <c:v>1696</c:v>
                </c:pt>
                <c:pt idx="13">
                  <c:v>2209</c:v>
                </c:pt>
                <c:pt idx="14">
                  <c:v>3056</c:v>
                </c:pt>
                <c:pt idx="15">
                  <c:v>2702</c:v>
                </c:pt>
                <c:pt idx="16">
                  <c:v>2695</c:v>
                </c:pt>
                <c:pt idx="17">
                  <c:v>2321</c:v>
                </c:pt>
                <c:pt idx="18">
                  <c:v>2394</c:v>
                </c:pt>
                <c:pt idx="19">
                  <c:v>2387</c:v>
                </c:pt>
                <c:pt idx="20">
                  <c:v>2725</c:v>
                </c:pt>
                <c:pt idx="21">
                  <c:v>2652</c:v>
                </c:pt>
                <c:pt idx="22">
                  <c:v>2869</c:v>
                </c:pt>
                <c:pt idx="23">
                  <c:v>2867</c:v>
                </c:pt>
                <c:pt idx="24">
                  <c:v>3114</c:v>
                </c:pt>
                <c:pt idx="25">
                  <c:v>2437</c:v>
                </c:pt>
              </c:numCache>
            </c:numRef>
          </c:val>
          <c:smooth val="0"/>
          <c:extLst>
            <c:ext xmlns:c16="http://schemas.microsoft.com/office/drawing/2014/chart" uri="{C3380CC4-5D6E-409C-BE32-E72D297353CC}">
              <c16:uniqueId val="{00000001-AB70-41FA-A28E-8A7129D772BD}"/>
            </c:ext>
          </c:extLst>
        </c:ser>
        <c:ser>
          <c:idx val="2"/>
          <c:order val="2"/>
          <c:tx>
            <c:strRef>
              <c:f>NSS!$A$51</c:f>
              <c:strCache>
                <c:ptCount val="1"/>
                <c:pt idx="0">
                  <c:v>Počet rozhodnutí publikovaných v daném roce</c:v>
                </c:pt>
              </c:strCache>
            </c:strRef>
          </c:tx>
          <c:spPr>
            <a:ln w="28575" cap="rnd">
              <a:solidFill>
                <a:schemeClr val="accent3">
                  <a:tint val="65000"/>
                </a:schemeClr>
              </a:solidFill>
              <a:round/>
            </a:ln>
            <a:effectLst/>
          </c:spPr>
          <c:marker>
            <c:symbol val="none"/>
          </c:marker>
          <c:cat>
            <c:numRef>
              <c:f>NSS!$B$13:$AA$13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NSS!$B$19:$AA$19</c:f>
              <c:numCache>
                <c:formatCode>General</c:formatCode>
                <c:ptCount val="26"/>
                <c:pt idx="10">
                  <c:v>600</c:v>
                </c:pt>
                <c:pt idx="11">
                  <c:v>748</c:v>
                </c:pt>
                <c:pt idx="12">
                  <c:v>4524</c:v>
                </c:pt>
                <c:pt idx="13">
                  <c:v>4466</c:v>
                </c:pt>
                <c:pt idx="14">
                  <c:v>4703</c:v>
                </c:pt>
                <c:pt idx="15">
                  <c:v>3735</c:v>
                </c:pt>
                <c:pt idx="16">
                  <c:v>3500</c:v>
                </c:pt>
                <c:pt idx="17">
                  <c:v>2965</c:v>
                </c:pt>
                <c:pt idx="18">
                  <c:v>3112</c:v>
                </c:pt>
                <c:pt idx="19">
                  <c:v>3142</c:v>
                </c:pt>
                <c:pt idx="20">
                  <c:v>3600</c:v>
                </c:pt>
                <c:pt idx="21">
                  <c:v>3316</c:v>
                </c:pt>
                <c:pt idx="22">
                  <c:v>3613</c:v>
                </c:pt>
                <c:pt idx="23">
                  <c:v>3527</c:v>
                </c:pt>
                <c:pt idx="24">
                  <c:v>3970</c:v>
                </c:pt>
                <c:pt idx="25">
                  <c:v>3139</c:v>
                </c:pt>
              </c:numCache>
            </c:numRef>
          </c:val>
          <c:smooth val="0"/>
          <c:extLst>
            <c:ext xmlns:c16="http://schemas.microsoft.com/office/drawing/2014/chart" uri="{C3380CC4-5D6E-409C-BE32-E72D297353CC}">
              <c16:uniqueId val="{00000002-AB70-41FA-A28E-8A7129D772BD}"/>
            </c:ext>
          </c:extLst>
        </c:ser>
        <c:dLbls>
          <c:showLegendKey val="0"/>
          <c:showVal val="0"/>
          <c:showCatName val="0"/>
          <c:showSerName val="0"/>
          <c:showPercent val="0"/>
          <c:showBubbleSize val="0"/>
        </c:dLbls>
        <c:smooth val="0"/>
        <c:axId val="553802399"/>
        <c:axId val="553796575"/>
      </c:lineChart>
      <c:catAx>
        <c:axId val="55380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53796575"/>
        <c:crosses val="autoZero"/>
        <c:auto val="1"/>
        <c:lblAlgn val="ctr"/>
        <c:lblOffset val="100"/>
        <c:noMultiLvlLbl val="0"/>
      </c:catAx>
      <c:valAx>
        <c:axId val="553796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53802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v>Průměr</c:v>
          </c:tx>
          <c:spPr>
            <a:ln w="28575" cap="rnd">
              <a:solidFill>
                <a:schemeClr val="accent3">
                  <a:shade val="76000"/>
                </a:schemeClr>
              </a:solidFill>
              <a:round/>
            </a:ln>
            <a:effectLst/>
          </c:spPr>
          <c:marker>
            <c:symbol val="none"/>
          </c:marker>
          <c:cat>
            <c:numRef>
              <c:f>US!$B$13:$AA$13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US!$B$16:$AA$16</c:f>
              <c:numCache>
                <c:formatCode>General</c:formatCode>
                <c:ptCount val="26"/>
                <c:pt idx="0">
                  <c:v>1.4285714285714199</c:v>
                </c:pt>
                <c:pt idx="1">
                  <c:v>1.6470588235294099</c:v>
                </c:pt>
                <c:pt idx="2">
                  <c:v>1.835</c:v>
                </c:pt>
                <c:pt idx="3">
                  <c:v>1.8425196850393699</c:v>
                </c:pt>
                <c:pt idx="4">
                  <c:v>1.9088541666666601</c:v>
                </c:pt>
                <c:pt idx="5">
                  <c:v>1.8354661791590401</c:v>
                </c:pt>
                <c:pt idx="6">
                  <c:v>1.9214876033057799</c:v>
                </c:pt>
                <c:pt idx="7">
                  <c:v>1.95107632093933</c:v>
                </c:pt>
                <c:pt idx="8">
                  <c:v>2.17781402936378</c:v>
                </c:pt>
                <c:pt idx="9">
                  <c:v>2.66246290801186</c:v>
                </c:pt>
                <c:pt idx="10">
                  <c:v>2.7967914438502599</c:v>
                </c:pt>
                <c:pt idx="11">
                  <c:v>3.7287581699346402</c:v>
                </c:pt>
                <c:pt idx="12">
                  <c:v>3.7606837606837602</c:v>
                </c:pt>
                <c:pt idx="13">
                  <c:v>4.1116576487948802</c:v>
                </c:pt>
                <c:pt idx="14">
                  <c:v>4.4634146341463401</c:v>
                </c:pt>
                <c:pt idx="15">
                  <c:v>4.8802108289410597</c:v>
                </c:pt>
                <c:pt idx="16">
                  <c:v>4.5142463235294104</c:v>
                </c:pt>
                <c:pt idx="17">
                  <c:v>4.8572048611111098</c:v>
                </c:pt>
                <c:pt idx="18">
                  <c:v>4.6597252990695601</c:v>
                </c:pt>
                <c:pt idx="19">
                  <c:v>4.88076256499133</c:v>
                </c:pt>
                <c:pt idx="20">
                  <c:v>4.6652719665271896</c:v>
                </c:pt>
                <c:pt idx="21">
                  <c:v>4.8401534526854197</c:v>
                </c:pt>
                <c:pt idx="22">
                  <c:v>5.3174061433446997</c:v>
                </c:pt>
                <c:pt idx="23">
                  <c:v>5.6617505610772598</c:v>
                </c:pt>
                <c:pt idx="24">
                  <c:v>5.8049999999999997</c:v>
                </c:pt>
                <c:pt idx="25">
                  <c:v>6.0600500417014098</c:v>
                </c:pt>
              </c:numCache>
            </c:numRef>
          </c:val>
          <c:smooth val="0"/>
          <c:extLst>
            <c:ext xmlns:c16="http://schemas.microsoft.com/office/drawing/2014/chart" uri="{C3380CC4-5D6E-409C-BE32-E72D297353CC}">
              <c16:uniqueId val="{00000000-9291-4EBA-BF75-062B7E06CDC5}"/>
            </c:ext>
          </c:extLst>
        </c:ser>
        <c:ser>
          <c:idx val="1"/>
          <c:order val="1"/>
          <c:tx>
            <c:v>Medián</c:v>
          </c:tx>
          <c:spPr>
            <a:ln w="28575" cap="rnd">
              <a:solidFill>
                <a:schemeClr val="accent3">
                  <a:tint val="77000"/>
                </a:schemeClr>
              </a:solidFill>
              <a:round/>
            </a:ln>
            <a:effectLst/>
          </c:spPr>
          <c:marker>
            <c:symbol val="none"/>
          </c:marker>
          <c:cat>
            <c:numRef>
              <c:f>US!$B$13:$AA$13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US!$B$17:$AA$17</c:f>
              <c:numCache>
                <c:formatCode>General</c:formatCode>
                <c:ptCount val="26"/>
                <c:pt idx="0">
                  <c:v>1</c:v>
                </c:pt>
                <c:pt idx="1">
                  <c:v>1</c:v>
                </c:pt>
                <c:pt idx="2">
                  <c:v>1</c:v>
                </c:pt>
                <c:pt idx="3">
                  <c:v>2</c:v>
                </c:pt>
                <c:pt idx="4">
                  <c:v>1</c:v>
                </c:pt>
                <c:pt idx="5">
                  <c:v>1</c:v>
                </c:pt>
                <c:pt idx="6">
                  <c:v>1</c:v>
                </c:pt>
                <c:pt idx="7">
                  <c:v>2</c:v>
                </c:pt>
                <c:pt idx="8">
                  <c:v>2</c:v>
                </c:pt>
                <c:pt idx="9">
                  <c:v>2</c:v>
                </c:pt>
                <c:pt idx="10">
                  <c:v>2</c:v>
                </c:pt>
                <c:pt idx="11">
                  <c:v>2</c:v>
                </c:pt>
                <c:pt idx="12">
                  <c:v>3</c:v>
                </c:pt>
                <c:pt idx="13">
                  <c:v>3</c:v>
                </c:pt>
                <c:pt idx="14">
                  <c:v>3</c:v>
                </c:pt>
                <c:pt idx="15">
                  <c:v>3</c:v>
                </c:pt>
                <c:pt idx="16">
                  <c:v>3</c:v>
                </c:pt>
                <c:pt idx="17">
                  <c:v>3</c:v>
                </c:pt>
                <c:pt idx="18">
                  <c:v>3</c:v>
                </c:pt>
                <c:pt idx="19">
                  <c:v>3</c:v>
                </c:pt>
                <c:pt idx="20">
                  <c:v>3</c:v>
                </c:pt>
                <c:pt idx="21">
                  <c:v>3</c:v>
                </c:pt>
                <c:pt idx="22">
                  <c:v>4</c:v>
                </c:pt>
                <c:pt idx="23">
                  <c:v>4</c:v>
                </c:pt>
                <c:pt idx="24">
                  <c:v>4</c:v>
                </c:pt>
                <c:pt idx="25">
                  <c:v>4</c:v>
                </c:pt>
              </c:numCache>
            </c:numRef>
          </c:val>
          <c:smooth val="0"/>
          <c:extLst>
            <c:ext xmlns:c16="http://schemas.microsoft.com/office/drawing/2014/chart" uri="{C3380CC4-5D6E-409C-BE32-E72D297353CC}">
              <c16:uniqueId val="{00000001-9291-4EBA-BF75-062B7E06CDC5}"/>
            </c:ext>
          </c:extLst>
        </c:ser>
        <c:dLbls>
          <c:showLegendKey val="0"/>
          <c:showVal val="0"/>
          <c:showCatName val="0"/>
          <c:showSerName val="0"/>
          <c:showPercent val="0"/>
          <c:showBubbleSize val="0"/>
        </c:dLbls>
        <c:smooth val="0"/>
        <c:axId val="282731455"/>
        <c:axId val="282745599"/>
      </c:lineChart>
      <c:catAx>
        <c:axId val="282731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82745599"/>
        <c:crosses val="autoZero"/>
        <c:auto val="1"/>
        <c:lblAlgn val="ctr"/>
        <c:lblOffset val="100"/>
        <c:noMultiLvlLbl val="0"/>
      </c:catAx>
      <c:valAx>
        <c:axId val="282745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82731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v>Průměr</c:v>
          </c:tx>
          <c:spPr>
            <a:ln w="28575" cap="rnd">
              <a:solidFill>
                <a:schemeClr val="accent3">
                  <a:shade val="76000"/>
                </a:schemeClr>
              </a:solidFill>
              <a:round/>
            </a:ln>
            <a:effectLst/>
          </c:spPr>
          <c:marker>
            <c:symbol val="none"/>
          </c:marker>
          <c:cat>
            <c:numRef>
              <c:f>NS!$B$13:$AA$13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NS!$B$16:$AA$16</c:f>
              <c:numCache>
                <c:formatCode>General</c:formatCode>
                <c:ptCount val="26"/>
                <c:pt idx="4">
                  <c:v>2</c:v>
                </c:pt>
                <c:pt idx="5">
                  <c:v>3.2222222222222201</c:v>
                </c:pt>
                <c:pt idx="6">
                  <c:v>2.5185185185185102</c:v>
                </c:pt>
                <c:pt idx="7">
                  <c:v>2.2966887417218498</c:v>
                </c:pt>
                <c:pt idx="8">
                  <c:v>2.2755960729312701</c:v>
                </c:pt>
                <c:pt idx="9">
                  <c:v>2.3190883190883098</c:v>
                </c:pt>
                <c:pt idx="10">
                  <c:v>2.2894461859979098</c:v>
                </c:pt>
                <c:pt idx="11">
                  <c:v>2.5730612244897899</c:v>
                </c:pt>
                <c:pt idx="12">
                  <c:v>2.8024344569288302</c:v>
                </c:pt>
                <c:pt idx="13">
                  <c:v>3.1199887069452199</c:v>
                </c:pt>
                <c:pt idx="14">
                  <c:v>3.1178146038322101</c:v>
                </c:pt>
                <c:pt idx="15">
                  <c:v>3.4407726320688798</c:v>
                </c:pt>
                <c:pt idx="16">
                  <c:v>3.6939436905003</c:v>
                </c:pt>
                <c:pt idx="17">
                  <c:v>3.96273174423004</c:v>
                </c:pt>
                <c:pt idx="18">
                  <c:v>4.4555496169606199</c:v>
                </c:pt>
                <c:pt idx="19">
                  <c:v>4.7137884355057</c:v>
                </c:pt>
                <c:pt idx="20">
                  <c:v>4.7643325143325104</c:v>
                </c:pt>
                <c:pt idx="21">
                  <c:v>4.68719166818929</c:v>
                </c:pt>
                <c:pt idx="22">
                  <c:v>5.1073694485114602</c:v>
                </c:pt>
                <c:pt idx="23">
                  <c:v>5.5770983389681001</c:v>
                </c:pt>
                <c:pt idx="24">
                  <c:v>6.1120183354820199</c:v>
                </c:pt>
                <c:pt idx="25">
                  <c:v>6.56700602534801</c:v>
                </c:pt>
              </c:numCache>
            </c:numRef>
          </c:val>
          <c:smooth val="0"/>
          <c:extLst>
            <c:ext xmlns:c16="http://schemas.microsoft.com/office/drawing/2014/chart" uri="{C3380CC4-5D6E-409C-BE32-E72D297353CC}">
              <c16:uniqueId val="{00000000-2709-412D-A55B-A45D357F457C}"/>
            </c:ext>
          </c:extLst>
        </c:ser>
        <c:ser>
          <c:idx val="1"/>
          <c:order val="1"/>
          <c:tx>
            <c:v>Medián</c:v>
          </c:tx>
          <c:spPr>
            <a:ln w="28575" cap="rnd">
              <a:solidFill>
                <a:schemeClr val="accent3">
                  <a:tint val="77000"/>
                </a:schemeClr>
              </a:solidFill>
              <a:round/>
            </a:ln>
            <a:effectLst/>
          </c:spPr>
          <c:marker>
            <c:symbol val="none"/>
          </c:marker>
          <c:cat>
            <c:numRef>
              <c:f>NS!$B$13:$AA$13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NS!$B$17:$AA$17</c:f>
              <c:numCache>
                <c:formatCode>General</c:formatCode>
                <c:ptCount val="26"/>
                <c:pt idx="4">
                  <c:v>1</c:v>
                </c:pt>
                <c:pt idx="5">
                  <c:v>2</c:v>
                </c:pt>
                <c:pt idx="6">
                  <c:v>2</c:v>
                </c:pt>
                <c:pt idx="7">
                  <c:v>2</c:v>
                </c:pt>
                <c:pt idx="8">
                  <c:v>2</c:v>
                </c:pt>
                <c:pt idx="9">
                  <c:v>2</c:v>
                </c:pt>
                <c:pt idx="10">
                  <c:v>2</c:v>
                </c:pt>
                <c:pt idx="11">
                  <c:v>2</c:v>
                </c:pt>
                <c:pt idx="12">
                  <c:v>2</c:v>
                </c:pt>
                <c:pt idx="13">
                  <c:v>2</c:v>
                </c:pt>
                <c:pt idx="14">
                  <c:v>2</c:v>
                </c:pt>
                <c:pt idx="15">
                  <c:v>3</c:v>
                </c:pt>
                <c:pt idx="16">
                  <c:v>3</c:v>
                </c:pt>
                <c:pt idx="17">
                  <c:v>3</c:v>
                </c:pt>
                <c:pt idx="18">
                  <c:v>3</c:v>
                </c:pt>
                <c:pt idx="19">
                  <c:v>4</c:v>
                </c:pt>
                <c:pt idx="20">
                  <c:v>3</c:v>
                </c:pt>
                <c:pt idx="21">
                  <c:v>4</c:v>
                </c:pt>
                <c:pt idx="22">
                  <c:v>4</c:v>
                </c:pt>
                <c:pt idx="23">
                  <c:v>4</c:v>
                </c:pt>
                <c:pt idx="24">
                  <c:v>5</c:v>
                </c:pt>
                <c:pt idx="25">
                  <c:v>5</c:v>
                </c:pt>
              </c:numCache>
            </c:numRef>
          </c:val>
          <c:smooth val="0"/>
          <c:extLst>
            <c:ext xmlns:c16="http://schemas.microsoft.com/office/drawing/2014/chart" uri="{C3380CC4-5D6E-409C-BE32-E72D297353CC}">
              <c16:uniqueId val="{00000001-2709-412D-A55B-A45D357F457C}"/>
            </c:ext>
          </c:extLst>
        </c:ser>
        <c:dLbls>
          <c:showLegendKey val="0"/>
          <c:showVal val="0"/>
          <c:showCatName val="0"/>
          <c:showSerName val="0"/>
          <c:showPercent val="0"/>
          <c:showBubbleSize val="0"/>
        </c:dLbls>
        <c:smooth val="0"/>
        <c:axId val="553801567"/>
        <c:axId val="553795743"/>
      </c:lineChart>
      <c:catAx>
        <c:axId val="553801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53795743"/>
        <c:crosses val="autoZero"/>
        <c:auto val="1"/>
        <c:lblAlgn val="ctr"/>
        <c:lblOffset val="100"/>
        <c:noMultiLvlLbl val="0"/>
      </c:catAx>
      <c:valAx>
        <c:axId val="553795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53801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v>Průměr</c:v>
          </c:tx>
          <c:spPr>
            <a:ln w="28575" cap="rnd">
              <a:solidFill>
                <a:schemeClr val="accent3">
                  <a:shade val="76000"/>
                </a:schemeClr>
              </a:solidFill>
              <a:round/>
            </a:ln>
            <a:effectLst/>
          </c:spPr>
          <c:marker>
            <c:symbol val="none"/>
          </c:marker>
          <c:cat>
            <c:numRef>
              <c:f>NSS!$B$13:$AA$13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NSS!$B$16:$AA$16</c:f>
              <c:numCache>
                <c:formatCode>General</c:formatCode>
                <c:ptCount val="26"/>
                <c:pt idx="10">
                  <c:v>1.32222222222222</c:v>
                </c:pt>
                <c:pt idx="11">
                  <c:v>1.53731343283582</c:v>
                </c:pt>
                <c:pt idx="12">
                  <c:v>1.60849056603773</c:v>
                </c:pt>
                <c:pt idx="13">
                  <c:v>2.0565866908103199</c:v>
                </c:pt>
                <c:pt idx="14">
                  <c:v>2.5566099476439699</c:v>
                </c:pt>
                <c:pt idx="15">
                  <c:v>3.1154700222057699</c:v>
                </c:pt>
                <c:pt idx="16">
                  <c:v>3.4393320964749501</c:v>
                </c:pt>
                <c:pt idx="17">
                  <c:v>3.8306764325721598</c:v>
                </c:pt>
                <c:pt idx="18">
                  <c:v>3.78111946532999</c:v>
                </c:pt>
                <c:pt idx="19">
                  <c:v>3.4495182237117699</c:v>
                </c:pt>
                <c:pt idx="20">
                  <c:v>3.6972477064220102</c:v>
                </c:pt>
                <c:pt idx="21">
                  <c:v>3.8039215686274499</c:v>
                </c:pt>
                <c:pt idx="22">
                  <c:v>4.1369815266643402</c:v>
                </c:pt>
                <c:pt idx="23">
                  <c:v>4.2145099407045601</c:v>
                </c:pt>
                <c:pt idx="24">
                  <c:v>4.0574823378291498</c:v>
                </c:pt>
                <c:pt idx="25">
                  <c:v>4.4718916700861699</c:v>
                </c:pt>
              </c:numCache>
            </c:numRef>
          </c:val>
          <c:smooth val="0"/>
          <c:extLst>
            <c:ext xmlns:c16="http://schemas.microsoft.com/office/drawing/2014/chart" uri="{C3380CC4-5D6E-409C-BE32-E72D297353CC}">
              <c16:uniqueId val="{00000000-5C91-47A5-8B74-1AA0F593B0E9}"/>
            </c:ext>
          </c:extLst>
        </c:ser>
        <c:ser>
          <c:idx val="1"/>
          <c:order val="1"/>
          <c:tx>
            <c:v>Medián</c:v>
          </c:tx>
          <c:spPr>
            <a:ln w="28575" cap="rnd">
              <a:solidFill>
                <a:schemeClr val="accent3">
                  <a:tint val="77000"/>
                </a:schemeClr>
              </a:solidFill>
              <a:round/>
            </a:ln>
            <a:effectLst/>
          </c:spPr>
          <c:marker>
            <c:symbol val="none"/>
          </c:marker>
          <c:cat>
            <c:numRef>
              <c:f>NSS!$B$13:$AA$13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NSS!$B$17:$AA$17</c:f>
              <c:numCache>
                <c:formatCode>General</c:formatCode>
                <c:ptCount val="26"/>
                <c:pt idx="10">
                  <c:v>1</c:v>
                </c:pt>
                <c:pt idx="11">
                  <c:v>1</c:v>
                </c:pt>
                <c:pt idx="12">
                  <c:v>1</c:v>
                </c:pt>
                <c:pt idx="13">
                  <c:v>1</c:v>
                </c:pt>
                <c:pt idx="14">
                  <c:v>2</c:v>
                </c:pt>
                <c:pt idx="15">
                  <c:v>2</c:v>
                </c:pt>
                <c:pt idx="16">
                  <c:v>2</c:v>
                </c:pt>
                <c:pt idx="17">
                  <c:v>3</c:v>
                </c:pt>
                <c:pt idx="18">
                  <c:v>3</c:v>
                </c:pt>
                <c:pt idx="19">
                  <c:v>3</c:v>
                </c:pt>
                <c:pt idx="20">
                  <c:v>3</c:v>
                </c:pt>
                <c:pt idx="21">
                  <c:v>3</c:v>
                </c:pt>
                <c:pt idx="22">
                  <c:v>3</c:v>
                </c:pt>
                <c:pt idx="23">
                  <c:v>3</c:v>
                </c:pt>
                <c:pt idx="24">
                  <c:v>3</c:v>
                </c:pt>
                <c:pt idx="25">
                  <c:v>3</c:v>
                </c:pt>
              </c:numCache>
            </c:numRef>
          </c:val>
          <c:smooth val="0"/>
          <c:extLst>
            <c:ext xmlns:c16="http://schemas.microsoft.com/office/drawing/2014/chart" uri="{C3380CC4-5D6E-409C-BE32-E72D297353CC}">
              <c16:uniqueId val="{00000001-5C91-47A5-8B74-1AA0F593B0E9}"/>
            </c:ext>
          </c:extLst>
        </c:ser>
        <c:dLbls>
          <c:showLegendKey val="0"/>
          <c:showVal val="0"/>
          <c:showCatName val="0"/>
          <c:showSerName val="0"/>
          <c:showPercent val="0"/>
          <c:showBubbleSize val="0"/>
        </c:dLbls>
        <c:smooth val="0"/>
        <c:axId val="382323871"/>
        <c:axId val="382329695"/>
      </c:lineChart>
      <c:catAx>
        <c:axId val="382323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2329695"/>
        <c:crosses val="autoZero"/>
        <c:auto val="1"/>
        <c:lblAlgn val="ctr"/>
        <c:lblOffset val="100"/>
        <c:noMultiLvlLbl val="0"/>
      </c:catAx>
      <c:valAx>
        <c:axId val="382329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23238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'časovy vyvoj'!$A$56</c:f>
              <c:strCache>
                <c:ptCount val="1"/>
                <c:pt idx="0">
                  <c:v>Počet rozhodnutí publikovaných v daném roce</c:v>
                </c:pt>
              </c:strCache>
            </c:strRef>
          </c:tx>
          <c:spPr>
            <a:ln w="28575" cap="rnd">
              <a:solidFill>
                <a:schemeClr val="accent3">
                  <a:shade val="58000"/>
                </a:schemeClr>
              </a:solidFill>
              <a:round/>
            </a:ln>
            <a:effectLst/>
          </c:spPr>
          <c:marker>
            <c:symbol val="none"/>
          </c:marker>
          <c:cat>
            <c:numRef>
              <c:f>'časovy vyvoj'!$B$13:$AA$13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vyvoj'!$B$19:$AA$19</c:f>
              <c:numCache>
                <c:formatCode>General</c:formatCode>
                <c:ptCount val="26"/>
                <c:pt idx="0">
                  <c:v>225</c:v>
                </c:pt>
                <c:pt idx="1">
                  <c:v>626</c:v>
                </c:pt>
                <c:pt idx="2">
                  <c:v>775</c:v>
                </c:pt>
                <c:pt idx="3">
                  <c:v>1038</c:v>
                </c:pt>
                <c:pt idx="4">
                  <c:v>1390</c:v>
                </c:pt>
                <c:pt idx="5">
                  <c:v>1669</c:v>
                </c:pt>
                <c:pt idx="6">
                  <c:v>2124</c:v>
                </c:pt>
                <c:pt idx="7">
                  <c:v>4536</c:v>
                </c:pt>
                <c:pt idx="8">
                  <c:v>6205</c:v>
                </c:pt>
                <c:pt idx="9">
                  <c:v>6687</c:v>
                </c:pt>
                <c:pt idx="10">
                  <c:v>7940</c:v>
                </c:pt>
                <c:pt idx="11">
                  <c:v>8461</c:v>
                </c:pt>
                <c:pt idx="12">
                  <c:v>12768</c:v>
                </c:pt>
                <c:pt idx="13">
                  <c:v>13521</c:v>
                </c:pt>
                <c:pt idx="14">
                  <c:v>13792</c:v>
                </c:pt>
                <c:pt idx="15">
                  <c:v>13465</c:v>
                </c:pt>
                <c:pt idx="16">
                  <c:v>13656</c:v>
                </c:pt>
                <c:pt idx="17">
                  <c:v>13718</c:v>
                </c:pt>
                <c:pt idx="18">
                  <c:v>14067</c:v>
                </c:pt>
                <c:pt idx="19">
                  <c:v>14229</c:v>
                </c:pt>
                <c:pt idx="20">
                  <c:v>13576</c:v>
                </c:pt>
                <c:pt idx="21">
                  <c:v>14521</c:v>
                </c:pt>
                <c:pt idx="22">
                  <c:v>14714</c:v>
                </c:pt>
                <c:pt idx="23">
                  <c:v>15616</c:v>
                </c:pt>
                <c:pt idx="24">
                  <c:v>16382</c:v>
                </c:pt>
                <c:pt idx="25">
                  <c:v>12022</c:v>
                </c:pt>
              </c:numCache>
            </c:numRef>
          </c:val>
          <c:smooth val="0"/>
          <c:extLst>
            <c:ext xmlns:c16="http://schemas.microsoft.com/office/drawing/2014/chart" uri="{C3380CC4-5D6E-409C-BE32-E72D297353CC}">
              <c16:uniqueId val="{00000000-4B16-4DE6-8BAB-341BCD11D1EA}"/>
            </c:ext>
          </c:extLst>
        </c:ser>
        <c:ser>
          <c:idx val="1"/>
          <c:order val="1"/>
          <c:tx>
            <c:strRef>
              <c:f>'časovy vyvoj'!$A$59</c:f>
              <c:strCache>
                <c:ptCount val="1"/>
                <c:pt idx="0">
                  <c:v>Počet rozhodnutí publikovaných v daném roce ani jednou necitovaných</c:v>
                </c:pt>
              </c:strCache>
            </c:strRef>
          </c:tx>
          <c:spPr>
            <a:ln w="28575" cap="rnd">
              <a:solidFill>
                <a:schemeClr val="accent3">
                  <a:shade val="86000"/>
                </a:schemeClr>
              </a:solidFill>
              <a:round/>
            </a:ln>
            <a:effectLst/>
          </c:spPr>
          <c:marker>
            <c:symbol val="none"/>
          </c:marker>
          <c:cat>
            <c:numRef>
              <c:f>'časovy vyvoj'!$B$13:$AA$13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vyvoj'!$B$37:$AA$37</c:f>
              <c:numCache>
                <c:formatCode>General</c:formatCode>
                <c:ptCount val="26"/>
                <c:pt idx="0">
                  <c:v>211</c:v>
                </c:pt>
                <c:pt idx="1">
                  <c:v>536</c:v>
                </c:pt>
                <c:pt idx="2">
                  <c:v>640</c:v>
                </c:pt>
                <c:pt idx="3">
                  <c:v>826</c:v>
                </c:pt>
                <c:pt idx="4">
                  <c:v>1168</c:v>
                </c:pt>
                <c:pt idx="5">
                  <c:v>1353</c:v>
                </c:pt>
                <c:pt idx="6">
                  <c:v>1724</c:v>
                </c:pt>
                <c:pt idx="7">
                  <c:v>3398</c:v>
                </c:pt>
                <c:pt idx="8">
                  <c:v>4658</c:v>
                </c:pt>
                <c:pt idx="9">
                  <c:v>5304</c:v>
                </c:pt>
                <c:pt idx="10">
                  <c:v>6343</c:v>
                </c:pt>
                <c:pt idx="11">
                  <c:v>6323</c:v>
                </c:pt>
                <c:pt idx="12">
                  <c:v>10154</c:v>
                </c:pt>
                <c:pt idx="13">
                  <c:v>10500</c:v>
                </c:pt>
                <c:pt idx="14">
                  <c:v>10428</c:v>
                </c:pt>
                <c:pt idx="15">
                  <c:v>9812</c:v>
                </c:pt>
                <c:pt idx="16">
                  <c:v>9582</c:v>
                </c:pt>
                <c:pt idx="17">
                  <c:v>9573</c:v>
                </c:pt>
                <c:pt idx="18">
                  <c:v>9859</c:v>
                </c:pt>
                <c:pt idx="19">
                  <c:v>9909</c:v>
                </c:pt>
                <c:pt idx="20">
                  <c:v>9251</c:v>
                </c:pt>
                <c:pt idx="21">
                  <c:v>10095</c:v>
                </c:pt>
                <c:pt idx="22">
                  <c:v>10179</c:v>
                </c:pt>
                <c:pt idx="23">
                  <c:v>11282</c:v>
                </c:pt>
                <c:pt idx="24">
                  <c:v>12896</c:v>
                </c:pt>
                <c:pt idx="25">
                  <c:v>10792</c:v>
                </c:pt>
              </c:numCache>
            </c:numRef>
          </c:val>
          <c:smooth val="0"/>
          <c:extLst>
            <c:ext xmlns:c16="http://schemas.microsoft.com/office/drawing/2014/chart" uri="{C3380CC4-5D6E-409C-BE32-E72D297353CC}">
              <c16:uniqueId val="{00000001-4B16-4DE6-8BAB-341BCD11D1EA}"/>
            </c:ext>
          </c:extLst>
        </c:ser>
        <c:ser>
          <c:idx val="2"/>
          <c:order val="2"/>
          <c:tx>
            <c:strRef>
              <c:f>'časovy vyvoj'!$A$58</c:f>
              <c:strCache>
                <c:ptCount val="1"/>
                <c:pt idx="0">
                  <c:v>Počet rozhodnutí publikovaných v daném roce alespoň jednou citovaných</c:v>
                </c:pt>
              </c:strCache>
            </c:strRef>
          </c:tx>
          <c:spPr>
            <a:ln w="28575" cap="rnd">
              <a:solidFill>
                <a:schemeClr val="accent3">
                  <a:tint val="86000"/>
                </a:schemeClr>
              </a:solidFill>
              <a:round/>
            </a:ln>
            <a:effectLst/>
          </c:spPr>
          <c:marker>
            <c:symbol val="none"/>
          </c:marker>
          <c:cat>
            <c:numRef>
              <c:f>'časovy vyvoj'!$B$13:$AA$13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vyvoj'!$B$38:$AA$38</c:f>
              <c:numCache>
                <c:formatCode>General</c:formatCode>
                <c:ptCount val="26"/>
                <c:pt idx="0">
                  <c:v>14</c:v>
                </c:pt>
                <c:pt idx="1">
                  <c:v>90</c:v>
                </c:pt>
                <c:pt idx="2">
                  <c:v>135</c:v>
                </c:pt>
                <c:pt idx="3">
                  <c:v>212</c:v>
                </c:pt>
                <c:pt idx="4">
                  <c:v>222</c:v>
                </c:pt>
                <c:pt idx="5">
                  <c:v>316</c:v>
                </c:pt>
                <c:pt idx="6">
                  <c:v>400</c:v>
                </c:pt>
                <c:pt idx="7">
                  <c:v>1138</c:v>
                </c:pt>
                <c:pt idx="8">
                  <c:v>1547</c:v>
                </c:pt>
                <c:pt idx="9">
                  <c:v>1383</c:v>
                </c:pt>
                <c:pt idx="10">
                  <c:v>1597</c:v>
                </c:pt>
                <c:pt idx="11">
                  <c:v>2138</c:v>
                </c:pt>
                <c:pt idx="12">
                  <c:v>2614</c:v>
                </c:pt>
                <c:pt idx="13">
                  <c:v>3021</c:v>
                </c:pt>
                <c:pt idx="14">
                  <c:v>3364</c:v>
                </c:pt>
                <c:pt idx="15">
                  <c:v>3653</c:v>
                </c:pt>
                <c:pt idx="16">
                  <c:v>4074</c:v>
                </c:pt>
                <c:pt idx="17">
                  <c:v>4145</c:v>
                </c:pt>
                <c:pt idx="18">
                  <c:v>4208</c:v>
                </c:pt>
                <c:pt idx="19">
                  <c:v>4320</c:v>
                </c:pt>
                <c:pt idx="20">
                  <c:v>4325</c:v>
                </c:pt>
                <c:pt idx="21">
                  <c:v>4426</c:v>
                </c:pt>
                <c:pt idx="22">
                  <c:v>4535</c:v>
                </c:pt>
                <c:pt idx="23">
                  <c:v>4334</c:v>
                </c:pt>
                <c:pt idx="24">
                  <c:v>3486</c:v>
                </c:pt>
                <c:pt idx="25">
                  <c:v>1230</c:v>
                </c:pt>
              </c:numCache>
            </c:numRef>
          </c:val>
          <c:smooth val="0"/>
          <c:extLst>
            <c:ext xmlns:c16="http://schemas.microsoft.com/office/drawing/2014/chart" uri="{C3380CC4-5D6E-409C-BE32-E72D297353CC}">
              <c16:uniqueId val="{00000002-4B16-4DE6-8BAB-341BCD11D1EA}"/>
            </c:ext>
          </c:extLst>
        </c:ser>
        <c:ser>
          <c:idx val="3"/>
          <c:order val="3"/>
          <c:tx>
            <c:strRef>
              <c:f>'časovy vyvoj'!$A$57</c:f>
              <c:strCache>
                <c:ptCount val="1"/>
                <c:pt idx="0">
                  <c:v>Počet vstupních citací v daném roce</c:v>
                </c:pt>
              </c:strCache>
            </c:strRef>
          </c:tx>
          <c:spPr>
            <a:ln w="28575" cap="rnd">
              <a:solidFill>
                <a:schemeClr val="accent3">
                  <a:tint val="58000"/>
                </a:schemeClr>
              </a:solidFill>
              <a:round/>
            </a:ln>
            <a:effectLst/>
          </c:spPr>
          <c:marker>
            <c:symbol val="none"/>
          </c:marker>
          <c:cat>
            <c:numRef>
              <c:f>'časovy vyvoj'!$B$13:$AA$13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vyvoj'!$B$41:$AA$41</c:f>
              <c:numCache>
                <c:formatCode>General</c:formatCode>
                <c:ptCount val="26"/>
                <c:pt idx="0">
                  <c:v>169</c:v>
                </c:pt>
                <c:pt idx="1">
                  <c:v>4959</c:v>
                </c:pt>
                <c:pt idx="2">
                  <c:v>10632</c:v>
                </c:pt>
                <c:pt idx="3">
                  <c:v>4085</c:v>
                </c:pt>
                <c:pt idx="4">
                  <c:v>5785</c:v>
                </c:pt>
                <c:pt idx="5">
                  <c:v>3852</c:v>
                </c:pt>
                <c:pt idx="6">
                  <c:v>6515</c:v>
                </c:pt>
                <c:pt idx="7">
                  <c:v>10081</c:v>
                </c:pt>
                <c:pt idx="8">
                  <c:v>16912</c:v>
                </c:pt>
                <c:pt idx="9">
                  <c:v>18473</c:v>
                </c:pt>
                <c:pt idx="10">
                  <c:v>27558</c:v>
                </c:pt>
                <c:pt idx="11">
                  <c:v>49086</c:v>
                </c:pt>
                <c:pt idx="12">
                  <c:v>33179</c:v>
                </c:pt>
                <c:pt idx="13">
                  <c:v>26640</c:v>
                </c:pt>
                <c:pt idx="14">
                  <c:v>25355</c:v>
                </c:pt>
                <c:pt idx="15">
                  <c:v>25970</c:v>
                </c:pt>
                <c:pt idx="16">
                  <c:v>27210</c:v>
                </c:pt>
                <c:pt idx="17">
                  <c:v>24350</c:v>
                </c:pt>
                <c:pt idx="18">
                  <c:v>20690</c:v>
                </c:pt>
                <c:pt idx="19">
                  <c:v>21641</c:v>
                </c:pt>
                <c:pt idx="20">
                  <c:v>28333</c:v>
                </c:pt>
                <c:pt idx="21">
                  <c:v>26126</c:v>
                </c:pt>
                <c:pt idx="22">
                  <c:v>17981</c:v>
                </c:pt>
                <c:pt idx="23">
                  <c:v>13743</c:v>
                </c:pt>
                <c:pt idx="24">
                  <c:v>8015</c:v>
                </c:pt>
                <c:pt idx="25">
                  <c:v>1858</c:v>
                </c:pt>
              </c:numCache>
            </c:numRef>
          </c:val>
          <c:smooth val="0"/>
          <c:extLst>
            <c:ext xmlns:c16="http://schemas.microsoft.com/office/drawing/2014/chart" uri="{C3380CC4-5D6E-409C-BE32-E72D297353CC}">
              <c16:uniqueId val="{00000003-4B16-4DE6-8BAB-341BCD11D1EA}"/>
            </c:ext>
          </c:extLst>
        </c:ser>
        <c:dLbls>
          <c:showLegendKey val="0"/>
          <c:showVal val="0"/>
          <c:showCatName val="0"/>
          <c:showSerName val="0"/>
          <c:showPercent val="0"/>
          <c:showBubbleSize val="0"/>
        </c:dLbls>
        <c:smooth val="0"/>
        <c:axId val="382333439"/>
        <c:axId val="382335103"/>
      </c:lineChart>
      <c:catAx>
        <c:axId val="382333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2335103"/>
        <c:crosses val="autoZero"/>
        <c:auto val="1"/>
        <c:lblAlgn val="ctr"/>
        <c:lblOffset val="100"/>
        <c:noMultiLvlLbl val="0"/>
      </c:catAx>
      <c:valAx>
        <c:axId val="3823351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2333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spPr>
            <a:ln w="28575" cap="rnd">
              <a:solidFill>
                <a:schemeClr val="accent3"/>
              </a:solidFill>
              <a:round/>
            </a:ln>
            <a:effectLst/>
          </c:spPr>
          <c:marker>
            <c:symbol val="none"/>
          </c:marker>
          <c:cat>
            <c:numRef>
              <c:f>US!$B$26:$AA$26</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US!$B$41:$AA$41</c:f>
              <c:numCache>
                <c:formatCode>General</c:formatCode>
                <c:ptCount val="26"/>
                <c:pt idx="0">
                  <c:v>169</c:v>
                </c:pt>
                <c:pt idx="1">
                  <c:v>4959</c:v>
                </c:pt>
                <c:pt idx="2">
                  <c:v>10632</c:v>
                </c:pt>
                <c:pt idx="3">
                  <c:v>4085</c:v>
                </c:pt>
                <c:pt idx="4">
                  <c:v>5783</c:v>
                </c:pt>
                <c:pt idx="5">
                  <c:v>3747</c:v>
                </c:pt>
                <c:pt idx="6">
                  <c:v>5889</c:v>
                </c:pt>
                <c:pt idx="7">
                  <c:v>6357</c:v>
                </c:pt>
                <c:pt idx="8">
                  <c:v>7774</c:v>
                </c:pt>
                <c:pt idx="9">
                  <c:v>8247</c:v>
                </c:pt>
                <c:pt idx="10">
                  <c:v>15764</c:v>
                </c:pt>
                <c:pt idx="11">
                  <c:v>31856</c:v>
                </c:pt>
                <c:pt idx="12">
                  <c:v>16049</c:v>
                </c:pt>
                <c:pt idx="13">
                  <c:v>12049</c:v>
                </c:pt>
                <c:pt idx="14">
                  <c:v>11039</c:v>
                </c:pt>
                <c:pt idx="15">
                  <c:v>9774</c:v>
                </c:pt>
                <c:pt idx="16">
                  <c:v>11166</c:v>
                </c:pt>
                <c:pt idx="17">
                  <c:v>8606</c:v>
                </c:pt>
                <c:pt idx="18">
                  <c:v>6068</c:v>
                </c:pt>
                <c:pt idx="19">
                  <c:v>9438</c:v>
                </c:pt>
                <c:pt idx="20">
                  <c:v>6229</c:v>
                </c:pt>
                <c:pt idx="21">
                  <c:v>11741</c:v>
                </c:pt>
                <c:pt idx="22">
                  <c:v>5816</c:v>
                </c:pt>
                <c:pt idx="23">
                  <c:v>5772</c:v>
                </c:pt>
                <c:pt idx="24">
                  <c:v>2995</c:v>
                </c:pt>
                <c:pt idx="25">
                  <c:v>620</c:v>
                </c:pt>
              </c:numCache>
            </c:numRef>
          </c:val>
          <c:smooth val="0"/>
          <c:extLst>
            <c:ext xmlns:c16="http://schemas.microsoft.com/office/drawing/2014/chart" uri="{C3380CC4-5D6E-409C-BE32-E72D297353CC}">
              <c16:uniqueId val="{00000000-91E7-43E3-B481-3FD8B1360514}"/>
            </c:ext>
          </c:extLst>
        </c:ser>
        <c:dLbls>
          <c:showLegendKey val="0"/>
          <c:showVal val="0"/>
          <c:showCatName val="0"/>
          <c:showSerName val="0"/>
          <c:showPercent val="0"/>
          <c:showBubbleSize val="0"/>
        </c:dLbls>
        <c:smooth val="0"/>
        <c:axId val="387058655"/>
        <c:axId val="387066559"/>
      </c:lineChart>
      <c:catAx>
        <c:axId val="387058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7066559"/>
        <c:crosses val="autoZero"/>
        <c:auto val="1"/>
        <c:lblAlgn val="ctr"/>
        <c:lblOffset val="100"/>
        <c:noMultiLvlLbl val="0"/>
      </c:catAx>
      <c:valAx>
        <c:axId val="387066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70586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spPr>
            <a:ln w="28575" cap="rnd">
              <a:solidFill>
                <a:schemeClr val="accent3"/>
              </a:solidFill>
              <a:round/>
            </a:ln>
            <a:effectLst/>
          </c:spPr>
          <c:marker>
            <c:symbol val="none"/>
          </c:marker>
          <c:cat>
            <c:numRef>
              <c:f>NS!$B$13:$AA$13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NS!$B$41:$AA$41</c:f>
              <c:numCache>
                <c:formatCode>General</c:formatCode>
                <c:ptCount val="26"/>
                <c:pt idx="4">
                  <c:v>2</c:v>
                </c:pt>
                <c:pt idx="5">
                  <c:v>105</c:v>
                </c:pt>
                <c:pt idx="6">
                  <c:v>626</c:v>
                </c:pt>
                <c:pt idx="7">
                  <c:v>3724</c:v>
                </c:pt>
                <c:pt idx="8">
                  <c:v>9138</c:v>
                </c:pt>
                <c:pt idx="9">
                  <c:v>10226</c:v>
                </c:pt>
                <c:pt idx="10">
                  <c:v>6852</c:v>
                </c:pt>
                <c:pt idx="11">
                  <c:v>8775</c:v>
                </c:pt>
                <c:pt idx="12">
                  <c:v>6224</c:v>
                </c:pt>
                <c:pt idx="13">
                  <c:v>6945</c:v>
                </c:pt>
                <c:pt idx="14">
                  <c:v>6893</c:v>
                </c:pt>
                <c:pt idx="15">
                  <c:v>7110</c:v>
                </c:pt>
                <c:pt idx="16">
                  <c:v>8873</c:v>
                </c:pt>
                <c:pt idx="17">
                  <c:v>10459</c:v>
                </c:pt>
                <c:pt idx="18">
                  <c:v>10263</c:v>
                </c:pt>
                <c:pt idx="19">
                  <c:v>8225</c:v>
                </c:pt>
                <c:pt idx="20">
                  <c:v>17376</c:v>
                </c:pt>
                <c:pt idx="21">
                  <c:v>10683</c:v>
                </c:pt>
                <c:pt idx="22">
                  <c:v>7903</c:v>
                </c:pt>
                <c:pt idx="23">
                  <c:v>5210</c:v>
                </c:pt>
                <c:pt idx="24">
                  <c:v>2840</c:v>
                </c:pt>
                <c:pt idx="25">
                  <c:v>568</c:v>
                </c:pt>
              </c:numCache>
            </c:numRef>
          </c:val>
          <c:smooth val="0"/>
          <c:extLst>
            <c:ext xmlns:c16="http://schemas.microsoft.com/office/drawing/2014/chart" uri="{C3380CC4-5D6E-409C-BE32-E72D297353CC}">
              <c16:uniqueId val="{00000000-35B1-4A46-923B-1D9B6FA84627}"/>
            </c:ext>
          </c:extLst>
        </c:ser>
        <c:dLbls>
          <c:showLegendKey val="0"/>
          <c:showVal val="0"/>
          <c:showCatName val="0"/>
          <c:showSerName val="0"/>
          <c:showPercent val="0"/>
          <c:showBubbleSize val="0"/>
        </c:dLbls>
        <c:smooth val="0"/>
        <c:axId val="394440303"/>
        <c:axId val="394434479"/>
      </c:lineChart>
      <c:catAx>
        <c:axId val="394440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94434479"/>
        <c:crosses val="autoZero"/>
        <c:auto val="1"/>
        <c:lblAlgn val="ctr"/>
        <c:lblOffset val="100"/>
        <c:noMultiLvlLbl val="0"/>
      </c:catAx>
      <c:valAx>
        <c:axId val="394434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944403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spPr>
            <a:ln w="28575" cap="rnd">
              <a:solidFill>
                <a:schemeClr val="accent3"/>
              </a:solidFill>
              <a:round/>
            </a:ln>
            <a:effectLst/>
          </c:spPr>
          <c:marker>
            <c:symbol val="none"/>
          </c:marker>
          <c:cat>
            <c:numRef>
              <c:f>NSS!$B$13:$AA$13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NSS!$B$41:$AA$41</c:f>
              <c:numCache>
                <c:formatCode>General</c:formatCode>
                <c:ptCount val="26"/>
                <c:pt idx="10">
                  <c:v>4942</c:v>
                </c:pt>
                <c:pt idx="11">
                  <c:v>8455</c:v>
                </c:pt>
                <c:pt idx="12">
                  <c:v>10906</c:v>
                </c:pt>
                <c:pt idx="13">
                  <c:v>7646</c:v>
                </c:pt>
                <c:pt idx="14">
                  <c:v>7423</c:v>
                </c:pt>
                <c:pt idx="15">
                  <c:v>9086</c:v>
                </c:pt>
                <c:pt idx="16">
                  <c:v>7171</c:v>
                </c:pt>
                <c:pt idx="17">
                  <c:v>5285</c:v>
                </c:pt>
                <c:pt idx="18">
                  <c:v>4359</c:v>
                </c:pt>
                <c:pt idx="19">
                  <c:v>3978</c:v>
                </c:pt>
                <c:pt idx="20">
                  <c:v>4728</c:v>
                </c:pt>
                <c:pt idx="21">
                  <c:v>3702</c:v>
                </c:pt>
                <c:pt idx="22">
                  <c:v>4262</c:v>
                </c:pt>
                <c:pt idx="23">
                  <c:v>2761</c:v>
                </c:pt>
                <c:pt idx="24">
                  <c:v>2180</c:v>
                </c:pt>
                <c:pt idx="25">
                  <c:v>670</c:v>
                </c:pt>
              </c:numCache>
            </c:numRef>
          </c:val>
          <c:smooth val="0"/>
          <c:extLst>
            <c:ext xmlns:c16="http://schemas.microsoft.com/office/drawing/2014/chart" uri="{C3380CC4-5D6E-409C-BE32-E72D297353CC}">
              <c16:uniqueId val="{00000000-0DB5-467B-A3A5-05B82A0C957F}"/>
            </c:ext>
          </c:extLst>
        </c:ser>
        <c:dLbls>
          <c:showLegendKey val="0"/>
          <c:showVal val="0"/>
          <c:showCatName val="0"/>
          <c:showSerName val="0"/>
          <c:showPercent val="0"/>
          <c:showBubbleSize val="0"/>
        </c:dLbls>
        <c:smooth val="0"/>
        <c:axId val="553806143"/>
        <c:axId val="553801151"/>
      </c:lineChart>
      <c:catAx>
        <c:axId val="553806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53801151"/>
        <c:crosses val="autoZero"/>
        <c:auto val="1"/>
        <c:lblAlgn val="ctr"/>
        <c:lblOffset val="100"/>
        <c:noMultiLvlLbl val="0"/>
      </c:catAx>
      <c:valAx>
        <c:axId val="553801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538061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v>LDA</c:v>
          </c:tx>
          <c:spPr>
            <a:ln w="28575" cap="rnd">
              <a:solidFill>
                <a:schemeClr val="accent3">
                  <a:shade val="76000"/>
                </a:schemeClr>
              </a:solidFill>
              <a:round/>
            </a:ln>
            <a:effectLst/>
          </c:spPr>
          <c:marker>
            <c:symbol val="none"/>
          </c:marker>
          <c:cat>
            <c:numRef>
              <c:f>'CV coh core'!$A$1:$A$10</c:f>
              <c:numCache>
                <c:formatCode>General</c:formatCode>
                <c:ptCount val="10"/>
                <c:pt idx="0">
                  <c:v>10</c:v>
                </c:pt>
                <c:pt idx="1">
                  <c:v>20</c:v>
                </c:pt>
                <c:pt idx="2">
                  <c:v>30</c:v>
                </c:pt>
                <c:pt idx="3">
                  <c:v>40</c:v>
                </c:pt>
                <c:pt idx="4">
                  <c:v>50</c:v>
                </c:pt>
                <c:pt idx="5">
                  <c:v>60</c:v>
                </c:pt>
                <c:pt idx="6">
                  <c:v>70</c:v>
                </c:pt>
                <c:pt idx="7">
                  <c:v>80</c:v>
                </c:pt>
                <c:pt idx="8">
                  <c:v>90</c:v>
                </c:pt>
                <c:pt idx="9">
                  <c:v>100</c:v>
                </c:pt>
              </c:numCache>
            </c:numRef>
          </c:cat>
          <c:val>
            <c:numRef>
              <c:f>'CV coh core'!$B$1:$B$10</c:f>
              <c:numCache>
                <c:formatCode>General</c:formatCode>
                <c:ptCount val="10"/>
                <c:pt idx="0">
                  <c:v>0.5393</c:v>
                </c:pt>
                <c:pt idx="1">
                  <c:v>0.61170000000000002</c:v>
                </c:pt>
                <c:pt idx="2">
                  <c:v>0.63870000000000005</c:v>
                </c:pt>
                <c:pt idx="3">
                  <c:v>0.62560000000000004</c:v>
                </c:pt>
                <c:pt idx="4">
                  <c:v>0.62990000000000002</c:v>
                </c:pt>
                <c:pt idx="5">
                  <c:v>0.62039999999999995</c:v>
                </c:pt>
                <c:pt idx="6">
                  <c:v>0.62680000000000002</c:v>
                </c:pt>
                <c:pt idx="7">
                  <c:v>0.629</c:v>
                </c:pt>
                <c:pt idx="8">
                  <c:v>0.61460000000000004</c:v>
                </c:pt>
                <c:pt idx="9">
                  <c:v>0.60860000000000003</c:v>
                </c:pt>
              </c:numCache>
            </c:numRef>
          </c:val>
          <c:smooth val="0"/>
          <c:extLst>
            <c:ext xmlns:c16="http://schemas.microsoft.com/office/drawing/2014/chart" uri="{C3380CC4-5D6E-409C-BE32-E72D297353CC}">
              <c16:uniqueId val="{00000000-5A7A-441A-9CB8-810C63A9F22B}"/>
            </c:ext>
          </c:extLst>
        </c:ser>
        <c:ser>
          <c:idx val="1"/>
          <c:order val="1"/>
          <c:tx>
            <c:v>NMF</c:v>
          </c:tx>
          <c:spPr>
            <a:ln w="28575" cap="rnd">
              <a:solidFill>
                <a:schemeClr val="accent3">
                  <a:tint val="77000"/>
                </a:schemeClr>
              </a:solidFill>
              <a:round/>
            </a:ln>
            <a:effectLst/>
          </c:spPr>
          <c:marker>
            <c:symbol val="none"/>
          </c:marker>
          <c:cat>
            <c:numRef>
              <c:f>'CV coh core'!$A$1:$A$10</c:f>
              <c:numCache>
                <c:formatCode>General</c:formatCode>
                <c:ptCount val="10"/>
                <c:pt idx="0">
                  <c:v>10</c:v>
                </c:pt>
                <c:pt idx="1">
                  <c:v>20</c:v>
                </c:pt>
                <c:pt idx="2">
                  <c:v>30</c:v>
                </c:pt>
                <c:pt idx="3">
                  <c:v>40</c:v>
                </c:pt>
                <c:pt idx="4">
                  <c:v>50</c:v>
                </c:pt>
                <c:pt idx="5">
                  <c:v>60</c:v>
                </c:pt>
                <c:pt idx="6">
                  <c:v>70</c:v>
                </c:pt>
                <c:pt idx="7">
                  <c:v>80</c:v>
                </c:pt>
                <c:pt idx="8">
                  <c:v>90</c:v>
                </c:pt>
                <c:pt idx="9">
                  <c:v>100</c:v>
                </c:pt>
              </c:numCache>
            </c:numRef>
          </c:cat>
          <c:val>
            <c:numRef>
              <c:f>'CV coh core'!$C$1:$C$10</c:f>
              <c:numCache>
                <c:formatCode>General</c:formatCode>
                <c:ptCount val="10"/>
                <c:pt idx="0">
                  <c:v>0.73570000000000002</c:v>
                </c:pt>
                <c:pt idx="1">
                  <c:v>0.74180000000000001</c:v>
                </c:pt>
                <c:pt idx="2">
                  <c:v>0.73550000000000004</c:v>
                </c:pt>
                <c:pt idx="3">
                  <c:v>0.72560000000000002</c:v>
                </c:pt>
                <c:pt idx="4">
                  <c:v>0.73680000000000001</c:v>
                </c:pt>
                <c:pt idx="5">
                  <c:v>0.72</c:v>
                </c:pt>
                <c:pt idx="6">
                  <c:v>0.73480000000000001</c:v>
                </c:pt>
                <c:pt idx="7">
                  <c:v>0.71650000000000003</c:v>
                </c:pt>
                <c:pt idx="8">
                  <c:v>0.72019999999999995</c:v>
                </c:pt>
                <c:pt idx="9">
                  <c:v>0.71299999999999997</c:v>
                </c:pt>
              </c:numCache>
            </c:numRef>
          </c:val>
          <c:smooth val="0"/>
          <c:extLst>
            <c:ext xmlns:c16="http://schemas.microsoft.com/office/drawing/2014/chart" uri="{C3380CC4-5D6E-409C-BE32-E72D297353CC}">
              <c16:uniqueId val="{00000001-5A7A-441A-9CB8-810C63A9F22B}"/>
            </c:ext>
          </c:extLst>
        </c:ser>
        <c:dLbls>
          <c:showLegendKey val="0"/>
          <c:showVal val="0"/>
          <c:showCatName val="0"/>
          <c:showSerName val="0"/>
          <c:showPercent val="0"/>
          <c:showBubbleSize val="0"/>
        </c:dLbls>
        <c:smooth val="0"/>
        <c:axId val="601626959"/>
        <c:axId val="601612399"/>
      </c:lineChart>
      <c:catAx>
        <c:axId val="6016269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témat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01612399"/>
        <c:crosses val="autoZero"/>
        <c:auto val="1"/>
        <c:lblAlgn val="ctr"/>
        <c:lblOffset val="100"/>
        <c:noMultiLvlLbl val="0"/>
      </c:catAx>
      <c:valAx>
        <c:axId val="601612399"/>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 CV</a:t>
                </a:r>
                <a:r>
                  <a:rPr lang="cs-CZ" baseline="0"/>
                  <a:t> koherenční skóre</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01626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6741710411198601"/>
          <c:y val="2.4421114027413239E-2"/>
          <c:w val="0.79091622922134741"/>
          <c:h val="0.50193423738699328"/>
        </c:manualLayout>
      </c:layout>
      <c:lineChart>
        <c:grouping val="standard"/>
        <c:varyColors val="0"/>
        <c:ser>
          <c:idx val="0"/>
          <c:order val="0"/>
          <c:tx>
            <c:v>Počet rozhodnutí publikovaných v daném roce neobsahujících žádnou citaci</c:v>
          </c:tx>
          <c:spPr>
            <a:ln w="28575" cap="rnd">
              <a:solidFill>
                <a:schemeClr val="accent3">
                  <a:shade val="65000"/>
                </a:schemeClr>
              </a:solidFill>
              <a:round/>
            </a:ln>
            <a:effectLst/>
          </c:spPr>
          <c:marker>
            <c:symbol val="none"/>
          </c:marker>
          <c:cat>
            <c:numRef>
              <c:f>'časovy vyvoj'!$B$13:$AA$13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vyvoj'!$B$14:$AA$14</c:f>
              <c:numCache>
                <c:formatCode>General</c:formatCode>
                <c:ptCount val="26"/>
                <c:pt idx="0">
                  <c:v>218</c:v>
                </c:pt>
                <c:pt idx="1">
                  <c:v>558</c:v>
                </c:pt>
                <c:pt idx="2">
                  <c:v>575</c:v>
                </c:pt>
                <c:pt idx="3">
                  <c:v>784</c:v>
                </c:pt>
                <c:pt idx="4">
                  <c:v>998</c:v>
                </c:pt>
                <c:pt idx="5">
                  <c:v>1113</c:v>
                </c:pt>
                <c:pt idx="6">
                  <c:v>1371</c:v>
                </c:pt>
                <c:pt idx="7">
                  <c:v>2759</c:v>
                </c:pt>
                <c:pt idx="8">
                  <c:v>3553</c:v>
                </c:pt>
                <c:pt idx="9">
                  <c:v>3935</c:v>
                </c:pt>
                <c:pt idx="10">
                  <c:v>4627</c:v>
                </c:pt>
                <c:pt idx="11">
                  <c:v>4280</c:v>
                </c:pt>
                <c:pt idx="12">
                  <c:v>6230</c:v>
                </c:pt>
                <c:pt idx="13">
                  <c:v>5737</c:v>
                </c:pt>
                <c:pt idx="14">
                  <c:v>4701</c:v>
                </c:pt>
                <c:pt idx="15">
                  <c:v>4379</c:v>
                </c:pt>
                <c:pt idx="16">
                  <c:v>3848</c:v>
                </c:pt>
                <c:pt idx="17">
                  <c:v>3807</c:v>
                </c:pt>
                <c:pt idx="18">
                  <c:v>3803</c:v>
                </c:pt>
                <c:pt idx="19">
                  <c:v>3786</c:v>
                </c:pt>
                <c:pt idx="20">
                  <c:v>3577</c:v>
                </c:pt>
                <c:pt idx="21">
                  <c:v>3268</c:v>
                </c:pt>
                <c:pt idx="22">
                  <c:v>2768</c:v>
                </c:pt>
                <c:pt idx="23">
                  <c:v>2827</c:v>
                </c:pt>
                <c:pt idx="24">
                  <c:v>3087</c:v>
                </c:pt>
                <c:pt idx="25">
                  <c:v>2374</c:v>
                </c:pt>
              </c:numCache>
            </c:numRef>
          </c:val>
          <c:smooth val="0"/>
          <c:extLst>
            <c:ext xmlns:c16="http://schemas.microsoft.com/office/drawing/2014/chart" uri="{C3380CC4-5D6E-409C-BE32-E72D297353CC}">
              <c16:uniqueId val="{00000000-F25D-422E-8563-01801ECCFFAB}"/>
            </c:ext>
          </c:extLst>
        </c:ser>
        <c:ser>
          <c:idx val="1"/>
          <c:order val="1"/>
          <c:tx>
            <c:strRef>
              <c:f>'časovy vyvoj'!$A$52</c:f>
              <c:strCache>
                <c:ptCount val="1"/>
                <c:pt idx="0">
                  <c:v>Počet rozhodnutí publikovaných v daném roce obsahujících alespoň jednu citaci</c:v>
                </c:pt>
              </c:strCache>
            </c:strRef>
          </c:tx>
          <c:spPr>
            <a:ln w="28575" cap="rnd">
              <a:solidFill>
                <a:schemeClr val="accent3"/>
              </a:solidFill>
              <a:round/>
            </a:ln>
            <a:effectLst/>
          </c:spPr>
          <c:marker>
            <c:symbol val="none"/>
          </c:marker>
          <c:cat>
            <c:numRef>
              <c:f>'časovy vyvoj'!$B$13:$AA$13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vyvoj'!$B$15:$AA$15</c:f>
              <c:numCache>
                <c:formatCode>General</c:formatCode>
                <c:ptCount val="26"/>
                <c:pt idx="0">
                  <c:v>7</c:v>
                </c:pt>
                <c:pt idx="1">
                  <c:v>68</c:v>
                </c:pt>
                <c:pt idx="2">
                  <c:v>200</c:v>
                </c:pt>
                <c:pt idx="3">
                  <c:v>254</c:v>
                </c:pt>
                <c:pt idx="4">
                  <c:v>392</c:v>
                </c:pt>
                <c:pt idx="5">
                  <c:v>556</c:v>
                </c:pt>
                <c:pt idx="6">
                  <c:v>753</c:v>
                </c:pt>
                <c:pt idx="7">
                  <c:v>1777</c:v>
                </c:pt>
                <c:pt idx="8">
                  <c:v>2552</c:v>
                </c:pt>
                <c:pt idx="9">
                  <c:v>2752</c:v>
                </c:pt>
                <c:pt idx="10">
                  <c:v>3313</c:v>
                </c:pt>
                <c:pt idx="11">
                  <c:v>4181</c:v>
                </c:pt>
                <c:pt idx="12">
                  <c:v>6538</c:v>
                </c:pt>
                <c:pt idx="13">
                  <c:v>7784</c:v>
                </c:pt>
                <c:pt idx="14">
                  <c:v>9091</c:v>
                </c:pt>
                <c:pt idx="15">
                  <c:v>9086</c:v>
                </c:pt>
                <c:pt idx="16">
                  <c:v>9808</c:v>
                </c:pt>
                <c:pt idx="17">
                  <c:v>9911</c:v>
                </c:pt>
                <c:pt idx="18">
                  <c:v>10264</c:v>
                </c:pt>
                <c:pt idx="19">
                  <c:v>10443</c:v>
                </c:pt>
                <c:pt idx="20">
                  <c:v>9999</c:v>
                </c:pt>
                <c:pt idx="21">
                  <c:v>11253</c:v>
                </c:pt>
                <c:pt idx="22">
                  <c:v>11946</c:v>
                </c:pt>
                <c:pt idx="23">
                  <c:v>12789</c:v>
                </c:pt>
                <c:pt idx="24">
                  <c:v>13295</c:v>
                </c:pt>
                <c:pt idx="25">
                  <c:v>9648</c:v>
                </c:pt>
              </c:numCache>
            </c:numRef>
          </c:val>
          <c:smooth val="0"/>
          <c:extLst>
            <c:ext xmlns:c16="http://schemas.microsoft.com/office/drawing/2014/chart" uri="{C3380CC4-5D6E-409C-BE32-E72D297353CC}">
              <c16:uniqueId val="{00000001-F25D-422E-8563-01801ECCFFAB}"/>
            </c:ext>
          </c:extLst>
        </c:ser>
        <c:ser>
          <c:idx val="2"/>
          <c:order val="2"/>
          <c:tx>
            <c:strRef>
              <c:f>'časovy vyvoj'!$A$53</c:f>
              <c:strCache>
                <c:ptCount val="1"/>
                <c:pt idx="0">
                  <c:v>Počet rozhodnutí publikovaných v daném roce</c:v>
                </c:pt>
              </c:strCache>
            </c:strRef>
          </c:tx>
          <c:spPr>
            <a:ln w="28575" cap="rnd">
              <a:solidFill>
                <a:schemeClr val="accent3">
                  <a:tint val="65000"/>
                </a:schemeClr>
              </a:solidFill>
              <a:round/>
            </a:ln>
            <a:effectLst/>
          </c:spPr>
          <c:marker>
            <c:symbol val="none"/>
          </c:marker>
          <c:cat>
            <c:numRef>
              <c:f>'časovy vyvoj'!$B$13:$AA$13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'časovy vyvoj'!$B$19:$AA$19</c:f>
              <c:numCache>
                <c:formatCode>General</c:formatCode>
                <c:ptCount val="26"/>
                <c:pt idx="0">
                  <c:v>225</c:v>
                </c:pt>
                <c:pt idx="1">
                  <c:v>626</c:v>
                </c:pt>
                <c:pt idx="2">
                  <c:v>775</c:v>
                </c:pt>
                <c:pt idx="3">
                  <c:v>1038</c:v>
                </c:pt>
                <c:pt idx="4">
                  <c:v>1390</c:v>
                </c:pt>
                <c:pt idx="5">
                  <c:v>1669</c:v>
                </c:pt>
                <c:pt idx="6">
                  <c:v>2124</c:v>
                </c:pt>
                <c:pt idx="7">
                  <c:v>4536</c:v>
                </c:pt>
                <c:pt idx="8">
                  <c:v>6205</c:v>
                </c:pt>
                <c:pt idx="9">
                  <c:v>6687</c:v>
                </c:pt>
                <c:pt idx="10">
                  <c:v>7940</c:v>
                </c:pt>
                <c:pt idx="11">
                  <c:v>8461</c:v>
                </c:pt>
                <c:pt idx="12">
                  <c:v>12768</c:v>
                </c:pt>
                <c:pt idx="13">
                  <c:v>13521</c:v>
                </c:pt>
                <c:pt idx="14">
                  <c:v>13792</c:v>
                </c:pt>
                <c:pt idx="15">
                  <c:v>13465</c:v>
                </c:pt>
                <c:pt idx="16">
                  <c:v>13656</c:v>
                </c:pt>
                <c:pt idx="17">
                  <c:v>13718</c:v>
                </c:pt>
                <c:pt idx="18">
                  <c:v>14067</c:v>
                </c:pt>
                <c:pt idx="19">
                  <c:v>14229</c:v>
                </c:pt>
                <c:pt idx="20">
                  <c:v>13576</c:v>
                </c:pt>
                <c:pt idx="21">
                  <c:v>14521</c:v>
                </c:pt>
                <c:pt idx="22">
                  <c:v>14714</c:v>
                </c:pt>
                <c:pt idx="23">
                  <c:v>15616</c:v>
                </c:pt>
                <c:pt idx="24">
                  <c:v>16382</c:v>
                </c:pt>
                <c:pt idx="25">
                  <c:v>12022</c:v>
                </c:pt>
              </c:numCache>
            </c:numRef>
          </c:val>
          <c:smooth val="0"/>
          <c:extLst>
            <c:ext xmlns:c16="http://schemas.microsoft.com/office/drawing/2014/chart" uri="{C3380CC4-5D6E-409C-BE32-E72D297353CC}">
              <c16:uniqueId val="{00000002-F25D-422E-8563-01801ECCFFAB}"/>
            </c:ext>
          </c:extLst>
        </c:ser>
        <c:dLbls>
          <c:showLegendKey val="0"/>
          <c:showVal val="0"/>
          <c:showCatName val="0"/>
          <c:showSerName val="0"/>
          <c:showPercent val="0"/>
          <c:showBubbleSize val="0"/>
        </c:dLbls>
        <c:smooth val="0"/>
        <c:axId val="608694079"/>
        <c:axId val="608690751"/>
      </c:lineChart>
      <c:catAx>
        <c:axId val="60869407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Čas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08690751"/>
        <c:crosses val="autoZero"/>
        <c:auto val="1"/>
        <c:lblAlgn val="ctr"/>
        <c:lblOffset val="100"/>
        <c:noMultiLvlLbl val="0"/>
      </c:catAx>
      <c:valAx>
        <c:axId val="6086907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 Počet rozhodnutí</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08694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50000"/>
                </a:schemeClr>
              </a:solidFill>
              <a:ln w="19050">
                <a:solidFill>
                  <a:schemeClr val="lt1"/>
                </a:solidFill>
              </a:ln>
              <a:effectLst/>
            </c:spPr>
            <c:extLst>
              <c:ext xmlns:c16="http://schemas.microsoft.com/office/drawing/2014/chart" uri="{C3380CC4-5D6E-409C-BE32-E72D297353CC}">
                <c16:uniqueId val="{00000001-6E79-4E4D-9C43-94A7731864D8}"/>
              </c:ext>
            </c:extLst>
          </c:dPt>
          <c:dPt>
            <c:idx val="1"/>
            <c:bubble3D val="0"/>
            <c:spPr>
              <a:solidFill>
                <a:schemeClr val="accent3">
                  <a:shade val="70000"/>
                </a:schemeClr>
              </a:solidFill>
              <a:ln w="19050">
                <a:solidFill>
                  <a:schemeClr val="lt1"/>
                </a:solidFill>
              </a:ln>
              <a:effectLst/>
            </c:spPr>
            <c:extLst>
              <c:ext xmlns:c16="http://schemas.microsoft.com/office/drawing/2014/chart" uri="{C3380CC4-5D6E-409C-BE32-E72D297353CC}">
                <c16:uniqueId val="{00000003-6E79-4E4D-9C43-94A7731864D8}"/>
              </c:ext>
            </c:extLst>
          </c:dPt>
          <c:dPt>
            <c:idx val="2"/>
            <c:bubble3D val="0"/>
            <c:spPr>
              <a:solidFill>
                <a:schemeClr val="accent3">
                  <a:shade val="90000"/>
                </a:schemeClr>
              </a:solidFill>
              <a:ln w="19050">
                <a:solidFill>
                  <a:schemeClr val="lt1"/>
                </a:solidFill>
              </a:ln>
              <a:effectLst/>
            </c:spPr>
            <c:extLst>
              <c:ext xmlns:c16="http://schemas.microsoft.com/office/drawing/2014/chart" uri="{C3380CC4-5D6E-409C-BE32-E72D297353CC}">
                <c16:uniqueId val="{00000005-6E79-4E4D-9C43-94A7731864D8}"/>
              </c:ext>
            </c:extLst>
          </c:dPt>
          <c:dPt>
            <c:idx val="3"/>
            <c:bubble3D val="0"/>
            <c:spPr>
              <a:solidFill>
                <a:schemeClr val="accent3">
                  <a:tint val="90000"/>
                </a:schemeClr>
              </a:solidFill>
              <a:ln w="19050">
                <a:solidFill>
                  <a:schemeClr val="lt1"/>
                </a:solidFill>
              </a:ln>
              <a:effectLst/>
            </c:spPr>
            <c:extLst>
              <c:ext xmlns:c16="http://schemas.microsoft.com/office/drawing/2014/chart" uri="{C3380CC4-5D6E-409C-BE32-E72D297353CC}">
                <c16:uniqueId val="{00000007-6E79-4E4D-9C43-94A7731864D8}"/>
              </c:ext>
            </c:extLst>
          </c:dPt>
          <c:dPt>
            <c:idx val="4"/>
            <c:bubble3D val="0"/>
            <c:spPr>
              <a:solidFill>
                <a:schemeClr val="accent3">
                  <a:tint val="70000"/>
                </a:schemeClr>
              </a:solidFill>
              <a:ln w="19050">
                <a:solidFill>
                  <a:schemeClr val="lt1"/>
                </a:solidFill>
              </a:ln>
              <a:effectLst/>
            </c:spPr>
            <c:extLst>
              <c:ext xmlns:c16="http://schemas.microsoft.com/office/drawing/2014/chart" uri="{C3380CC4-5D6E-409C-BE32-E72D297353CC}">
                <c16:uniqueId val="{00000009-6E79-4E4D-9C43-94A7731864D8}"/>
              </c:ext>
            </c:extLst>
          </c:dPt>
          <c:dPt>
            <c:idx val="5"/>
            <c:bubble3D val="0"/>
            <c:spPr>
              <a:solidFill>
                <a:schemeClr val="accent3">
                  <a:tint val="50000"/>
                </a:schemeClr>
              </a:solidFill>
              <a:ln w="19050">
                <a:solidFill>
                  <a:schemeClr val="lt1"/>
                </a:solidFill>
              </a:ln>
              <a:effectLst/>
            </c:spPr>
            <c:extLst>
              <c:ext xmlns:c16="http://schemas.microsoft.com/office/drawing/2014/chart" uri="{C3380CC4-5D6E-409C-BE32-E72D297353CC}">
                <c16:uniqueId val="{0000000B-6E79-4E4D-9C43-94A7731864D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citace!$E$24:$E$29</c:f>
              <c:numCache>
                <c:formatCode>General</c:formatCode>
                <c:ptCount val="6"/>
                <c:pt idx="0">
                  <c:v>19.230769230769234</c:v>
                </c:pt>
                <c:pt idx="1">
                  <c:v>11.538461538461538</c:v>
                </c:pt>
                <c:pt idx="2">
                  <c:v>19.230769230769234</c:v>
                </c:pt>
                <c:pt idx="3">
                  <c:v>15.384615384615385</c:v>
                </c:pt>
                <c:pt idx="4">
                  <c:v>26.923076923076923</c:v>
                </c:pt>
                <c:pt idx="5">
                  <c:v>7.6923076923076925</c:v>
                </c:pt>
              </c:numCache>
            </c:numRef>
          </c:val>
          <c:extLst>
            <c:ext xmlns:c16="http://schemas.microsoft.com/office/drawing/2014/chart" uri="{C3380CC4-5D6E-409C-BE32-E72D297353CC}">
              <c16:uniqueId val="{0000000C-6E79-4E4D-9C43-94A7731864D8}"/>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50000"/>
                </a:schemeClr>
              </a:solidFill>
              <a:ln w="19050">
                <a:solidFill>
                  <a:schemeClr val="lt1"/>
                </a:solidFill>
              </a:ln>
              <a:effectLst/>
            </c:spPr>
            <c:extLst>
              <c:ext xmlns:c16="http://schemas.microsoft.com/office/drawing/2014/chart" uri="{C3380CC4-5D6E-409C-BE32-E72D297353CC}">
                <c16:uniqueId val="{00000001-3EB6-438B-A266-8F509A28690C}"/>
              </c:ext>
            </c:extLst>
          </c:dPt>
          <c:dPt>
            <c:idx val="1"/>
            <c:bubble3D val="0"/>
            <c:spPr>
              <a:solidFill>
                <a:schemeClr val="accent3">
                  <a:shade val="70000"/>
                </a:schemeClr>
              </a:solidFill>
              <a:ln w="19050">
                <a:solidFill>
                  <a:schemeClr val="lt1"/>
                </a:solidFill>
              </a:ln>
              <a:effectLst/>
            </c:spPr>
            <c:extLst>
              <c:ext xmlns:c16="http://schemas.microsoft.com/office/drawing/2014/chart" uri="{C3380CC4-5D6E-409C-BE32-E72D297353CC}">
                <c16:uniqueId val="{00000003-3EB6-438B-A266-8F509A28690C}"/>
              </c:ext>
            </c:extLst>
          </c:dPt>
          <c:dPt>
            <c:idx val="2"/>
            <c:bubble3D val="0"/>
            <c:spPr>
              <a:solidFill>
                <a:schemeClr val="accent3">
                  <a:shade val="90000"/>
                </a:schemeClr>
              </a:solidFill>
              <a:ln w="19050">
                <a:solidFill>
                  <a:schemeClr val="lt1"/>
                </a:solidFill>
              </a:ln>
              <a:effectLst/>
            </c:spPr>
            <c:extLst>
              <c:ext xmlns:c16="http://schemas.microsoft.com/office/drawing/2014/chart" uri="{C3380CC4-5D6E-409C-BE32-E72D297353CC}">
                <c16:uniqueId val="{00000005-3EB6-438B-A266-8F509A28690C}"/>
              </c:ext>
            </c:extLst>
          </c:dPt>
          <c:dPt>
            <c:idx val="3"/>
            <c:bubble3D val="0"/>
            <c:spPr>
              <a:solidFill>
                <a:schemeClr val="accent3">
                  <a:tint val="90000"/>
                </a:schemeClr>
              </a:solidFill>
              <a:ln w="19050">
                <a:solidFill>
                  <a:schemeClr val="lt1"/>
                </a:solidFill>
              </a:ln>
              <a:effectLst/>
            </c:spPr>
            <c:extLst>
              <c:ext xmlns:c16="http://schemas.microsoft.com/office/drawing/2014/chart" uri="{C3380CC4-5D6E-409C-BE32-E72D297353CC}">
                <c16:uniqueId val="{00000007-3EB6-438B-A266-8F509A28690C}"/>
              </c:ext>
            </c:extLst>
          </c:dPt>
          <c:dPt>
            <c:idx val="4"/>
            <c:bubble3D val="0"/>
            <c:spPr>
              <a:solidFill>
                <a:schemeClr val="accent3">
                  <a:tint val="70000"/>
                </a:schemeClr>
              </a:solidFill>
              <a:ln w="19050">
                <a:solidFill>
                  <a:schemeClr val="lt1"/>
                </a:solidFill>
              </a:ln>
              <a:effectLst/>
            </c:spPr>
            <c:extLst>
              <c:ext xmlns:c16="http://schemas.microsoft.com/office/drawing/2014/chart" uri="{C3380CC4-5D6E-409C-BE32-E72D297353CC}">
                <c16:uniqueId val="{00000009-3EB6-438B-A266-8F509A28690C}"/>
              </c:ext>
            </c:extLst>
          </c:dPt>
          <c:dPt>
            <c:idx val="5"/>
            <c:bubble3D val="0"/>
            <c:spPr>
              <a:solidFill>
                <a:schemeClr val="accent3">
                  <a:tint val="50000"/>
                </a:schemeClr>
              </a:solidFill>
              <a:ln w="19050">
                <a:solidFill>
                  <a:schemeClr val="lt1"/>
                </a:solidFill>
              </a:ln>
              <a:effectLst/>
            </c:spPr>
            <c:extLst>
              <c:ext xmlns:c16="http://schemas.microsoft.com/office/drawing/2014/chart" uri="{C3380CC4-5D6E-409C-BE32-E72D297353CC}">
                <c16:uniqueId val="{0000000B-3EB6-438B-A266-8F509A2869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citace!$I$24:$I$29</c:f>
              <c:numCache>
                <c:formatCode>General</c:formatCode>
                <c:ptCount val="6"/>
                <c:pt idx="0">
                  <c:v>26.923076923076923</c:v>
                </c:pt>
                <c:pt idx="1">
                  <c:v>30.76923076923077</c:v>
                </c:pt>
                <c:pt idx="2">
                  <c:v>15.384615384615385</c:v>
                </c:pt>
                <c:pt idx="3">
                  <c:v>3.8461538461538463</c:v>
                </c:pt>
                <c:pt idx="4">
                  <c:v>15.384615384615385</c:v>
                </c:pt>
                <c:pt idx="5">
                  <c:v>7.6923076923076925</c:v>
                </c:pt>
              </c:numCache>
            </c:numRef>
          </c:val>
          <c:extLst>
            <c:ext xmlns:c16="http://schemas.microsoft.com/office/drawing/2014/chart" uri="{C3380CC4-5D6E-409C-BE32-E72D297353CC}">
              <c16:uniqueId val="{0000000C-3EB6-438B-A266-8F509A28690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69921399082409"/>
          <c:y val="0.17075616367626179"/>
          <c:w val="0.54671512214819307"/>
          <c:h val="0.6757757411471107"/>
        </c:manualLayout>
      </c:layout>
      <c:pieChart>
        <c:varyColors val="1"/>
        <c:ser>
          <c:idx val="0"/>
          <c:order val="0"/>
          <c:dPt>
            <c:idx val="0"/>
            <c:bubble3D val="0"/>
            <c:spPr>
              <a:solidFill>
                <a:schemeClr val="accent3">
                  <a:shade val="50000"/>
                </a:schemeClr>
              </a:solidFill>
              <a:ln w="19050">
                <a:solidFill>
                  <a:schemeClr val="lt1"/>
                </a:solidFill>
              </a:ln>
              <a:effectLst/>
            </c:spPr>
            <c:extLst>
              <c:ext xmlns:c16="http://schemas.microsoft.com/office/drawing/2014/chart" uri="{C3380CC4-5D6E-409C-BE32-E72D297353CC}">
                <c16:uniqueId val="{00000001-DD9B-4B7F-9624-AE9011F61612}"/>
              </c:ext>
            </c:extLst>
          </c:dPt>
          <c:dPt>
            <c:idx val="1"/>
            <c:bubble3D val="0"/>
            <c:spPr>
              <a:solidFill>
                <a:schemeClr val="accent3">
                  <a:shade val="70000"/>
                </a:schemeClr>
              </a:solidFill>
              <a:ln w="19050">
                <a:solidFill>
                  <a:schemeClr val="lt1"/>
                </a:solidFill>
              </a:ln>
              <a:effectLst/>
            </c:spPr>
            <c:extLst>
              <c:ext xmlns:c16="http://schemas.microsoft.com/office/drawing/2014/chart" uri="{C3380CC4-5D6E-409C-BE32-E72D297353CC}">
                <c16:uniqueId val="{00000003-DD9B-4B7F-9624-AE9011F61612}"/>
              </c:ext>
            </c:extLst>
          </c:dPt>
          <c:dPt>
            <c:idx val="2"/>
            <c:bubble3D val="0"/>
            <c:spPr>
              <a:solidFill>
                <a:schemeClr val="accent3">
                  <a:shade val="90000"/>
                </a:schemeClr>
              </a:solidFill>
              <a:ln w="19050">
                <a:solidFill>
                  <a:schemeClr val="lt1"/>
                </a:solidFill>
              </a:ln>
              <a:effectLst/>
            </c:spPr>
            <c:extLst>
              <c:ext xmlns:c16="http://schemas.microsoft.com/office/drawing/2014/chart" uri="{C3380CC4-5D6E-409C-BE32-E72D297353CC}">
                <c16:uniqueId val="{00000005-DD9B-4B7F-9624-AE9011F61612}"/>
              </c:ext>
            </c:extLst>
          </c:dPt>
          <c:dPt>
            <c:idx val="3"/>
            <c:bubble3D val="0"/>
            <c:spPr>
              <a:solidFill>
                <a:schemeClr val="accent3">
                  <a:tint val="90000"/>
                </a:schemeClr>
              </a:solidFill>
              <a:ln w="19050">
                <a:solidFill>
                  <a:schemeClr val="lt1"/>
                </a:solidFill>
              </a:ln>
              <a:effectLst/>
            </c:spPr>
            <c:extLst>
              <c:ext xmlns:c16="http://schemas.microsoft.com/office/drawing/2014/chart" uri="{C3380CC4-5D6E-409C-BE32-E72D297353CC}">
                <c16:uniqueId val="{00000007-DD9B-4B7F-9624-AE9011F61612}"/>
              </c:ext>
            </c:extLst>
          </c:dPt>
          <c:dPt>
            <c:idx val="4"/>
            <c:bubble3D val="0"/>
            <c:spPr>
              <a:solidFill>
                <a:schemeClr val="accent3">
                  <a:tint val="70000"/>
                </a:schemeClr>
              </a:solidFill>
              <a:ln w="19050">
                <a:solidFill>
                  <a:schemeClr val="lt1"/>
                </a:solidFill>
              </a:ln>
              <a:effectLst/>
            </c:spPr>
            <c:extLst>
              <c:ext xmlns:c16="http://schemas.microsoft.com/office/drawing/2014/chart" uri="{C3380CC4-5D6E-409C-BE32-E72D297353CC}">
                <c16:uniqueId val="{00000009-DD9B-4B7F-9624-AE9011F61612}"/>
              </c:ext>
            </c:extLst>
          </c:dPt>
          <c:dPt>
            <c:idx val="5"/>
            <c:bubble3D val="0"/>
            <c:spPr>
              <a:solidFill>
                <a:schemeClr val="accent3">
                  <a:tint val="50000"/>
                </a:schemeClr>
              </a:solidFill>
              <a:ln w="19050">
                <a:solidFill>
                  <a:schemeClr val="lt1"/>
                </a:solidFill>
              </a:ln>
              <a:effectLst/>
            </c:spPr>
            <c:extLst>
              <c:ext xmlns:c16="http://schemas.microsoft.com/office/drawing/2014/chart" uri="{C3380CC4-5D6E-409C-BE32-E72D297353CC}">
                <c16:uniqueId val="{0000000B-DD9B-4B7F-9624-AE9011F616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doc2vec!$E$24:$E$29</c:f>
              <c:numCache>
                <c:formatCode>General</c:formatCode>
                <c:ptCount val="6"/>
                <c:pt idx="0">
                  <c:v>15.384615384615385</c:v>
                </c:pt>
                <c:pt idx="1">
                  <c:v>19.230769230769234</c:v>
                </c:pt>
                <c:pt idx="2">
                  <c:v>11.538461538461538</c:v>
                </c:pt>
                <c:pt idx="3">
                  <c:v>15.384615384615385</c:v>
                </c:pt>
                <c:pt idx="4">
                  <c:v>23.076923076923077</c:v>
                </c:pt>
                <c:pt idx="5">
                  <c:v>15.384615384615385</c:v>
                </c:pt>
              </c:numCache>
            </c:numRef>
          </c:val>
          <c:extLst>
            <c:ext xmlns:c16="http://schemas.microsoft.com/office/drawing/2014/chart" uri="{C3380CC4-5D6E-409C-BE32-E72D297353CC}">
              <c16:uniqueId val="{0000000C-DD9B-4B7F-9624-AE9011F61612}"/>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50000"/>
                </a:schemeClr>
              </a:solidFill>
              <a:ln w="19050">
                <a:solidFill>
                  <a:schemeClr val="lt1"/>
                </a:solidFill>
              </a:ln>
              <a:effectLst/>
            </c:spPr>
            <c:extLst>
              <c:ext xmlns:c16="http://schemas.microsoft.com/office/drawing/2014/chart" uri="{C3380CC4-5D6E-409C-BE32-E72D297353CC}">
                <c16:uniqueId val="{00000001-6E5B-472F-994C-B3EEE11E247B}"/>
              </c:ext>
            </c:extLst>
          </c:dPt>
          <c:dPt>
            <c:idx val="1"/>
            <c:bubble3D val="0"/>
            <c:spPr>
              <a:solidFill>
                <a:schemeClr val="accent3">
                  <a:shade val="70000"/>
                </a:schemeClr>
              </a:solidFill>
              <a:ln w="19050">
                <a:solidFill>
                  <a:schemeClr val="lt1"/>
                </a:solidFill>
              </a:ln>
              <a:effectLst/>
            </c:spPr>
            <c:extLst>
              <c:ext xmlns:c16="http://schemas.microsoft.com/office/drawing/2014/chart" uri="{C3380CC4-5D6E-409C-BE32-E72D297353CC}">
                <c16:uniqueId val="{00000003-6E5B-472F-994C-B3EEE11E247B}"/>
              </c:ext>
            </c:extLst>
          </c:dPt>
          <c:dPt>
            <c:idx val="2"/>
            <c:bubble3D val="0"/>
            <c:spPr>
              <a:solidFill>
                <a:schemeClr val="accent3">
                  <a:shade val="90000"/>
                </a:schemeClr>
              </a:solidFill>
              <a:ln w="19050">
                <a:solidFill>
                  <a:schemeClr val="lt1"/>
                </a:solidFill>
              </a:ln>
              <a:effectLst/>
            </c:spPr>
            <c:extLst>
              <c:ext xmlns:c16="http://schemas.microsoft.com/office/drawing/2014/chart" uri="{C3380CC4-5D6E-409C-BE32-E72D297353CC}">
                <c16:uniqueId val="{00000005-6E5B-472F-994C-B3EEE11E247B}"/>
              </c:ext>
            </c:extLst>
          </c:dPt>
          <c:dPt>
            <c:idx val="3"/>
            <c:bubble3D val="0"/>
            <c:spPr>
              <a:solidFill>
                <a:schemeClr val="accent3">
                  <a:tint val="90000"/>
                </a:schemeClr>
              </a:solidFill>
              <a:ln w="19050">
                <a:solidFill>
                  <a:schemeClr val="lt1"/>
                </a:solidFill>
              </a:ln>
              <a:effectLst/>
            </c:spPr>
            <c:extLst>
              <c:ext xmlns:c16="http://schemas.microsoft.com/office/drawing/2014/chart" uri="{C3380CC4-5D6E-409C-BE32-E72D297353CC}">
                <c16:uniqueId val="{00000007-6E5B-472F-994C-B3EEE11E247B}"/>
              </c:ext>
            </c:extLst>
          </c:dPt>
          <c:dPt>
            <c:idx val="4"/>
            <c:bubble3D val="0"/>
            <c:spPr>
              <a:solidFill>
                <a:schemeClr val="accent3">
                  <a:tint val="70000"/>
                </a:schemeClr>
              </a:solidFill>
              <a:ln w="19050">
                <a:solidFill>
                  <a:schemeClr val="lt1"/>
                </a:solidFill>
              </a:ln>
              <a:effectLst/>
            </c:spPr>
            <c:extLst>
              <c:ext xmlns:c16="http://schemas.microsoft.com/office/drawing/2014/chart" uri="{C3380CC4-5D6E-409C-BE32-E72D297353CC}">
                <c16:uniqueId val="{00000009-6E5B-472F-994C-B3EEE11E247B}"/>
              </c:ext>
            </c:extLst>
          </c:dPt>
          <c:dPt>
            <c:idx val="5"/>
            <c:bubble3D val="0"/>
            <c:spPr>
              <a:solidFill>
                <a:schemeClr val="accent3">
                  <a:tint val="50000"/>
                </a:schemeClr>
              </a:solidFill>
              <a:ln w="19050">
                <a:solidFill>
                  <a:schemeClr val="lt1"/>
                </a:solidFill>
              </a:ln>
              <a:effectLst/>
            </c:spPr>
            <c:extLst>
              <c:ext xmlns:c16="http://schemas.microsoft.com/office/drawing/2014/chart" uri="{C3380CC4-5D6E-409C-BE32-E72D297353CC}">
                <c16:uniqueId val="{0000000B-6E5B-472F-994C-B3EEE11E247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doc2vec!$I$24:$I$29</c:f>
              <c:numCache>
                <c:formatCode>General</c:formatCode>
                <c:ptCount val="6"/>
                <c:pt idx="0">
                  <c:v>23.076923076923077</c:v>
                </c:pt>
                <c:pt idx="1">
                  <c:v>23.076923076923077</c:v>
                </c:pt>
                <c:pt idx="2">
                  <c:v>7.6923076923076925</c:v>
                </c:pt>
                <c:pt idx="3">
                  <c:v>19.230769230769234</c:v>
                </c:pt>
                <c:pt idx="4">
                  <c:v>19.230769230769234</c:v>
                </c:pt>
                <c:pt idx="5">
                  <c:v>7.6923076923076925</c:v>
                </c:pt>
              </c:numCache>
            </c:numRef>
          </c:val>
          <c:extLst>
            <c:ext xmlns:c16="http://schemas.microsoft.com/office/drawing/2014/chart" uri="{C3380CC4-5D6E-409C-BE32-E72D297353CC}">
              <c16:uniqueId val="{0000000C-6E5B-472F-994C-B3EEE11E247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0"/>
          </c:trendline>
          <c:xVal>
            <c:numRef>
              <c:f>List1!$A$1:$A$27</c:f>
              <c:numCache>
                <c:formatCode>General</c:formatCode>
                <c:ptCount val="27"/>
                <c:pt idx="0">
                  <c:v>0.567299</c:v>
                </c:pt>
                <c:pt idx="1">
                  <c:v>0.58027899999999999</c:v>
                </c:pt>
                <c:pt idx="2">
                  <c:v>0.49703199999999997</c:v>
                </c:pt>
                <c:pt idx="3">
                  <c:v>0.53823399999999999</c:v>
                </c:pt>
                <c:pt idx="4">
                  <c:v>0.43640800000000002</c:v>
                </c:pt>
                <c:pt idx="5">
                  <c:v>0.52569100000000002</c:v>
                </c:pt>
                <c:pt idx="6">
                  <c:v>0.58436999999999995</c:v>
                </c:pt>
                <c:pt idx="7">
                  <c:v>0.51886399999999999</c:v>
                </c:pt>
                <c:pt idx="8">
                  <c:v>0.538157</c:v>
                </c:pt>
                <c:pt idx="9">
                  <c:v>0.49876599999999999</c:v>
                </c:pt>
                <c:pt idx="10">
                  <c:v>0.51026899999999997</c:v>
                </c:pt>
                <c:pt idx="11">
                  <c:v>0.53758799999999995</c:v>
                </c:pt>
                <c:pt idx="12">
                  <c:v>0.45328000000000002</c:v>
                </c:pt>
                <c:pt idx="13">
                  <c:v>0.47395500000000002</c:v>
                </c:pt>
                <c:pt idx="14">
                  <c:v>0.55066999999999999</c:v>
                </c:pt>
                <c:pt idx="15">
                  <c:v>0.46640100000000001</c:v>
                </c:pt>
                <c:pt idx="16">
                  <c:v>0.50516300000000003</c:v>
                </c:pt>
                <c:pt idx="17">
                  <c:v>0.41369400000000001</c:v>
                </c:pt>
                <c:pt idx="18">
                  <c:v>0.50343400000000005</c:v>
                </c:pt>
                <c:pt idx="19">
                  <c:v>0.53666800000000003</c:v>
                </c:pt>
                <c:pt idx="20">
                  <c:v>0.50323099999999998</c:v>
                </c:pt>
                <c:pt idx="21">
                  <c:v>0.48726199999999997</c:v>
                </c:pt>
                <c:pt idx="22">
                  <c:v>0.48330400000000001</c:v>
                </c:pt>
                <c:pt idx="23">
                  <c:v>0.46956700000000001</c:v>
                </c:pt>
                <c:pt idx="24">
                  <c:v>0.51508799999999999</c:v>
                </c:pt>
                <c:pt idx="25">
                  <c:v>0.42898900000000001</c:v>
                </c:pt>
              </c:numCache>
            </c:numRef>
          </c:xVal>
          <c:yVal>
            <c:numRef>
              <c:f>List1!$D$1:$D$27</c:f>
              <c:numCache>
                <c:formatCode>General</c:formatCode>
                <c:ptCount val="27"/>
                <c:pt idx="0">
                  <c:v>4</c:v>
                </c:pt>
                <c:pt idx="1">
                  <c:v>4.5</c:v>
                </c:pt>
                <c:pt idx="2">
                  <c:v>5</c:v>
                </c:pt>
                <c:pt idx="3">
                  <c:v>4</c:v>
                </c:pt>
                <c:pt idx="4">
                  <c:v>1.5</c:v>
                </c:pt>
                <c:pt idx="5">
                  <c:v>4.5</c:v>
                </c:pt>
                <c:pt idx="6">
                  <c:v>5.5</c:v>
                </c:pt>
                <c:pt idx="7">
                  <c:v>5.5</c:v>
                </c:pt>
                <c:pt idx="8">
                  <c:v>2.5</c:v>
                </c:pt>
                <c:pt idx="9">
                  <c:v>2</c:v>
                </c:pt>
                <c:pt idx="10">
                  <c:v>5</c:v>
                </c:pt>
                <c:pt idx="11">
                  <c:v>1</c:v>
                </c:pt>
                <c:pt idx="12">
                  <c:v>1.5</c:v>
                </c:pt>
                <c:pt idx="13">
                  <c:v>3.5</c:v>
                </c:pt>
                <c:pt idx="14">
                  <c:v>2</c:v>
                </c:pt>
                <c:pt idx="15">
                  <c:v>3</c:v>
                </c:pt>
                <c:pt idx="16">
                  <c:v>3.5</c:v>
                </c:pt>
                <c:pt idx="17">
                  <c:v>1</c:v>
                </c:pt>
                <c:pt idx="18">
                  <c:v>1.5</c:v>
                </c:pt>
                <c:pt idx="19">
                  <c:v>5</c:v>
                </c:pt>
                <c:pt idx="20">
                  <c:v>4.5</c:v>
                </c:pt>
                <c:pt idx="21">
                  <c:v>4.5</c:v>
                </c:pt>
                <c:pt idx="22">
                  <c:v>1</c:v>
                </c:pt>
                <c:pt idx="23">
                  <c:v>5.5</c:v>
                </c:pt>
                <c:pt idx="24">
                  <c:v>2</c:v>
                </c:pt>
                <c:pt idx="25">
                  <c:v>3.5</c:v>
                </c:pt>
              </c:numCache>
            </c:numRef>
          </c:yVal>
          <c:smooth val="0"/>
          <c:extLst>
            <c:ext xmlns:c16="http://schemas.microsoft.com/office/drawing/2014/chart" uri="{C3380CC4-5D6E-409C-BE32-E72D297353CC}">
              <c16:uniqueId val="{00000001-C6E2-43D2-A63B-6FBB9345C10F}"/>
            </c:ext>
          </c:extLst>
        </c:ser>
        <c:dLbls>
          <c:showLegendKey val="0"/>
          <c:showVal val="0"/>
          <c:showCatName val="0"/>
          <c:showSerName val="0"/>
          <c:showPercent val="0"/>
          <c:showBubbleSize val="0"/>
        </c:dLbls>
        <c:axId val="1948626576"/>
        <c:axId val="1926917440"/>
      </c:scatterChart>
      <c:valAx>
        <c:axId val="1948626576"/>
        <c:scaling>
          <c:orientation val="minMax"/>
          <c:min val="0.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26917440"/>
        <c:crosses val="autoZero"/>
        <c:crossBetween val="midCat"/>
      </c:valAx>
      <c:valAx>
        <c:axId val="1926917440"/>
        <c:scaling>
          <c:orientation val="minMax"/>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48626576"/>
        <c:crosses val="max"/>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tx>
            <c:v>Nejpodobnější rozhodnutí</c:v>
          </c:tx>
          <c:spPr>
            <a:ln w="19050" cap="rnd">
              <a:noFill/>
              <a:round/>
            </a:ln>
            <a:effectLst/>
          </c:spPr>
          <c:marker>
            <c:symbol val="circle"/>
            <c:size val="5"/>
            <c:spPr>
              <a:solidFill>
                <a:schemeClr val="accent3">
                  <a:shade val="76000"/>
                </a:schemeClr>
              </a:solidFill>
              <a:ln w="9525">
                <a:solidFill>
                  <a:schemeClr val="accent3">
                    <a:shade val="76000"/>
                  </a:schemeClr>
                </a:solidFill>
              </a:ln>
              <a:effectLst/>
            </c:spPr>
          </c:marker>
          <c:xVal>
            <c:numRef>
              <c:f>List1!$A$1:$A$13</c:f>
              <c:numCache>
                <c:formatCode>General</c:formatCode>
                <c:ptCount val="13"/>
                <c:pt idx="0">
                  <c:v>0.567299</c:v>
                </c:pt>
                <c:pt idx="1">
                  <c:v>0.58027899999999999</c:v>
                </c:pt>
                <c:pt idx="2">
                  <c:v>0.49703199999999997</c:v>
                </c:pt>
                <c:pt idx="3">
                  <c:v>0.53823399999999999</c:v>
                </c:pt>
                <c:pt idx="4">
                  <c:v>0.43640800000000002</c:v>
                </c:pt>
                <c:pt idx="5">
                  <c:v>0.52569100000000002</c:v>
                </c:pt>
                <c:pt idx="6">
                  <c:v>0.58436999999999995</c:v>
                </c:pt>
                <c:pt idx="7">
                  <c:v>0.51886399999999999</c:v>
                </c:pt>
                <c:pt idx="8">
                  <c:v>0.538157</c:v>
                </c:pt>
                <c:pt idx="9">
                  <c:v>0.49876599999999999</c:v>
                </c:pt>
                <c:pt idx="10">
                  <c:v>0.51026899999999997</c:v>
                </c:pt>
                <c:pt idx="11">
                  <c:v>0.53758799999999995</c:v>
                </c:pt>
                <c:pt idx="12">
                  <c:v>0.45328000000000002</c:v>
                </c:pt>
              </c:numCache>
            </c:numRef>
          </c:xVal>
          <c:yVal>
            <c:numRef>
              <c:f>List1!$D$1:$D$13</c:f>
              <c:numCache>
                <c:formatCode>General</c:formatCode>
                <c:ptCount val="13"/>
                <c:pt idx="0">
                  <c:v>4</c:v>
                </c:pt>
                <c:pt idx="1">
                  <c:v>4.5</c:v>
                </c:pt>
                <c:pt idx="2">
                  <c:v>5</c:v>
                </c:pt>
                <c:pt idx="3">
                  <c:v>4</c:v>
                </c:pt>
                <c:pt idx="4">
                  <c:v>1.5</c:v>
                </c:pt>
                <c:pt idx="5">
                  <c:v>4.5</c:v>
                </c:pt>
                <c:pt idx="6">
                  <c:v>5.5</c:v>
                </c:pt>
                <c:pt idx="7">
                  <c:v>5.5</c:v>
                </c:pt>
                <c:pt idx="8">
                  <c:v>2.5</c:v>
                </c:pt>
                <c:pt idx="9">
                  <c:v>2</c:v>
                </c:pt>
                <c:pt idx="10">
                  <c:v>5</c:v>
                </c:pt>
                <c:pt idx="11">
                  <c:v>1</c:v>
                </c:pt>
                <c:pt idx="12">
                  <c:v>1.5</c:v>
                </c:pt>
              </c:numCache>
            </c:numRef>
          </c:yVal>
          <c:smooth val="0"/>
          <c:extLst>
            <c:ext xmlns:c16="http://schemas.microsoft.com/office/drawing/2014/chart" uri="{C3380CC4-5D6E-409C-BE32-E72D297353CC}">
              <c16:uniqueId val="{00000000-F605-4D98-9DBC-14CF85DFAFB3}"/>
            </c:ext>
          </c:extLst>
        </c:ser>
        <c:ser>
          <c:idx val="1"/>
          <c:order val="1"/>
          <c:tx>
            <c:v>Desáté nejpodobnější rozhodnutí</c:v>
          </c:tx>
          <c:spPr>
            <a:ln w="25400" cap="rnd">
              <a:noFill/>
              <a:round/>
            </a:ln>
            <a:effectLst/>
          </c:spPr>
          <c:marker>
            <c:symbol val="circle"/>
            <c:size val="5"/>
            <c:spPr>
              <a:solidFill>
                <a:schemeClr val="accent3">
                  <a:tint val="77000"/>
                </a:schemeClr>
              </a:solidFill>
              <a:ln w="9525">
                <a:solidFill>
                  <a:schemeClr val="accent3">
                    <a:tint val="77000"/>
                  </a:schemeClr>
                </a:solidFill>
              </a:ln>
              <a:effectLst/>
            </c:spPr>
          </c:marker>
          <c:xVal>
            <c:numRef>
              <c:f>List1!$H$1:$H$13</c:f>
              <c:numCache>
                <c:formatCode>General</c:formatCode>
                <c:ptCount val="13"/>
                <c:pt idx="0">
                  <c:v>0.47395500000000002</c:v>
                </c:pt>
                <c:pt idx="1">
                  <c:v>0.55066999999999999</c:v>
                </c:pt>
                <c:pt idx="2">
                  <c:v>0.46640100000000001</c:v>
                </c:pt>
                <c:pt idx="3">
                  <c:v>0.50516300000000003</c:v>
                </c:pt>
                <c:pt idx="4">
                  <c:v>0.41369400000000001</c:v>
                </c:pt>
                <c:pt idx="5">
                  <c:v>0.50343400000000005</c:v>
                </c:pt>
                <c:pt idx="6">
                  <c:v>0.53666800000000003</c:v>
                </c:pt>
                <c:pt idx="7">
                  <c:v>0.50323099999999998</c:v>
                </c:pt>
                <c:pt idx="8">
                  <c:v>0.48726199999999997</c:v>
                </c:pt>
                <c:pt idx="9">
                  <c:v>0.48330400000000001</c:v>
                </c:pt>
                <c:pt idx="10">
                  <c:v>0.46956700000000001</c:v>
                </c:pt>
                <c:pt idx="11">
                  <c:v>0.51508799999999999</c:v>
                </c:pt>
                <c:pt idx="12">
                  <c:v>0.42898900000000001</c:v>
                </c:pt>
              </c:numCache>
            </c:numRef>
          </c:xVal>
          <c:yVal>
            <c:numRef>
              <c:f>List1!$K$1:$K$13</c:f>
              <c:numCache>
                <c:formatCode>General</c:formatCode>
                <c:ptCount val="13"/>
                <c:pt idx="0">
                  <c:v>3.5</c:v>
                </c:pt>
                <c:pt idx="1">
                  <c:v>2</c:v>
                </c:pt>
                <c:pt idx="2">
                  <c:v>3</c:v>
                </c:pt>
                <c:pt idx="3">
                  <c:v>3.5</c:v>
                </c:pt>
                <c:pt idx="4">
                  <c:v>1</c:v>
                </c:pt>
                <c:pt idx="5">
                  <c:v>1.5</c:v>
                </c:pt>
                <c:pt idx="6">
                  <c:v>5</c:v>
                </c:pt>
                <c:pt idx="7">
                  <c:v>4.5</c:v>
                </c:pt>
                <c:pt idx="8">
                  <c:v>4.5</c:v>
                </c:pt>
                <c:pt idx="9">
                  <c:v>1</c:v>
                </c:pt>
                <c:pt idx="10">
                  <c:v>5.5</c:v>
                </c:pt>
                <c:pt idx="11">
                  <c:v>2</c:v>
                </c:pt>
                <c:pt idx="12">
                  <c:v>3.5</c:v>
                </c:pt>
              </c:numCache>
            </c:numRef>
          </c:yVal>
          <c:smooth val="0"/>
          <c:extLst>
            <c:ext xmlns:c16="http://schemas.microsoft.com/office/drawing/2014/chart" uri="{C3380CC4-5D6E-409C-BE32-E72D297353CC}">
              <c16:uniqueId val="{00000001-F605-4D98-9DBC-14CF85DFAFB3}"/>
            </c:ext>
          </c:extLst>
        </c:ser>
        <c:dLbls>
          <c:showLegendKey val="0"/>
          <c:showVal val="0"/>
          <c:showCatName val="0"/>
          <c:showSerName val="0"/>
          <c:showPercent val="0"/>
          <c:showBubbleSize val="0"/>
        </c:dLbls>
        <c:axId val="1869915840"/>
        <c:axId val="1926878752"/>
      </c:scatterChart>
      <c:valAx>
        <c:axId val="1869915840"/>
        <c:scaling>
          <c:orientation val="minMax"/>
          <c:min val="0.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926878752"/>
        <c:crosses val="autoZero"/>
        <c:crossBetween val="midCat"/>
      </c:valAx>
      <c:valAx>
        <c:axId val="1926878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699158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1"/>
          <c:order val="0"/>
          <c:dPt>
            <c:idx val="0"/>
            <c:bubble3D val="0"/>
            <c:spPr>
              <a:solidFill>
                <a:schemeClr val="accent3">
                  <a:shade val="50000"/>
                </a:schemeClr>
              </a:solidFill>
              <a:ln w="19050">
                <a:solidFill>
                  <a:schemeClr val="lt1"/>
                </a:solidFill>
              </a:ln>
              <a:effectLst/>
            </c:spPr>
            <c:extLst>
              <c:ext xmlns:c16="http://schemas.microsoft.com/office/drawing/2014/chart" uri="{C3380CC4-5D6E-409C-BE32-E72D297353CC}">
                <c16:uniqueId val="{00000001-958B-420D-9A4E-344CDEE31B8B}"/>
              </c:ext>
            </c:extLst>
          </c:dPt>
          <c:dPt>
            <c:idx val="1"/>
            <c:bubble3D val="0"/>
            <c:spPr>
              <a:solidFill>
                <a:schemeClr val="accent3">
                  <a:shade val="70000"/>
                </a:schemeClr>
              </a:solidFill>
              <a:ln w="19050">
                <a:solidFill>
                  <a:schemeClr val="lt1"/>
                </a:solidFill>
              </a:ln>
              <a:effectLst/>
            </c:spPr>
            <c:extLst>
              <c:ext xmlns:c16="http://schemas.microsoft.com/office/drawing/2014/chart" uri="{C3380CC4-5D6E-409C-BE32-E72D297353CC}">
                <c16:uniqueId val="{00000003-958B-420D-9A4E-344CDEE31B8B}"/>
              </c:ext>
            </c:extLst>
          </c:dPt>
          <c:dPt>
            <c:idx val="2"/>
            <c:bubble3D val="0"/>
            <c:spPr>
              <a:solidFill>
                <a:schemeClr val="accent3">
                  <a:shade val="90000"/>
                </a:schemeClr>
              </a:solidFill>
              <a:ln w="19050">
                <a:solidFill>
                  <a:schemeClr val="lt1"/>
                </a:solidFill>
              </a:ln>
              <a:effectLst/>
            </c:spPr>
            <c:extLst>
              <c:ext xmlns:c16="http://schemas.microsoft.com/office/drawing/2014/chart" uri="{C3380CC4-5D6E-409C-BE32-E72D297353CC}">
                <c16:uniqueId val="{00000005-958B-420D-9A4E-344CDEE31B8B}"/>
              </c:ext>
            </c:extLst>
          </c:dPt>
          <c:dPt>
            <c:idx val="3"/>
            <c:bubble3D val="0"/>
            <c:spPr>
              <a:solidFill>
                <a:schemeClr val="accent3">
                  <a:tint val="90000"/>
                </a:schemeClr>
              </a:solidFill>
              <a:ln w="19050">
                <a:solidFill>
                  <a:schemeClr val="lt1"/>
                </a:solidFill>
              </a:ln>
              <a:effectLst/>
            </c:spPr>
            <c:extLst>
              <c:ext xmlns:c16="http://schemas.microsoft.com/office/drawing/2014/chart" uri="{C3380CC4-5D6E-409C-BE32-E72D297353CC}">
                <c16:uniqueId val="{00000007-958B-420D-9A4E-344CDEE31B8B}"/>
              </c:ext>
            </c:extLst>
          </c:dPt>
          <c:dPt>
            <c:idx val="4"/>
            <c:bubble3D val="0"/>
            <c:spPr>
              <a:solidFill>
                <a:schemeClr val="accent3">
                  <a:tint val="70000"/>
                </a:schemeClr>
              </a:solidFill>
              <a:ln w="19050">
                <a:solidFill>
                  <a:schemeClr val="lt1"/>
                </a:solidFill>
              </a:ln>
              <a:effectLst/>
            </c:spPr>
            <c:extLst>
              <c:ext xmlns:c16="http://schemas.microsoft.com/office/drawing/2014/chart" uri="{C3380CC4-5D6E-409C-BE32-E72D297353CC}">
                <c16:uniqueId val="{00000009-958B-420D-9A4E-344CDEE31B8B}"/>
              </c:ext>
            </c:extLst>
          </c:dPt>
          <c:dPt>
            <c:idx val="5"/>
            <c:bubble3D val="0"/>
            <c:spPr>
              <a:solidFill>
                <a:schemeClr val="accent3">
                  <a:tint val="50000"/>
                </a:schemeClr>
              </a:solidFill>
              <a:ln w="19050">
                <a:solidFill>
                  <a:schemeClr val="lt1"/>
                </a:solidFill>
              </a:ln>
              <a:effectLst/>
            </c:spPr>
            <c:extLst>
              <c:ext xmlns:c16="http://schemas.microsoft.com/office/drawing/2014/chart" uri="{C3380CC4-5D6E-409C-BE32-E72D297353CC}">
                <c16:uniqueId val="{0000000B-958B-420D-9A4E-344CDEE31B8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List2!$M$2:$M$7</c:f>
              <c:numCache>
                <c:formatCode>General</c:formatCode>
                <c:ptCount val="6"/>
                <c:pt idx="0">
                  <c:v>52.63</c:v>
                </c:pt>
                <c:pt idx="1">
                  <c:v>20.39</c:v>
                </c:pt>
                <c:pt idx="2">
                  <c:v>10.53</c:v>
                </c:pt>
                <c:pt idx="3">
                  <c:v>6.25</c:v>
                </c:pt>
                <c:pt idx="4">
                  <c:v>5.81</c:v>
                </c:pt>
                <c:pt idx="5">
                  <c:v>4.3899999999999997</c:v>
                </c:pt>
              </c:numCache>
            </c:numRef>
          </c:val>
          <c:extLst>
            <c:ext xmlns:c16="http://schemas.microsoft.com/office/drawing/2014/chart" uri="{C3380CC4-5D6E-409C-BE32-E72D297353CC}">
              <c16:uniqueId val="{0000000C-958B-420D-9A4E-344CDEE31B8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50000"/>
                </a:schemeClr>
              </a:solidFill>
              <a:ln w="19050">
                <a:solidFill>
                  <a:schemeClr val="lt1"/>
                </a:solidFill>
              </a:ln>
              <a:effectLst/>
            </c:spPr>
            <c:extLst>
              <c:ext xmlns:c16="http://schemas.microsoft.com/office/drawing/2014/chart" uri="{C3380CC4-5D6E-409C-BE32-E72D297353CC}">
                <c16:uniqueId val="{00000001-FAC9-45C5-B205-BA4FAEEB52BE}"/>
              </c:ext>
            </c:extLst>
          </c:dPt>
          <c:dPt>
            <c:idx val="1"/>
            <c:bubble3D val="0"/>
            <c:spPr>
              <a:solidFill>
                <a:schemeClr val="accent3">
                  <a:shade val="70000"/>
                </a:schemeClr>
              </a:solidFill>
              <a:ln w="19050">
                <a:solidFill>
                  <a:schemeClr val="lt1"/>
                </a:solidFill>
              </a:ln>
              <a:effectLst/>
            </c:spPr>
            <c:extLst>
              <c:ext xmlns:c16="http://schemas.microsoft.com/office/drawing/2014/chart" uri="{C3380CC4-5D6E-409C-BE32-E72D297353CC}">
                <c16:uniqueId val="{00000003-FAC9-45C5-B205-BA4FAEEB52BE}"/>
              </c:ext>
            </c:extLst>
          </c:dPt>
          <c:dPt>
            <c:idx val="2"/>
            <c:bubble3D val="0"/>
            <c:spPr>
              <a:solidFill>
                <a:schemeClr val="accent3">
                  <a:shade val="90000"/>
                </a:schemeClr>
              </a:solidFill>
              <a:ln w="19050">
                <a:solidFill>
                  <a:schemeClr val="lt1"/>
                </a:solidFill>
              </a:ln>
              <a:effectLst/>
            </c:spPr>
            <c:extLst>
              <c:ext xmlns:c16="http://schemas.microsoft.com/office/drawing/2014/chart" uri="{C3380CC4-5D6E-409C-BE32-E72D297353CC}">
                <c16:uniqueId val="{00000005-FAC9-45C5-B205-BA4FAEEB52BE}"/>
              </c:ext>
            </c:extLst>
          </c:dPt>
          <c:dPt>
            <c:idx val="3"/>
            <c:bubble3D val="0"/>
            <c:spPr>
              <a:solidFill>
                <a:schemeClr val="accent3">
                  <a:tint val="90000"/>
                </a:schemeClr>
              </a:solidFill>
              <a:ln w="19050">
                <a:solidFill>
                  <a:schemeClr val="lt1"/>
                </a:solidFill>
              </a:ln>
              <a:effectLst/>
            </c:spPr>
            <c:extLst>
              <c:ext xmlns:c16="http://schemas.microsoft.com/office/drawing/2014/chart" uri="{C3380CC4-5D6E-409C-BE32-E72D297353CC}">
                <c16:uniqueId val="{00000007-FAC9-45C5-B205-BA4FAEEB52BE}"/>
              </c:ext>
            </c:extLst>
          </c:dPt>
          <c:dPt>
            <c:idx val="4"/>
            <c:bubble3D val="0"/>
            <c:spPr>
              <a:solidFill>
                <a:schemeClr val="accent3">
                  <a:tint val="70000"/>
                </a:schemeClr>
              </a:solidFill>
              <a:ln w="19050">
                <a:solidFill>
                  <a:schemeClr val="lt1"/>
                </a:solidFill>
              </a:ln>
              <a:effectLst/>
            </c:spPr>
            <c:extLst>
              <c:ext xmlns:c16="http://schemas.microsoft.com/office/drawing/2014/chart" uri="{C3380CC4-5D6E-409C-BE32-E72D297353CC}">
                <c16:uniqueId val="{00000009-FAC9-45C5-B205-BA4FAEEB52BE}"/>
              </c:ext>
            </c:extLst>
          </c:dPt>
          <c:dPt>
            <c:idx val="5"/>
            <c:bubble3D val="0"/>
            <c:spPr>
              <a:solidFill>
                <a:schemeClr val="accent3">
                  <a:tint val="50000"/>
                </a:schemeClr>
              </a:solidFill>
              <a:ln w="19050">
                <a:solidFill>
                  <a:schemeClr val="lt1"/>
                </a:solidFill>
              </a:ln>
              <a:effectLst/>
            </c:spPr>
            <c:extLst>
              <c:ext xmlns:c16="http://schemas.microsoft.com/office/drawing/2014/chart" uri="{C3380CC4-5D6E-409C-BE32-E72D297353CC}">
                <c16:uniqueId val="{0000000B-FAC9-45C5-B205-BA4FAEEB52B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List2!$N$2:$N$7</c:f>
              <c:numCache>
                <c:formatCode>General</c:formatCode>
                <c:ptCount val="6"/>
                <c:pt idx="0">
                  <c:v>58.34</c:v>
                </c:pt>
                <c:pt idx="1">
                  <c:v>19.52</c:v>
                </c:pt>
                <c:pt idx="2">
                  <c:v>7.46</c:v>
                </c:pt>
                <c:pt idx="3">
                  <c:v>5.92</c:v>
                </c:pt>
                <c:pt idx="4">
                  <c:v>5.26</c:v>
                </c:pt>
                <c:pt idx="5">
                  <c:v>3.51</c:v>
                </c:pt>
              </c:numCache>
            </c:numRef>
          </c:val>
          <c:extLst>
            <c:ext xmlns:c16="http://schemas.microsoft.com/office/drawing/2014/chart" uri="{C3380CC4-5D6E-409C-BE32-E72D297353CC}">
              <c16:uniqueId val="{0000000C-FAC9-45C5-B205-BA4FAEEB52B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01-DC68-441C-B527-24DC67D64A30}"/>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DC68-441C-B527-24DC67D64A30}"/>
              </c:ext>
            </c:extLst>
          </c:dPt>
          <c:dPt>
            <c:idx val="2"/>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05-DC68-441C-B527-24DC67D64A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List3!$A$11:$A$13</c:f>
              <c:strCache>
                <c:ptCount val="3"/>
                <c:pt idx="0">
                  <c:v>NMF model</c:v>
                </c:pt>
                <c:pt idx="1">
                  <c:v>LDA model</c:v>
                </c:pt>
                <c:pt idx="2">
                  <c:v>Žádné z témat</c:v>
                </c:pt>
              </c:strCache>
            </c:strRef>
          </c:cat>
          <c:val>
            <c:numRef>
              <c:f>List3!$C$6:$C$8</c:f>
              <c:numCache>
                <c:formatCode>General</c:formatCode>
                <c:ptCount val="3"/>
                <c:pt idx="0">
                  <c:v>25</c:v>
                </c:pt>
                <c:pt idx="1">
                  <c:v>26.32</c:v>
                </c:pt>
                <c:pt idx="2">
                  <c:v>48.68</c:v>
                </c:pt>
              </c:numCache>
            </c:numRef>
          </c:val>
          <c:extLst>
            <c:ext xmlns:c16="http://schemas.microsoft.com/office/drawing/2014/chart" uri="{C3380CC4-5D6E-409C-BE32-E72D297353CC}">
              <c16:uniqueId val="{00000006-DC68-441C-B527-24DC67D64A3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accent3">
                  <a:shade val="50000"/>
                </a:schemeClr>
              </a:solidFill>
              <a:ln w="19050">
                <a:solidFill>
                  <a:schemeClr val="lt1"/>
                </a:solidFill>
              </a:ln>
              <a:effectLst/>
            </c:spPr>
            <c:extLst>
              <c:ext xmlns:c16="http://schemas.microsoft.com/office/drawing/2014/chart" uri="{C3380CC4-5D6E-409C-BE32-E72D297353CC}">
                <c16:uniqueId val="{00000001-6CD2-4006-8F51-3788C187616D}"/>
              </c:ext>
            </c:extLst>
          </c:dPt>
          <c:dPt>
            <c:idx val="1"/>
            <c:bubble3D val="0"/>
            <c:spPr>
              <a:solidFill>
                <a:schemeClr val="accent3">
                  <a:shade val="70000"/>
                </a:schemeClr>
              </a:solidFill>
              <a:ln w="19050">
                <a:solidFill>
                  <a:schemeClr val="lt1"/>
                </a:solidFill>
              </a:ln>
              <a:effectLst/>
            </c:spPr>
            <c:extLst>
              <c:ext xmlns:c16="http://schemas.microsoft.com/office/drawing/2014/chart" uri="{C3380CC4-5D6E-409C-BE32-E72D297353CC}">
                <c16:uniqueId val="{00000003-6CD2-4006-8F51-3788C187616D}"/>
              </c:ext>
            </c:extLst>
          </c:dPt>
          <c:dPt>
            <c:idx val="2"/>
            <c:bubble3D val="0"/>
            <c:spPr>
              <a:solidFill>
                <a:schemeClr val="accent3">
                  <a:shade val="90000"/>
                </a:schemeClr>
              </a:solidFill>
              <a:ln w="19050">
                <a:solidFill>
                  <a:schemeClr val="lt1"/>
                </a:solidFill>
              </a:ln>
              <a:effectLst/>
            </c:spPr>
            <c:extLst>
              <c:ext xmlns:c16="http://schemas.microsoft.com/office/drawing/2014/chart" uri="{C3380CC4-5D6E-409C-BE32-E72D297353CC}">
                <c16:uniqueId val="{00000005-6CD2-4006-8F51-3788C187616D}"/>
              </c:ext>
            </c:extLst>
          </c:dPt>
          <c:dPt>
            <c:idx val="3"/>
            <c:bubble3D val="0"/>
            <c:spPr>
              <a:solidFill>
                <a:schemeClr val="accent3">
                  <a:tint val="90000"/>
                </a:schemeClr>
              </a:solidFill>
              <a:ln w="19050">
                <a:solidFill>
                  <a:schemeClr val="lt1"/>
                </a:solidFill>
              </a:ln>
              <a:effectLst/>
            </c:spPr>
            <c:extLst>
              <c:ext xmlns:c16="http://schemas.microsoft.com/office/drawing/2014/chart" uri="{C3380CC4-5D6E-409C-BE32-E72D297353CC}">
                <c16:uniqueId val="{00000007-6CD2-4006-8F51-3788C187616D}"/>
              </c:ext>
            </c:extLst>
          </c:dPt>
          <c:dPt>
            <c:idx val="4"/>
            <c:bubble3D val="0"/>
            <c:spPr>
              <a:solidFill>
                <a:schemeClr val="accent3">
                  <a:tint val="70000"/>
                </a:schemeClr>
              </a:solidFill>
              <a:ln w="19050">
                <a:solidFill>
                  <a:schemeClr val="lt1"/>
                </a:solidFill>
              </a:ln>
              <a:effectLst/>
            </c:spPr>
            <c:extLst>
              <c:ext xmlns:c16="http://schemas.microsoft.com/office/drawing/2014/chart" uri="{C3380CC4-5D6E-409C-BE32-E72D297353CC}">
                <c16:uniqueId val="{00000009-6CD2-4006-8F51-3788C187616D}"/>
              </c:ext>
            </c:extLst>
          </c:dPt>
          <c:dPt>
            <c:idx val="5"/>
            <c:bubble3D val="0"/>
            <c:spPr>
              <a:solidFill>
                <a:schemeClr val="accent3">
                  <a:tint val="50000"/>
                </a:schemeClr>
              </a:solidFill>
              <a:ln w="19050">
                <a:solidFill>
                  <a:schemeClr val="lt1"/>
                </a:solidFill>
              </a:ln>
              <a:effectLst/>
            </c:spPr>
            <c:extLst>
              <c:ext xmlns:c16="http://schemas.microsoft.com/office/drawing/2014/chart" uri="{C3380CC4-5D6E-409C-BE32-E72D297353CC}">
                <c16:uniqueId val="{0000000B-6CD2-4006-8F51-3788C18761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frekvence!$F$1:$F$6</c:f>
              <c:numCache>
                <c:formatCode>0.00</c:formatCode>
                <c:ptCount val="6"/>
                <c:pt idx="0">
                  <c:v>2.5</c:v>
                </c:pt>
                <c:pt idx="1">
                  <c:v>10</c:v>
                </c:pt>
                <c:pt idx="2">
                  <c:v>10</c:v>
                </c:pt>
                <c:pt idx="3">
                  <c:v>22.5</c:v>
                </c:pt>
                <c:pt idx="4">
                  <c:v>32.5</c:v>
                </c:pt>
                <c:pt idx="5">
                  <c:v>22.5</c:v>
                </c:pt>
              </c:numCache>
            </c:numRef>
          </c:val>
          <c:extLst>
            <c:ext xmlns:c16="http://schemas.microsoft.com/office/drawing/2014/chart" uri="{C3380CC4-5D6E-409C-BE32-E72D297353CC}">
              <c16:uniqueId val="{0000000C-6CD2-4006-8F51-3788C187616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3"/>
              </a:solidFill>
              <a:ln w="9525">
                <a:solidFill>
                  <a:schemeClr val="accent3"/>
                </a:solidFill>
              </a:ln>
              <a:effectLst/>
            </c:spPr>
          </c:marker>
          <c:xVal>
            <c:numRef>
              <c:f>US!$H$2:$H$187</c:f>
              <c:numCache>
                <c:formatCode>General</c:formatCode>
                <c:ptCount val="18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numCache>
            </c:numRef>
          </c:xVal>
          <c:yVal>
            <c:numRef>
              <c:f>US!$I$2:$I$187</c:f>
              <c:numCache>
                <c:formatCode>General</c:formatCode>
                <c:ptCount val="186"/>
                <c:pt idx="0">
                  <c:v>11555</c:v>
                </c:pt>
                <c:pt idx="1">
                  <c:v>8078</c:v>
                </c:pt>
                <c:pt idx="2">
                  <c:v>5543</c:v>
                </c:pt>
                <c:pt idx="3">
                  <c:v>4067</c:v>
                </c:pt>
                <c:pt idx="4">
                  <c:v>3025</c:v>
                </c:pt>
                <c:pt idx="5">
                  <c:v>2287</c:v>
                </c:pt>
                <c:pt idx="6">
                  <c:v>1776</c:v>
                </c:pt>
                <c:pt idx="7">
                  <c:v>1349</c:v>
                </c:pt>
                <c:pt idx="8">
                  <c:v>1059</c:v>
                </c:pt>
                <c:pt idx="9">
                  <c:v>832</c:v>
                </c:pt>
                <c:pt idx="10">
                  <c:v>715</c:v>
                </c:pt>
                <c:pt idx="11">
                  <c:v>544</c:v>
                </c:pt>
                <c:pt idx="12">
                  <c:v>452</c:v>
                </c:pt>
                <c:pt idx="13">
                  <c:v>310</c:v>
                </c:pt>
                <c:pt idx="14">
                  <c:v>244</c:v>
                </c:pt>
                <c:pt idx="15">
                  <c:v>220</c:v>
                </c:pt>
                <c:pt idx="16">
                  <c:v>187</c:v>
                </c:pt>
                <c:pt idx="17">
                  <c:v>172</c:v>
                </c:pt>
                <c:pt idx="18">
                  <c:v>130</c:v>
                </c:pt>
                <c:pt idx="19">
                  <c:v>99</c:v>
                </c:pt>
                <c:pt idx="20">
                  <c:v>95</c:v>
                </c:pt>
                <c:pt idx="21">
                  <c:v>81</c:v>
                </c:pt>
                <c:pt idx="22">
                  <c:v>69</c:v>
                </c:pt>
                <c:pt idx="23">
                  <c:v>46</c:v>
                </c:pt>
                <c:pt idx="24">
                  <c:v>45</c:v>
                </c:pt>
                <c:pt idx="25">
                  <c:v>24</c:v>
                </c:pt>
                <c:pt idx="26">
                  <c:v>44</c:v>
                </c:pt>
                <c:pt idx="27">
                  <c:v>33</c:v>
                </c:pt>
                <c:pt idx="28">
                  <c:v>26</c:v>
                </c:pt>
                <c:pt idx="29">
                  <c:v>18</c:v>
                </c:pt>
                <c:pt idx="30">
                  <c:v>17</c:v>
                </c:pt>
                <c:pt idx="31">
                  <c:v>17</c:v>
                </c:pt>
                <c:pt idx="32">
                  <c:v>16</c:v>
                </c:pt>
                <c:pt idx="33">
                  <c:v>24</c:v>
                </c:pt>
                <c:pt idx="34">
                  <c:v>9</c:v>
                </c:pt>
                <c:pt idx="35">
                  <c:v>7</c:v>
                </c:pt>
                <c:pt idx="36">
                  <c:v>3</c:v>
                </c:pt>
                <c:pt idx="37">
                  <c:v>9</c:v>
                </c:pt>
                <c:pt idx="38">
                  <c:v>10</c:v>
                </c:pt>
                <c:pt idx="39">
                  <c:v>8</c:v>
                </c:pt>
                <c:pt idx="40">
                  <c:v>5</c:v>
                </c:pt>
                <c:pt idx="41">
                  <c:v>5</c:v>
                </c:pt>
                <c:pt idx="42">
                  <c:v>7</c:v>
                </c:pt>
                <c:pt idx="43">
                  <c:v>5</c:v>
                </c:pt>
                <c:pt idx="44">
                  <c:v>2</c:v>
                </c:pt>
                <c:pt idx="45">
                  <c:v>4</c:v>
                </c:pt>
                <c:pt idx="46">
                  <c:v>7</c:v>
                </c:pt>
                <c:pt idx="47">
                  <c:v>1</c:v>
                </c:pt>
                <c:pt idx="48">
                  <c:v>3</c:v>
                </c:pt>
                <c:pt idx="49">
                  <c:v>3</c:v>
                </c:pt>
                <c:pt idx="50">
                  <c:v>3</c:v>
                </c:pt>
                <c:pt idx="51">
                  <c:v>5</c:v>
                </c:pt>
                <c:pt idx="52">
                  <c:v>3</c:v>
                </c:pt>
                <c:pt idx="53">
                  <c:v>3</c:v>
                </c:pt>
                <c:pt idx="54">
                  <c:v>3</c:v>
                </c:pt>
                <c:pt idx="55">
                  <c:v>1</c:v>
                </c:pt>
                <c:pt idx="56">
                  <c:v>1</c:v>
                </c:pt>
                <c:pt idx="57">
                  <c:v>3</c:v>
                </c:pt>
                <c:pt idx="58">
                  <c:v>2</c:v>
                </c:pt>
                <c:pt idx="59">
                  <c:v>2</c:v>
                </c:pt>
                <c:pt idx="60">
                  <c:v>0</c:v>
                </c:pt>
                <c:pt idx="61">
                  <c:v>1</c:v>
                </c:pt>
                <c:pt idx="62">
                  <c:v>1</c:v>
                </c:pt>
                <c:pt idx="63">
                  <c:v>1</c:v>
                </c:pt>
                <c:pt idx="64">
                  <c:v>1</c:v>
                </c:pt>
                <c:pt idx="65">
                  <c:v>1</c:v>
                </c:pt>
                <c:pt idx="66">
                  <c:v>0</c:v>
                </c:pt>
                <c:pt idx="67">
                  <c:v>1</c:v>
                </c:pt>
                <c:pt idx="68">
                  <c:v>1</c:v>
                </c:pt>
                <c:pt idx="69">
                  <c:v>1</c:v>
                </c:pt>
                <c:pt idx="70">
                  <c:v>2</c:v>
                </c:pt>
                <c:pt idx="71">
                  <c:v>1</c:v>
                </c:pt>
                <c:pt idx="72">
                  <c:v>2</c:v>
                </c:pt>
                <c:pt idx="73">
                  <c:v>2</c:v>
                </c:pt>
                <c:pt idx="74">
                  <c:v>0</c:v>
                </c:pt>
                <c:pt idx="75">
                  <c:v>0</c:v>
                </c:pt>
                <c:pt idx="76">
                  <c:v>1</c:v>
                </c:pt>
                <c:pt idx="77">
                  <c:v>0</c:v>
                </c:pt>
                <c:pt idx="78">
                  <c:v>0</c:v>
                </c:pt>
                <c:pt idx="79">
                  <c:v>1</c:v>
                </c:pt>
                <c:pt idx="80">
                  <c:v>0</c:v>
                </c:pt>
                <c:pt idx="81">
                  <c:v>0</c:v>
                </c:pt>
                <c:pt idx="82">
                  <c:v>0</c:v>
                </c:pt>
                <c:pt idx="83">
                  <c:v>0</c:v>
                </c:pt>
                <c:pt idx="84">
                  <c:v>0</c:v>
                </c:pt>
                <c:pt idx="85">
                  <c:v>0</c:v>
                </c:pt>
                <c:pt idx="86">
                  <c:v>0</c:v>
                </c:pt>
                <c:pt idx="87">
                  <c:v>0</c:v>
                </c:pt>
                <c:pt idx="88">
                  <c:v>1</c:v>
                </c:pt>
                <c:pt idx="89">
                  <c:v>1</c:v>
                </c:pt>
                <c:pt idx="90">
                  <c:v>0</c:v>
                </c:pt>
                <c:pt idx="91">
                  <c:v>0</c:v>
                </c:pt>
                <c:pt idx="92">
                  <c:v>0</c:v>
                </c:pt>
                <c:pt idx="93">
                  <c:v>0</c:v>
                </c:pt>
                <c:pt idx="94">
                  <c:v>0</c:v>
                </c:pt>
                <c:pt idx="95">
                  <c:v>1</c:v>
                </c:pt>
                <c:pt idx="96">
                  <c:v>0</c:v>
                </c:pt>
                <c:pt idx="97">
                  <c:v>0</c:v>
                </c:pt>
                <c:pt idx="98">
                  <c:v>0</c:v>
                </c:pt>
                <c:pt idx="99">
                  <c:v>0</c:v>
                </c:pt>
                <c:pt idx="100">
                  <c:v>0</c:v>
                </c:pt>
                <c:pt idx="101">
                  <c:v>0</c:v>
                </c:pt>
                <c:pt idx="102">
                  <c:v>1</c:v>
                </c:pt>
                <c:pt idx="103">
                  <c:v>0</c:v>
                </c:pt>
                <c:pt idx="104">
                  <c:v>0</c:v>
                </c:pt>
                <c:pt idx="105">
                  <c:v>1</c:v>
                </c:pt>
                <c:pt idx="106">
                  <c:v>0</c:v>
                </c:pt>
                <c:pt idx="107">
                  <c:v>0</c:v>
                </c:pt>
                <c:pt idx="108">
                  <c:v>0</c:v>
                </c:pt>
                <c:pt idx="109">
                  <c:v>0</c:v>
                </c:pt>
                <c:pt idx="110">
                  <c:v>0</c:v>
                </c:pt>
                <c:pt idx="111">
                  <c:v>0</c:v>
                </c:pt>
                <c:pt idx="112">
                  <c:v>0</c:v>
                </c:pt>
                <c:pt idx="113">
                  <c:v>0</c:v>
                </c:pt>
                <c:pt idx="114">
                  <c:v>0</c:v>
                </c:pt>
                <c:pt idx="115">
                  <c:v>0</c:v>
                </c:pt>
                <c:pt idx="116">
                  <c:v>0</c:v>
                </c:pt>
                <c:pt idx="117">
                  <c:v>0</c:v>
                </c:pt>
                <c:pt idx="118">
                  <c:v>1</c:v>
                </c:pt>
                <c:pt idx="119">
                  <c:v>1</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1</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1</c:v>
                </c:pt>
              </c:numCache>
            </c:numRef>
          </c:yVal>
          <c:smooth val="0"/>
          <c:extLst>
            <c:ext xmlns:c16="http://schemas.microsoft.com/office/drawing/2014/chart" uri="{C3380CC4-5D6E-409C-BE32-E72D297353CC}">
              <c16:uniqueId val="{00000000-3325-469B-91D5-BD13F36E4415}"/>
            </c:ext>
          </c:extLst>
        </c:ser>
        <c:dLbls>
          <c:showLegendKey val="0"/>
          <c:showVal val="0"/>
          <c:showCatName val="0"/>
          <c:showSerName val="0"/>
          <c:showPercent val="0"/>
          <c:showBubbleSize val="0"/>
        </c:dLbls>
        <c:axId val="1230627295"/>
        <c:axId val="1230618975"/>
      </c:scatterChart>
      <c:valAx>
        <c:axId val="1230627295"/>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 Počet</a:t>
                </a:r>
                <a:r>
                  <a:rPr lang="cs-CZ" baseline="0"/>
                  <a:t> citací</a:t>
                </a:r>
                <a:endParaRPr lang="cs-CZ"/>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30618975"/>
        <c:crosses val="autoZero"/>
        <c:crossBetween val="midCat"/>
      </c:valAx>
      <c:valAx>
        <c:axId val="1230618975"/>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rozhodnutí</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3062729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List8!$L$5:$L$10</c:f>
              <c:numCache>
                <c:formatCode>General</c:formatCode>
                <c:ptCount val="6"/>
                <c:pt idx="0">
                  <c:v>0</c:v>
                </c:pt>
                <c:pt idx="1">
                  <c:v>1</c:v>
                </c:pt>
                <c:pt idx="2">
                  <c:v>2</c:v>
                </c:pt>
                <c:pt idx="3">
                  <c:v>3</c:v>
                </c:pt>
                <c:pt idx="4">
                  <c:v>4</c:v>
                </c:pt>
                <c:pt idx="5">
                  <c:v>5</c:v>
                </c:pt>
              </c:numCache>
            </c:numRef>
          </c:cat>
          <c:val>
            <c:numRef>
              <c:f>List8!$M$5:$M$10</c:f>
              <c:numCache>
                <c:formatCode>General</c:formatCode>
                <c:ptCount val="6"/>
                <c:pt idx="0">
                  <c:v>365</c:v>
                </c:pt>
                <c:pt idx="1">
                  <c:v>145</c:v>
                </c:pt>
                <c:pt idx="2">
                  <c:v>54</c:v>
                </c:pt>
                <c:pt idx="3">
                  <c:v>31</c:v>
                </c:pt>
                <c:pt idx="4">
                  <c:v>7</c:v>
                </c:pt>
                <c:pt idx="5">
                  <c:v>6</c:v>
                </c:pt>
              </c:numCache>
            </c:numRef>
          </c:val>
          <c:extLst>
            <c:ext xmlns:c16="http://schemas.microsoft.com/office/drawing/2014/chart" uri="{C3380CC4-5D6E-409C-BE32-E72D297353CC}">
              <c16:uniqueId val="{00000000-B949-4818-9728-771D69FFC02A}"/>
            </c:ext>
          </c:extLst>
        </c:ser>
        <c:dLbls>
          <c:showLegendKey val="0"/>
          <c:showVal val="1"/>
          <c:showCatName val="0"/>
          <c:showSerName val="0"/>
          <c:showPercent val="0"/>
          <c:showBubbleSize val="0"/>
        </c:dLbls>
        <c:gapWidth val="80"/>
        <c:overlap val="25"/>
        <c:axId val="1073651008"/>
        <c:axId val="1073646848"/>
      </c:barChart>
      <c:catAx>
        <c:axId val="107365100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cs-CZ"/>
          </a:p>
        </c:txPr>
        <c:crossAx val="1073646848"/>
        <c:crosses val="autoZero"/>
        <c:auto val="1"/>
        <c:lblAlgn val="ctr"/>
        <c:lblOffset val="100"/>
        <c:noMultiLvlLbl val="0"/>
      </c:catAx>
      <c:valAx>
        <c:axId val="107364684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cs-CZ"/>
          </a:p>
        </c:txPr>
        <c:crossAx val="1073651008"/>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3"/>
              </a:solidFill>
              <a:ln w="9525">
                <a:solidFill>
                  <a:schemeClr val="accent3"/>
                </a:solidFill>
              </a:ln>
              <a:effectLst/>
            </c:spPr>
          </c:marker>
          <c:xVal>
            <c:numRef>
              <c:f>NS!$G$2:$G$99</c:f>
              <c:numCache>
                <c:formatCode>General</c:formatCode>
                <c:ptCount val="9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numCache>
            </c:numRef>
          </c:xVal>
          <c:yVal>
            <c:numRef>
              <c:f>NS!$H$2:$H$99</c:f>
              <c:numCache>
                <c:formatCode>General</c:formatCode>
                <c:ptCount val="98"/>
                <c:pt idx="0">
                  <c:v>18549</c:v>
                </c:pt>
                <c:pt idx="1">
                  <c:v>14645</c:v>
                </c:pt>
                <c:pt idx="2">
                  <c:v>10922</c:v>
                </c:pt>
                <c:pt idx="3">
                  <c:v>8349</c:v>
                </c:pt>
                <c:pt idx="4">
                  <c:v>6491</c:v>
                </c:pt>
                <c:pt idx="5">
                  <c:v>4509</c:v>
                </c:pt>
                <c:pt idx="6">
                  <c:v>3392</c:v>
                </c:pt>
                <c:pt idx="7">
                  <c:v>2567</c:v>
                </c:pt>
                <c:pt idx="8">
                  <c:v>2009</c:v>
                </c:pt>
                <c:pt idx="9">
                  <c:v>1450</c:v>
                </c:pt>
                <c:pt idx="10">
                  <c:v>1184</c:v>
                </c:pt>
                <c:pt idx="11">
                  <c:v>955</c:v>
                </c:pt>
                <c:pt idx="12">
                  <c:v>757</c:v>
                </c:pt>
                <c:pt idx="13">
                  <c:v>570</c:v>
                </c:pt>
                <c:pt idx="14">
                  <c:v>434</c:v>
                </c:pt>
                <c:pt idx="15">
                  <c:v>387</c:v>
                </c:pt>
                <c:pt idx="16">
                  <c:v>293</c:v>
                </c:pt>
                <c:pt idx="17">
                  <c:v>211</c:v>
                </c:pt>
                <c:pt idx="18">
                  <c:v>195</c:v>
                </c:pt>
                <c:pt idx="19">
                  <c:v>182</c:v>
                </c:pt>
                <c:pt idx="20">
                  <c:v>158</c:v>
                </c:pt>
                <c:pt idx="21">
                  <c:v>138</c:v>
                </c:pt>
                <c:pt idx="22">
                  <c:v>106</c:v>
                </c:pt>
                <c:pt idx="23">
                  <c:v>87</c:v>
                </c:pt>
                <c:pt idx="24">
                  <c:v>84</c:v>
                </c:pt>
                <c:pt idx="25">
                  <c:v>52</c:v>
                </c:pt>
                <c:pt idx="26">
                  <c:v>47</c:v>
                </c:pt>
                <c:pt idx="27">
                  <c:v>40</c:v>
                </c:pt>
                <c:pt idx="28">
                  <c:v>33</c:v>
                </c:pt>
                <c:pt idx="29">
                  <c:v>27</c:v>
                </c:pt>
                <c:pt idx="30">
                  <c:v>20</c:v>
                </c:pt>
                <c:pt idx="31">
                  <c:v>35</c:v>
                </c:pt>
                <c:pt idx="32">
                  <c:v>9</c:v>
                </c:pt>
                <c:pt idx="33">
                  <c:v>15</c:v>
                </c:pt>
                <c:pt idx="34">
                  <c:v>14</c:v>
                </c:pt>
                <c:pt idx="35">
                  <c:v>7</c:v>
                </c:pt>
                <c:pt idx="36">
                  <c:v>8</c:v>
                </c:pt>
                <c:pt idx="37">
                  <c:v>9</c:v>
                </c:pt>
                <c:pt idx="38">
                  <c:v>5</c:v>
                </c:pt>
                <c:pt idx="39">
                  <c:v>7</c:v>
                </c:pt>
                <c:pt idx="40">
                  <c:v>11</c:v>
                </c:pt>
                <c:pt idx="41">
                  <c:v>8</c:v>
                </c:pt>
                <c:pt idx="42">
                  <c:v>6</c:v>
                </c:pt>
                <c:pt idx="43">
                  <c:v>2</c:v>
                </c:pt>
                <c:pt idx="44">
                  <c:v>6</c:v>
                </c:pt>
                <c:pt idx="45">
                  <c:v>1</c:v>
                </c:pt>
                <c:pt idx="46">
                  <c:v>3</c:v>
                </c:pt>
                <c:pt idx="47">
                  <c:v>3</c:v>
                </c:pt>
                <c:pt idx="48">
                  <c:v>1</c:v>
                </c:pt>
                <c:pt idx="49">
                  <c:v>3</c:v>
                </c:pt>
                <c:pt idx="50">
                  <c:v>1</c:v>
                </c:pt>
                <c:pt idx="51">
                  <c:v>1</c:v>
                </c:pt>
                <c:pt idx="52">
                  <c:v>0</c:v>
                </c:pt>
                <c:pt idx="53">
                  <c:v>0</c:v>
                </c:pt>
                <c:pt idx="54">
                  <c:v>0</c:v>
                </c:pt>
                <c:pt idx="55">
                  <c:v>1</c:v>
                </c:pt>
                <c:pt idx="56">
                  <c:v>1</c:v>
                </c:pt>
                <c:pt idx="57">
                  <c:v>0</c:v>
                </c:pt>
                <c:pt idx="58">
                  <c:v>0</c:v>
                </c:pt>
                <c:pt idx="59">
                  <c:v>0</c:v>
                </c:pt>
                <c:pt idx="60">
                  <c:v>1</c:v>
                </c:pt>
                <c:pt idx="61">
                  <c:v>0</c:v>
                </c:pt>
                <c:pt idx="62">
                  <c:v>1</c:v>
                </c:pt>
                <c:pt idx="63">
                  <c:v>0</c:v>
                </c:pt>
                <c:pt idx="64">
                  <c:v>0</c:v>
                </c:pt>
                <c:pt idx="65">
                  <c:v>0</c:v>
                </c:pt>
                <c:pt idx="66">
                  <c:v>0</c:v>
                </c:pt>
                <c:pt idx="67">
                  <c:v>1</c:v>
                </c:pt>
                <c:pt idx="68">
                  <c:v>0</c:v>
                </c:pt>
                <c:pt idx="69">
                  <c:v>0</c:v>
                </c:pt>
                <c:pt idx="70">
                  <c:v>0</c:v>
                </c:pt>
                <c:pt idx="71">
                  <c:v>0</c:v>
                </c:pt>
                <c:pt idx="72">
                  <c:v>0</c:v>
                </c:pt>
                <c:pt idx="73">
                  <c:v>0</c:v>
                </c:pt>
                <c:pt idx="74">
                  <c:v>0</c:v>
                </c:pt>
                <c:pt idx="75">
                  <c:v>0</c:v>
                </c:pt>
                <c:pt idx="76">
                  <c:v>1</c:v>
                </c:pt>
                <c:pt idx="77">
                  <c:v>0</c:v>
                </c:pt>
                <c:pt idx="78">
                  <c:v>0</c:v>
                </c:pt>
                <c:pt idx="79">
                  <c:v>0</c:v>
                </c:pt>
                <c:pt idx="80">
                  <c:v>0</c:v>
                </c:pt>
                <c:pt idx="81">
                  <c:v>0</c:v>
                </c:pt>
                <c:pt idx="82">
                  <c:v>1</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1</c:v>
                </c:pt>
              </c:numCache>
            </c:numRef>
          </c:yVal>
          <c:smooth val="0"/>
          <c:extLst>
            <c:ext xmlns:c16="http://schemas.microsoft.com/office/drawing/2014/chart" uri="{C3380CC4-5D6E-409C-BE32-E72D297353CC}">
              <c16:uniqueId val="{00000000-9770-464C-8304-E849E6FDE93E}"/>
            </c:ext>
          </c:extLst>
        </c:ser>
        <c:dLbls>
          <c:showLegendKey val="0"/>
          <c:showVal val="0"/>
          <c:showCatName val="0"/>
          <c:showSerName val="0"/>
          <c:showPercent val="0"/>
          <c:showBubbleSize val="0"/>
        </c:dLbls>
        <c:axId val="233818687"/>
        <c:axId val="233820767"/>
      </c:scatterChart>
      <c:valAx>
        <c:axId val="233818687"/>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citací</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3820767"/>
        <c:crosses val="autoZero"/>
        <c:crossBetween val="midCat"/>
      </c:valAx>
      <c:valAx>
        <c:axId val="233820767"/>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rozhodnutí</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3381868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3"/>
              </a:solidFill>
              <a:ln w="9525">
                <a:solidFill>
                  <a:schemeClr val="accent3"/>
                </a:solidFill>
              </a:ln>
              <a:effectLst/>
            </c:spPr>
          </c:marker>
          <c:xVal>
            <c:numRef>
              <c:f>NSS!$G$2:$G$60</c:f>
              <c:numCache>
                <c:formatCode>General</c:formatCode>
                <c:ptCount val="5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numCache>
            </c:numRef>
          </c:xVal>
          <c:yVal>
            <c:numRef>
              <c:f>NSS!$H$2:$H$60</c:f>
              <c:numCache>
                <c:formatCode>General</c:formatCode>
                <c:ptCount val="59"/>
                <c:pt idx="0">
                  <c:v>11516</c:v>
                </c:pt>
                <c:pt idx="1">
                  <c:v>7160</c:v>
                </c:pt>
                <c:pt idx="2">
                  <c:v>4966</c:v>
                </c:pt>
                <c:pt idx="3">
                  <c:v>3562</c:v>
                </c:pt>
                <c:pt idx="4">
                  <c:v>2552</c:v>
                </c:pt>
                <c:pt idx="5">
                  <c:v>1794</c:v>
                </c:pt>
                <c:pt idx="6">
                  <c:v>1302</c:v>
                </c:pt>
                <c:pt idx="7">
                  <c:v>893</c:v>
                </c:pt>
                <c:pt idx="8">
                  <c:v>737</c:v>
                </c:pt>
                <c:pt idx="9">
                  <c:v>509</c:v>
                </c:pt>
                <c:pt idx="10">
                  <c:v>365</c:v>
                </c:pt>
                <c:pt idx="11">
                  <c:v>266</c:v>
                </c:pt>
                <c:pt idx="12">
                  <c:v>173</c:v>
                </c:pt>
                <c:pt idx="13">
                  <c:v>130</c:v>
                </c:pt>
                <c:pt idx="14">
                  <c:v>119</c:v>
                </c:pt>
                <c:pt idx="15">
                  <c:v>57</c:v>
                </c:pt>
                <c:pt idx="16">
                  <c:v>61</c:v>
                </c:pt>
                <c:pt idx="17">
                  <c:v>55</c:v>
                </c:pt>
                <c:pt idx="18">
                  <c:v>47</c:v>
                </c:pt>
                <c:pt idx="19">
                  <c:v>36</c:v>
                </c:pt>
                <c:pt idx="20">
                  <c:v>21</c:v>
                </c:pt>
                <c:pt idx="21">
                  <c:v>20</c:v>
                </c:pt>
                <c:pt idx="22">
                  <c:v>11</c:v>
                </c:pt>
                <c:pt idx="23">
                  <c:v>12</c:v>
                </c:pt>
                <c:pt idx="24">
                  <c:v>10</c:v>
                </c:pt>
                <c:pt idx="25">
                  <c:v>13</c:v>
                </c:pt>
                <c:pt idx="26">
                  <c:v>4</c:v>
                </c:pt>
                <c:pt idx="27">
                  <c:v>8</c:v>
                </c:pt>
                <c:pt idx="28">
                  <c:v>2</c:v>
                </c:pt>
                <c:pt idx="29">
                  <c:v>1</c:v>
                </c:pt>
                <c:pt idx="30">
                  <c:v>0</c:v>
                </c:pt>
                <c:pt idx="31">
                  <c:v>1</c:v>
                </c:pt>
                <c:pt idx="32">
                  <c:v>5</c:v>
                </c:pt>
                <c:pt idx="33">
                  <c:v>1</c:v>
                </c:pt>
                <c:pt idx="34">
                  <c:v>1</c:v>
                </c:pt>
                <c:pt idx="35">
                  <c:v>1</c:v>
                </c:pt>
                <c:pt idx="36">
                  <c:v>0</c:v>
                </c:pt>
                <c:pt idx="37">
                  <c:v>1</c:v>
                </c:pt>
                <c:pt idx="38">
                  <c:v>0</c:v>
                </c:pt>
                <c:pt idx="39">
                  <c:v>0</c:v>
                </c:pt>
                <c:pt idx="40">
                  <c:v>0</c:v>
                </c:pt>
                <c:pt idx="41">
                  <c:v>0</c:v>
                </c:pt>
                <c:pt idx="42">
                  <c:v>0</c:v>
                </c:pt>
                <c:pt idx="43">
                  <c:v>1</c:v>
                </c:pt>
                <c:pt idx="44">
                  <c:v>0</c:v>
                </c:pt>
                <c:pt idx="45">
                  <c:v>0</c:v>
                </c:pt>
                <c:pt idx="46">
                  <c:v>0</c:v>
                </c:pt>
                <c:pt idx="47">
                  <c:v>0</c:v>
                </c:pt>
                <c:pt idx="48">
                  <c:v>0</c:v>
                </c:pt>
                <c:pt idx="49">
                  <c:v>0</c:v>
                </c:pt>
                <c:pt idx="50">
                  <c:v>1</c:v>
                </c:pt>
                <c:pt idx="51">
                  <c:v>0</c:v>
                </c:pt>
                <c:pt idx="52">
                  <c:v>0</c:v>
                </c:pt>
                <c:pt idx="53">
                  <c:v>0</c:v>
                </c:pt>
                <c:pt idx="54">
                  <c:v>0</c:v>
                </c:pt>
                <c:pt idx="55">
                  <c:v>0</c:v>
                </c:pt>
                <c:pt idx="56">
                  <c:v>0</c:v>
                </c:pt>
                <c:pt idx="57">
                  <c:v>0</c:v>
                </c:pt>
                <c:pt idx="58">
                  <c:v>1</c:v>
                </c:pt>
              </c:numCache>
            </c:numRef>
          </c:yVal>
          <c:smooth val="0"/>
          <c:extLst>
            <c:ext xmlns:c16="http://schemas.microsoft.com/office/drawing/2014/chart" uri="{C3380CC4-5D6E-409C-BE32-E72D297353CC}">
              <c16:uniqueId val="{00000000-CC00-42D8-A20B-F25542620867}"/>
            </c:ext>
          </c:extLst>
        </c:ser>
        <c:dLbls>
          <c:showLegendKey val="0"/>
          <c:showVal val="0"/>
          <c:showCatName val="0"/>
          <c:showSerName val="0"/>
          <c:showPercent val="0"/>
          <c:showBubbleSize val="0"/>
        </c:dLbls>
        <c:axId val="281769983"/>
        <c:axId val="704262799"/>
      </c:scatterChart>
      <c:valAx>
        <c:axId val="281769983"/>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citací</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04262799"/>
        <c:crosses val="autoZero"/>
        <c:crossBetween val="midCat"/>
      </c:valAx>
      <c:valAx>
        <c:axId val="704262799"/>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rozhodnutí</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8176998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3"/>
              </a:solidFill>
              <a:ln w="9525">
                <a:solidFill>
                  <a:schemeClr val="accent3"/>
                </a:solidFill>
              </a:ln>
              <a:effectLst/>
            </c:spPr>
          </c:marker>
          <c:xVal>
            <c:numRef>
              <c:f>US!$H$2:$H$451</c:f>
              <c:numCache>
                <c:formatCode>General</c:formatCode>
                <c:ptCount val="45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406</c:v>
                </c:pt>
                <c:pt idx="401">
                  <c:v>409</c:v>
                </c:pt>
                <c:pt idx="402">
                  <c:v>416</c:v>
                </c:pt>
                <c:pt idx="403">
                  <c:v>430</c:v>
                </c:pt>
                <c:pt idx="404">
                  <c:v>456</c:v>
                </c:pt>
                <c:pt idx="405">
                  <c:v>461</c:v>
                </c:pt>
                <c:pt idx="406">
                  <c:v>472</c:v>
                </c:pt>
                <c:pt idx="407">
                  <c:v>473</c:v>
                </c:pt>
                <c:pt idx="408">
                  <c:v>476</c:v>
                </c:pt>
                <c:pt idx="409">
                  <c:v>496</c:v>
                </c:pt>
                <c:pt idx="410">
                  <c:v>531</c:v>
                </c:pt>
                <c:pt idx="411">
                  <c:v>536</c:v>
                </c:pt>
                <c:pt idx="412">
                  <c:v>546</c:v>
                </c:pt>
                <c:pt idx="413">
                  <c:v>573</c:v>
                </c:pt>
                <c:pt idx="414">
                  <c:v>588</c:v>
                </c:pt>
                <c:pt idx="415">
                  <c:v>589</c:v>
                </c:pt>
                <c:pt idx="416">
                  <c:v>617</c:v>
                </c:pt>
                <c:pt idx="417">
                  <c:v>619</c:v>
                </c:pt>
                <c:pt idx="418">
                  <c:v>642</c:v>
                </c:pt>
                <c:pt idx="419">
                  <c:v>646</c:v>
                </c:pt>
                <c:pt idx="420">
                  <c:v>655</c:v>
                </c:pt>
                <c:pt idx="421">
                  <c:v>660</c:v>
                </c:pt>
                <c:pt idx="422">
                  <c:v>674</c:v>
                </c:pt>
                <c:pt idx="423">
                  <c:v>708</c:v>
                </c:pt>
                <c:pt idx="424">
                  <c:v>719</c:v>
                </c:pt>
                <c:pt idx="425">
                  <c:v>744</c:v>
                </c:pt>
                <c:pt idx="426">
                  <c:v>783</c:v>
                </c:pt>
                <c:pt idx="427">
                  <c:v>787</c:v>
                </c:pt>
                <c:pt idx="428">
                  <c:v>882</c:v>
                </c:pt>
                <c:pt idx="429">
                  <c:v>897</c:v>
                </c:pt>
                <c:pt idx="430">
                  <c:v>948</c:v>
                </c:pt>
                <c:pt idx="431">
                  <c:v>995</c:v>
                </c:pt>
                <c:pt idx="432">
                  <c:v>1032</c:v>
                </c:pt>
                <c:pt idx="433">
                  <c:v>1200</c:v>
                </c:pt>
                <c:pt idx="434">
                  <c:v>1229</c:v>
                </c:pt>
                <c:pt idx="435">
                  <c:v>1340</c:v>
                </c:pt>
                <c:pt idx="436">
                  <c:v>1362</c:v>
                </c:pt>
                <c:pt idx="437">
                  <c:v>1438</c:v>
                </c:pt>
                <c:pt idx="438">
                  <c:v>1731</c:v>
                </c:pt>
                <c:pt idx="439">
                  <c:v>1800</c:v>
                </c:pt>
                <c:pt idx="440">
                  <c:v>1852</c:v>
                </c:pt>
                <c:pt idx="441">
                  <c:v>1874</c:v>
                </c:pt>
                <c:pt idx="442">
                  <c:v>1896</c:v>
                </c:pt>
                <c:pt idx="443">
                  <c:v>1933</c:v>
                </c:pt>
                <c:pt idx="444">
                  <c:v>2066</c:v>
                </c:pt>
                <c:pt idx="445">
                  <c:v>2097</c:v>
                </c:pt>
                <c:pt idx="446">
                  <c:v>2876</c:v>
                </c:pt>
                <c:pt idx="447">
                  <c:v>3906</c:v>
                </c:pt>
                <c:pt idx="448">
                  <c:v>5431</c:v>
                </c:pt>
                <c:pt idx="449">
                  <c:v>6112</c:v>
                </c:pt>
              </c:numCache>
            </c:numRef>
          </c:xVal>
          <c:yVal>
            <c:numRef>
              <c:f>US!$I$2:$I$451</c:f>
              <c:numCache>
                <c:formatCode>General</c:formatCode>
                <c:ptCount val="450"/>
                <c:pt idx="0">
                  <c:v>7209</c:v>
                </c:pt>
                <c:pt idx="1">
                  <c:v>2882</c:v>
                </c:pt>
                <c:pt idx="2">
                  <c:v>1545</c:v>
                </c:pt>
                <c:pt idx="3">
                  <c:v>962</c:v>
                </c:pt>
                <c:pt idx="4">
                  <c:v>701</c:v>
                </c:pt>
                <c:pt idx="5">
                  <c:v>557</c:v>
                </c:pt>
                <c:pt idx="6">
                  <c:v>411</c:v>
                </c:pt>
                <c:pt idx="7">
                  <c:v>387</c:v>
                </c:pt>
                <c:pt idx="8">
                  <c:v>298</c:v>
                </c:pt>
                <c:pt idx="9">
                  <c:v>251</c:v>
                </c:pt>
                <c:pt idx="10">
                  <c:v>236</c:v>
                </c:pt>
                <c:pt idx="11">
                  <c:v>207</c:v>
                </c:pt>
                <c:pt idx="12">
                  <c:v>173</c:v>
                </c:pt>
                <c:pt idx="13">
                  <c:v>155</c:v>
                </c:pt>
                <c:pt idx="14">
                  <c:v>107</c:v>
                </c:pt>
                <c:pt idx="15">
                  <c:v>112</c:v>
                </c:pt>
                <c:pt idx="16">
                  <c:v>91</c:v>
                </c:pt>
                <c:pt idx="17">
                  <c:v>83</c:v>
                </c:pt>
                <c:pt idx="18">
                  <c:v>74</c:v>
                </c:pt>
                <c:pt idx="19">
                  <c:v>78</c:v>
                </c:pt>
                <c:pt idx="20">
                  <c:v>72</c:v>
                </c:pt>
                <c:pt idx="21">
                  <c:v>69</c:v>
                </c:pt>
                <c:pt idx="22">
                  <c:v>58</c:v>
                </c:pt>
                <c:pt idx="23">
                  <c:v>67</c:v>
                </c:pt>
                <c:pt idx="24">
                  <c:v>60</c:v>
                </c:pt>
                <c:pt idx="25">
                  <c:v>50</c:v>
                </c:pt>
                <c:pt idx="26">
                  <c:v>41</c:v>
                </c:pt>
                <c:pt idx="27">
                  <c:v>56</c:v>
                </c:pt>
                <c:pt idx="28">
                  <c:v>62</c:v>
                </c:pt>
                <c:pt idx="29">
                  <c:v>48</c:v>
                </c:pt>
                <c:pt idx="30">
                  <c:v>36</c:v>
                </c:pt>
                <c:pt idx="31">
                  <c:v>43</c:v>
                </c:pt>
                <c:pt idx="32">
                  <c:v>37</c:v>
                </c:pt>
                <c:pt idx="33">
                  <c:v>38</c:v>
                </c:pt>
                <c:pt idx="34">
                  <c:v>33</c:v>
                </c:pt>
                <c:pt idx="35">
                  <c:v>17</c:v>
                </c:pt>
                <c:pt idx="36">
                  <c:v>18</c:v>
                </c:pt>
                <c:pt idx="37">
                  <c:v>19</c:v>
                </c:pt>
                <c:pt idx="38">
                  <c:v>17</c:v>
                </c:pt>
                <c:pt idx="39">
                  <c:v>20</c:v>
                </c:pt>
                <c:pt idx="40">
                  <c:v>16</c:v>
                </c:pt>
                <c:pt idx="41">
                  <c:v>27</c:v>
                </c:pt>
                <c:pt idx="42">
                  <c:v>16</c:v>
                </c:pt>
                <c:pt idx="43">
                  <c:v>23</c:v>
                </c:pt>
                <c:pt idx="44">
                  <c:v>25</c:v>
                </c:pt>
                <c:pt idx="45">
                  <c:v>16</c:v>
                </c:pt>
                <c:pt idx="46">
                  <c:v>20</c:v>
                </c:pt>
                <c:pt idx="47">
                  <c:v>15</c:v>
                </c:pt>
                <c:pt idx="48">
                  <c:v>17</c:v>
                </c:pt>
                <c:pt idx="49">
                  <c:v>11</c:v>
                </c:pt>
                <c:pt idx="50">
                  <c:v>14</c:v>
                </c:pt>
                <c:pt idx="51">
                  <c:v>10</c:v>
                </c:pt>
                <c:pt idx="52">
                  <c:v>6</c:v>
                </c:pt>
                <c:pt idx="53">
                  <c:v>15</c:v>
                </c:pt>
                <c:pt idx="54">
                  <c:v>12</c:v>
                </c:pt>
                <c:pt idx="55">
                  <c:v>14</c:v>
                </c:pt>
                <c:pt idx="56">
                  <c:v>8</c:v>
                </c:pt>
                <c:pt idx="57">
                  <c:v>13</c:v>
                </c:pt>
                <c:pt idx="58">
                  <c:v>17</c:v>
                </c:pt>
                <c:pt idx="59">
                  <c:v>15</c:v>
                </c:pt>
                <c:pt idx="60">
                  <c:v>12</c:v>
                </c:pt>
                <c:pt idx="61">
                  <c:v>9</c:v>
                </c:pt>
                <c:pt idx="62">
                  <c:v>9</c:v>
                </c:pt>
                <c:pt idx="63">
                  <c:v>13</c:v>
                </c:pt>
                <c:pt idx="64">
                  <c:v>10</c:v>
                </c:pt>
                <c:pt idx="65">
                  <c:v>7</c:v>
                </c:pt>
                <c:pt idx="66">
                  <c:v>5</c:v>
                </c:pt>
                <c:pt idx="67">
                  <c:v>5</c:v>
                </c:pt>
                <c:pt idx="68">
                  <c:v>6</c:v>
                </c:pt>
                <c:pt idx="69">
                  <c:v>9</c:v>
                </c:pt>
                <c:pt idx="70">
                  <c:v>6</c:v>
                </c:pt>
                <c:pt idx="71">
                  <c:v>13</c:v>
                </c:pt>
                <c:pt idx="72">
                  <c:v>7</c:v>
                </c:pt>
                <c:pt idx="73">
                  <c:v>9</c:v>
                </c:pt>
                <c:pt idx="74">
                  <c:v>6</c:v>
                </c:pt>
                <c:pt idx="75">
                  <c:v>9</c:v>
                </c:pt>
                <c:pt idx="76">
                  <c:v>5</c:v>
                </c:pt>
                <c:pt idx="77">
                  <c:v>2</c:v>
                </c:pt>
                <c:pt idx="78">
                  <c:v>4</c:v>
                </c:pt>
                <c:pt idx="79">
                  <c:v>3</c:v>
                </c:pt>
                <c:pt idx="80">
                  <c:v>4</c:v>
                </c:pt>
                <c:pt idx="81">
                  <c:v>3</c:v>
                </c:pt>
                <c:pt idx="82">
                  <c:v>5</c:v>
                </c:pt>
                <c:pt idx="83">
                  <c:v>4</c:v>
                </c:pt>
                <c:pt idx="84">
                  <c:v>5</c:v>
                </c:pt>
                <c:pt idx="85">
                  <c:v>9</c:v>
                </c:pt>
                <c:pt idx="86">
                  <c:v>5</c:v>
                </c:pt>
                <c:pt idx="87">
                  <c:v>4</c:v>
                </c:pt>
                <c:pt idx="88">
                  <c:v>7</c:v>
                </c:pt>
                <c:pt idx="89">
                  <c:v>5</c:v>
                </c:pt>
                <c:pt idx="90">
                  <c:v>3</c:v>
                </c:pt>
                <c:pt idx="91">
                  <c:v>2</c:v>
                </c:pt>
                <c:pt idx="92">
                  <c:v>4</c:v>
                </c:pt>
                <c:pt idx="93">
                  <c:v>1</c:v>
                </c:pt>
                <c:pt idx="94">
                  <c:v>1</c:v>
                </c:pt>
                <c:pt idx="95">
                  <c:v>1</c:v>
                </c:pt>
                <c:pt idx="96">
                  <c:v>4</c:v>
                </c:pt>
                <c:pt idx="97">
                  <c:v>3</c:v>
                </c:pt>
                <c:pt idx="98">
                  <c:v>4</c:v>
                </c:pt>
                <c:pt idx="99">
                  <c:v>1</c:v>
                </c:pt>
                <c:pt idx="100">
                  <c:v>3</c:v>
                </c:pt>
                <c:pt idx="101">
                  <c:v>3</c:v>
                </c:pt>
                <c:pt idx="102">
                  <c:v>2</c:v>
                </c:pt>
                <c:pt idx="103">
                  <c:v>4</c:v>
                </c:pt>
                <c:pt idx="104">
                  <c:v>4</c:v>
                </c:pt>
                <c:pt idx="105">
                  <c:v>2</c:v>
                </c:pt>
                <c:pt idx="106">
                  <c:v>4</c:v>
                </c:pt>
                <c:pt idx="107">
                  <c:v>3</c:v>
                </c:pt>
                <c:pt idx="108">
                  <c:v>2</c:v>
                </c:pt>
                <c:pt idx="109">
                  <c:v>4</c:v>
                </c:pt>
                <c:pt idx="110">
                  <c:v>1</c:v>
                </c:pt>
                <c:pt idx="111">
                  <c:v>3</c:v>
                </c:pt>
                <c:pt idx="112">
                  <c:v>2</c:v>
                </c:pt>
                <c:pt idx="113">
                  <c:v>3</c:v>
                </c:pt>
                <c:pt idx="114">
                  <c:v>2</c:v>
                </c:pt>
                <c:pt idx="115">
                  <c:v>4</c:v>
                </c:pt>
                <c:pt idx="116">
                  <c:v>1</c:v>
                </c:pt>
                <c:pt idx="117">
                  <c:v>1</c:v>
                </c:pt>
                <c:pt idx="118">
                  <c:v>1</c:v>
                </c:pt>
                <c:pt idx="119">
                  <c:v>2</c:v>
                </c:pt>
                <c:pt idx="120">
                  <c:v>1</c:v>
                </c:pt>
                <c:pt idx="121">
                  <c:v>2</c:v>
                </c:pt>
                <c:pt idx="122">
                  <c:v>1</c:v>
                </c:pt>
                <c:pt idx="123">
                  <c:v>1</c:v>
                </c:pt>
                <c:pt idx="124">
                  <c:v>2</c:v>
                </c:pt>
                <c:pt idx="125">
                  <c:v>2</c:v>
                </c:pt>
                <c:pt idx="126">
                  <c:v>1</c:v>
                </c:pt>
                <c:pt idx="127">
                  <c:v>1</c:v>
                </c:pt>
                <c:pt idx="128">
                  <c:v>1</c:v>
                </c:pt>
                <c:pt idx="129">
                  <c:v>1</c:v>
                </c:pt>
                <c:pt idx="130">
                  <c:v>3</c:v>
                </c:pt>
                <c:pt idx="131">
                  <c:v>0</c:v>
                </c:pt>
                <c:pt idx="132">
                  <c:v>0</c:v>
                </c:pt>
                <c:pt idx="133">
                  <c:v>2</c:v>
                </c:pt>
                <c:pt idx="134">
                  <c:v>2</c:v>
                </c:pt>
                <c:pt idx="135">
                  <c:v>4</c:v>
                </c:pt>
                <c:pt idx="136">
                  <c:v>2</c:v>
                </c:pt>
                <c:pt idx="137">
                  <c:v>0</c:v>
                </c:pt>
                <c:pt idx="138">
                  <c:v>3</c:v>
                </c:pt>
                <c:pt idx="139">
                  <c:v>1</c:v>
                </c:pt>
                <c:pt idx="140">
                  <c:v>2</c:v>
                </c:pt>
                <c:pt idx="141">
                  <c:v>1</c:v>
                </c:pt>
                <c:pt idx="142">
                  <c:v>2</c:v>
                </c:pt>
                <c:pt idx="143">
                  <c:v>1</c:v>
                </c:pt>
                <c:pt idx="144">
                  <c:v>0</c:v>
                </c:pt>
                <c:pt idx="145">
                  <c:v>2</c:v>
                </c:pt>
                <c:pt idx="146">
                  <c:v>1</c:v>
                </c:pt>
                <c:pt idx="147">
                  <c:v>2</c:v>
                </c:pt>
                <c:pt idx="148">
                  <c:v>0</c:v>
                </c:pt>
                <c:pt idx="149">
                  <c:v>1</c:v>
                </c:pt>
                <c:pt idx="150">
                  <c:v>0</c:v>
                </c:pt>
                <c:pt idx="151">
                  <c:v>0</c:v>
                </c:pt>
                <c:pt idx="152">
                  <c:v>1</c:v>
                </c:pt>
                <c:pt idx="153">
                  <c:v>2</c:v>
                </c:pt>
                <c:pt idx="154">
                  <c:v>1</c:v>
                </c:pt>
                <c:pt idx="155">
                  <c:v>2</c:v>
                </c:pt>
                <c:pt idx="156">
                  <c:v>0</c:v>
                </c:pt>
                <c:pt idx="157">
                  <c:v>0</c:v>
                </c:pt>
                <c:pt idx="158">
                  <c:v>3</c:v>
                </c:pt>
                <c:pt idx="159">
                  <c:v>1</c:v>
                </c:pt>
                <c:pt idx="160">
                  <c:v>0</c:v>
                </c:pt>
                <c:pt idx="161">
                  <c:v>0</c:v>
                </c:pt>
                <c:pt idx="162">
                  <c:v>1</c:v>
                </c:pt>
                <c:pt idx="163">
                  <c:v>0</c:v>
                </c:pt>
                <c:pt idx="164">
                  <c:v>1</c:v>
                </c:pt>
                <c:pt idx="165">
                  <c:v>1</c:v>
                </c:pt>
                <c:pt idx="166">
                  <c:v>0</c:v>
                </c:pt>
                <c:pt idx="167">
                  <c:v>0</c:v>
                </c:pt>
                <c:pt idx="168">
                  <c:v>1</c:v>
                </c:pt>
                <c:pt idx="169">
                  <c:v>1</c:v>
                </c:pt>
                <c:pt idx="170">
                  <c:v>0</c:v>
                </c:pt>
                <c:pt idx="171">
                  <c:v>3</c:v>
                </c:pt>
                <c:pt idx="172">
                  <c:v>1</c:v>
                </c:pt>
                <c:pt idx="173">
                  <c:v>1</c:v>
                </c:pt>
                <c:pt idx="174">
                  <c:v>2</c:v>
                </c:pt>
                <c:pt idx="175">
                  <c:v>0</c:v>
                </c:pt>
                <c:pt idx="176">
                  <c:v>0</c:v>
                </c:pt>
                <c:pt idx="177">
                  <c:v>2</c:v>
                </c:pt>
                <c:pt idx="178">
                  <c:v>1</c:v>
                </c:pt>
                <c:pt idx="179">
                  <c:v>3</c:v>
                </c:pt>
                <c:pt idx="180">
                  <c:v>2</c:v>
                </c:pt>
                <c:pt idx="181">
                  <c:v>2</c:v>
                </c:pt>
                <c:pt idx="182">
                  <c:v>2</c:v>
                </c:pt>
                <c:pt idx="183">
                  <c:v>1</c:v>
                </c:pt>
                <c:pt idx="184">
                  <c:v>1</c:v>
                </c:pt>
                <c:pt idx="185">
                  <c:v>1</c:v>
                </c:pt>
                <c:pt idx="186">
                  <c:v>3</c:v>
                </c:pt>
                <c:pt idx="187">
                  <c:v>2</c:v>
                </c:pt>
                <c:pt idx="188">
                  <c:v>0</c:v>
                </c:pt>
                <c:pt idx="189">
                  <c:v>2</c:v>
                </c:pt>
                <c:pt idx="190">
                  <c:v>1</c:v>
                </c:pt>
                <c:pt idx="191">
                  <c:v>1</c:v>
                </c:pt>
                <c:pt idx="192">
                  <c:v>1</c:v>
                </c:pt>
                <c:pt idx="193">
                  <c:v>4</c:v>
                </c:pt>
                <c:pt idx="194">
                  <c:v>0</c:v>
                </c:pt>
                <c:pt idx="195">
                  <c:v>1</c:v>
                </c:pt>
                <c:pt idx="196">
                  <c:v>3</c:v>
                </c:pt>
                <c:pt idx="197">
                  <c:v>2</c:v>
                </c:pt>
                <c:pt idx="198">
                  <c:v>1</c:v>
                </c:pt>
                <c:pt idx="199">
                  <c:v>3</c:v>
                </c:pt>
                <c:pt idx="200">
                  <c:v>0</c:v>
                </c:pt>
                <c:pt idx="201">
                  <c:v>0</c:v>
                </c:pt>
                <c:pt idx="202">
                  <c:v>0</c:v>
                </c:pt>
                <c:pt idx="203">
                  <c:v>0</c:v>
                </c:pt>
                <c:pt idx="204">
                  <c:v>1</c:v>
                </c:pt>
                <c:pt idx="205">
                  <c:v>2</c:v>
                </c:pt>
                <c:pt idx="206">
                  <c:v>2</c:v>
                </c:pt>
                <c:pt idx="207">
                  <c:v>2</c:v>
                </c:pt>
                <c:pt idx="208">
                  <c:v>4</c:v>
                </c:pt>
                <c:pt idx="209">
                  <c:v>0</c:v>
                </c:pt>
                <c:pt idx="210">
                  <c:v>0</c:v>
                </c:pt>
                <c:pt idx="211">
                  <c:v>0</c:v>
                </c:pt>
                <c:pt idx="212">
                  <c:v>0</c:v>
                </c:pt>
                <c:pt idx="213">
                  <c:v>1</c:v>
                </c:pt>
                <c:pt idx="214">
                  <c:v>1</c:v>
                </c:pt>
                <c:pt idx="215">
                  <c:v>0</c:v>
                </c:pt>
                <c:pt idx="216">
                  <c:v>0</c:v>
                </c:pt>
                <c:pt idx="217">
                  <c:v>2</c:v>
                </c:pt>
                <c:pt idx="218">
                  <c:v>0</c:v>
                </c:pt>
                <c:pt idx="219">
                  <c:v>1</c:v>
                </c:pt>
                <c:pt idx="220">
                  <c:v>2</c:v>
                </c:pt>
                <c:pt idx="221">
                  <c:v>1</c:v>
                </c:pt>
                <c:pt idx="222">
                  <c:v>2</c:v>
                </c:pt>
                <c:pt idx="223">
                  <c:v>1</c:v>
                </c:pt>
                <c:pt idx="224">
                  <c:v>0</c:v>
                </c:pt>
                <c:pt idx="225">
                  <c:v>0</c:v>
                </c:pt>
                <c:pt idx="226">
                  <c:v>0</c:v>
                </c:pt>
                <c:pt idx="227">
                  <c:v>0</c:v>
                </c:pt>
                <c:pt idx="228">
                  <c:v>0</c:v>
                </c:pt>
                <c:pt idx="229">
                  <c:v>2</c:v>
                </c:pt>
                <c:pt idx="230">
                  <c:v>1</c:v>
                </c:pt>
                <c:pt idx="231">
                  <c:v>0</c:v>
                </c:pt>
                <c:pt idx="232">
                  <c:v>3</c:v>
                </c:pt>
                <c:pt idx="233">
                  <c:v>1</c:v>
                </c:pt>
                <c:pt idx="234">
                  <c:v>0</c:v>
                </c:pt>
                <c:pt idx="235">
                  <c:v>1</c:v>
                </c:pt>
                <c:pt idx="236">
                  <c:v>1</c:v>
                </c:pt>
                <c:pt idx="237">
                  <c:v>1</c:v>
                </c:pt>
                <c:pt idx="238">
                  <c:v>0</c:v>
                </c:pt>
                <c:pt idx="239">
                  <c:v>1</c:v>
                </c:pt>
                <c:pt idx="240">
                  <c:v>1</c:v>
                </c:pt>
                <c:pt idx="241">
                  <c:v>1</c:v>
                </c:pt>
                <c:pt idx="242">
                  <c:v>1</c:v>
                </c:pt>
                <c:pt idx="243">
                  <c:v>0</c:v>
                </c:pt>
                <c:pt idx="244">
                  <c:v>0</c:v>
                </c:pt>
                <c:pt idx="245">
                  <c:v>0</c:v>
                </c:pt>
                <c:pt idx="246">
                  <c:v>0</c:v>
                </c:pt>
                <c:pt idx="247">
                  <c:v>0</c:v>
                </c:pt>
                <c:pt idx="248">
                  <c:v>1</c:v>
                </c:pt>
                <c:pt idx="249">
                  <c:v>2</c:v>
                </c:pt>
                <c:pt idx="250">
                  <c:v>1</c:v>
                </c:pt>
                <c:pt idx="251">
                  <c:v>0</c:v>
                </c:pt>
                <c:pt idx="252">
                  <c:v>0</c:v>
                </c:pt>
                <c:pt idx="253">
                  <c:v>1</c:v>
                </c:pt>
                <c:pt idx="254">
                  <c:v>1</c:v>
                </c:pt>
                <c:pt idx="255">
                  <c:v>0</c:v>
                </c:pt>
                <c:pt idx="256">
                  <c:v>0</c:v>
                </c:pt>
                <c:pt idx="257">
                  <c:v>0</c:v>
                </c:pt>
                <c:pt idx="258">
                  <c:v>1</c:v>
                </c:pt>
                <c:pt idx="259">
                  <c:v>1</c:v>
                </c:pt>
                <c:pt idx="260">
                  <c:v>1</c:v>
                </c:pt>
                <c:pt idx="261">
                  <c:v>1</c:v>
                </c:pt>
                <c:pt idx="262">
                  <c:v>0</c:v>
                </c:pt>
                <c:pt idx="263">
                  <c:v>1</c:v>
                </c:pt>
                <c:pt idx="264">
                  <c:v>0</c:v>
                </c:pt>
                <c:pt idx="265">
                  <c:v>0</c:v>
                </c:pt>
                <c:pt idx="266">
                  <c:v>0</c:v>
                </c:pt>
                <c:pt idx="267">
                  <c:v>0</c:v>
                </c:pt>
                <c:pt idx="268">
                  <c:v>0</c:v>
                </c:pt>
                <c:pt idx="269">
                  <c:v>0</c:v>
                </c:pt>
                <c:pt idx="270">
                  <c:v>1</c:v>
                </c:pt>
                <c:pt idx="271">
                  <c:v>0</c:v>
                </c:pt>
                <c:pt idx="272">
                  <c:v>3</c:v>
                </c:pt>
                <c:pt idx="273">
                  <c:v>0</c:v>
                </c:pt>
                <c:pt idx="274">
                  <c:v>0</c:v>
                </c:pt>
                <c:pt idx="275">
                  <c:v>0</c:v>
                </c:pt>
                <c:pt idx="276">
                  <c:v>2</c:v>
                </c:pt>
                <c:pt idx="277">
                  <c:v>1</c:v>
                </c:pt>
                <c:pt idx="278">
                  <c:v>0</c:v>
                </c:pt>
                <c:pt idx="279">
                  <c:v>0</c:v>
                </c:pt>
                <c:pt idx="280">
                  <c:v>1</c:v>
                </c:pt>
                <c:pt idx="281">
                  <c:v>1</c:v>
                </c:pt>
                <c:pt idx="282">
                  <c:v>0</c:v>
                </c:pt>
                <c:pt idx="283">
                  <c:v>0</c:v>
                </c:pt>
                <c:pt idx="284">
                  <c:v>0</c:v>
                </c:pt>
                <c:pt idx="285">
                  <c:v>1</c:v>
                </c:pt>
                <c:pt idx="286">
                  <c:v>1</c:v>
                </c:pt>
                <c:pt idx="287">
                  <c:v>0</c:v>
                </c:pt>
                <c:pt idx="288">
                  <c:v>0</c:v>
                </c:pt>
                <c:pt idx="289">
                  <c:v>1</c:v>
                </c:pt>
                <c:pt idx="290">
                  <c:v>0</c:v>
                </c:pt>
                <c:pt idx="291">
                  <c:v>1</c:v>
                </c:pt>
                <c:pt idx="292">
                  <c:v>0</c:v>
                </c:pt>
                <c:pt idx="293">
                  <c:v>0</c:v>
                </c:pt>
                <c:pt idx="294">
                  <c:v>0</c:v>
                </c:pt>
                <c:pt idx="295">
                  <c:v>1</c:v>
                </c:pt>
                <c:pt idx="296">
                  <c:v>0</c:v>
                </c:pt>
                <c:pt idx="297">
                  <c:v>0</c:v>
                </c:pt>
                <c:pt idx="298">
                  <c:v>0</c:v>
                </c:pt>
                <c:pt idx="299">
                  <c:v>1</c:v>
                </c:pt>
                <c:pt idx="300">
                  <c:v>1</c:v>
                </c:pt>
                <c:pt idx="301">
                  <c:v>0</c:v>
                </c:pt>
                <c:pt idx="302">
                  <c:v>0</c:v>
                </c:pt>
                <c:pt idx="303">
                  <c:v>1</c:v>
                </c:pt>
                <c:pt idx="304">
                  <c:v>0</c:v>
                </c:pt>
                <c:pt idx="305">
                  <c:v>0</c:v>
                </c:pt>
                <c:pt idx="306">
                  <c:v>0</c:v>
                </c:pt>
                <c:pt idx="307">
                  <c:v>1</c:v>
                </c:pt>
                <c:pt idx="308">
                  <c:v>1</c:v>
                </c:pt>
                <c:pt idx="309">
                  <c:v>0</c:v>
                </c:pt>
                <c:pt idx="310">
                  <c:v>0</c:v>
                </c:pt>
                <c:pt idx="311">
                  <c:v>0</c:v>
                </c:pt>
                <c:pt idx="312">
                  <c:v>0</c:v>
                </c:pt>
                <c:pt idx="313">
                  <c:v>0</c:v>
                </c:pt>
                <c:pt idx="314">
                  <c:v>1</c:v>
                </c:pt>
                <c:pt idx="315">
                  <c:v>0</c:v>
                </c:pt>
                <c:pt idx="316">
                  <c:v>0</c:v>
                </c:pt>
                <c:pt idx="317">
                  <c:v>0</c:v>
                </c:pt>
                <c:pt idx="318">
                  <c:v>1</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1</c:v>
                </c:pt>
                <c:pt idx="336">
                  <c:v>0</c:v>
                </c:pt>
                <c:pt idx="337">
                  <c:v>0</c:v>
                </c:pt>
                <c:pt idx="338">
                  <c:v>0</c:v>
                </c:pt>
                <c:pt idx="339">
                  <c:v>1</c:v>
                </c:pt>
                <c:pt idx="340">
                  <c:v>1</c:v>
                </c:pt>
                <c:pt idx="341">
                  <c:v>0</c:v>
                </c:pt>
                <c:pt idx="342">
                  <c:v>0</c:v>
                </c:pt>
                <c:pt idx="343">
                  <c:v>0</c:v>
                </c:pt>
                <c:pt idx="344">
                  <c:v>0</c:v>
                </c:pt>
                <c:pt idx="345">
                  <c:v>0</c:v>
                </c:pt>
                <c:pt idx="346">
                  <c:v>0</c:v>
                </c:pt>
                <c:pt idx="347">
                  <c:v>0</c:v>
                </c:pt>
                <c:pt idx="348">
                  <c:v>1</c:v>
                </c:pt>
                <c:pt idx="349">
                  <c:v>1</c:v>
                </c:pt>
                <c:pt idx="350">
                  <c:v>0</c:v>
                </c:pt>
                <c:pt idx="351">
                  <c:v>2</c:v>
                </c:pt>
                <c:pt idx="352">
                  <c:v>1</c:v>
                </c:pt>
                <c:pt idx="353">
                  <c:v>0</c:v>
                </c:pt>
                <c:pt idx="354">
                  <c:v>0</c:v>
                </c:pt>
                <c:pt idx="355">
                  <c:v>1</c:v>
                </c:pt>
                <c:pt idx="356">
                  <c:v>0</c:v>
                </c:pt>
                <c:pt idx="357">
                  <c:v>1</c:v>
                </c:pt>
                <c:pt idx="358">
                  <c:v>0</c:v>
                </c:pt>
                <c:pt idx="359">
                  <c:v>0</c:v>
                </c:pt>
                <c:pt idx="360">
                  <c:v>0</c:v>
                </c:pt>
                <c:pt idx="361">
                  <c:v>0</c:v>
                </c:pt>
                <c:pt idx="362">
                  <c:v>0</c:v>
                </c:pt>
                <c:pt idx="363">
                  <c:v>0</c:v>
                </c:pt>
                <c:pt idx="364">
                  <c:v>1</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1</c:v>
                </c:pt>
                <c:pt idx="379">
                  <c:v>0</c:v>
                </c:pt>
                <c:pt idx="380">
                  <c:v>0</c:v>
                </c:pt>
                <c:pt idx="381">
                  <c:v>0</c:v>
                </c:pt>
                <c:pt idx="382">
                  <c:v>0</c:v>
                </c:pt>
                <c:pt idx="383">
                  <c:v>0</c:v>
                </c:pt>
                <c:pt idx="384">
                  <c:v>0</c:v>
                </c:pt>
                <c:pt idx="385">
                  <c:v>0</c:v>
                </c:pt>
                <c:pt idx="386">
                  <c:v>2</c:v>
                </c:pt>
                <c:pt idx="387">
                  <c:v>0</c:v>
                </c:pt>
                <c:pt idx="388">
                  <c:v>0</c:v>
                </c:pt>
                <c:pt idx="389">
                  <c:v>0</c:v>
                </c:pt>
                <c:pt idx="390">
                  <c:v>0</c:v>
                </c:pt>
                <c:pt idx="391">
                  <c:v>0</c:v>
                </c:pt>
                <c:pt idx="392">
                  <c:v>1</c:v>
                </c:pt>
                <c:pt idx="393">
                  <c:v>0</c:v>
                </c:pt>
                <c:pt idx="394">
                  <c:v>0</c:v>
                </c:pt>
                <c:pt idx="395">
                  <c:v>0</c:v>
                </c:pt>
                <c:pt idx="396">
                  <c:v>0</c:v>
                </c:pt>
                <c:pt idx="397">
                  <c:v>0</c:v>
                </c:pt>
                <c:pt idx="398">
                  <c:v>0</c:v>
                </c:pt>
                <c:pt idx="399">
                  <c:v>0</c:v>
                </c:pt>
                <c:pt idx="400">
                  <c:v>2</c:v>
                </c:pt>
                <c:pt idx="401">
                  <c:v>1</c:v>
                </c:pt>
                <c:pt idx="402">
                  <c:v>1</c:v>
                </c:pt>
                <c:pt idx="403">
                  <c:v>1</c:v>
                </c:pt>
                <c:pt idx="404">
                  <c:v>1</c:v>
                </c:pt>
                <c:pt idx="405">
                  <c:v>1</c:v>
                </c:pt>
                <c:pt idx="406">
                  <c:v>1</c:v>
                </c:pt>
                <c:pt idx="407">
                  <c:v>1</c:v>
                </c:pt>
                <c:pt idx="408">
                  <c:v>2</c:v>
                </c:pt>
                <c:pt idx="409">
                  <c:v>1</c:v>
                </c:pt>
                <c:pt idx="410">
                  <c:v>1</c:v>
                </c:pt>
                <c:pt idx="411">
                  <c:v>1</c:v>
                </c:pt>
                <c:pt idx="412">
                  <c:v>1</c:v>
                </c:pt>
                <c:pt idx="413">
                  <c:v>1</c:v>
                </c:pt>
                <c:pt idx="414">
                  <c:v>1</c:v>
                </c:pt>
                <c:pt idx="415">
                  <c:v>1</c:v>
                </c:pt>
                <c:pt idx="416">
                  <c:v>1</c:v>
                </c:pt>
                <c:pt idx="417">
                  <c:v>3</c:v>
                </c:pt>
                <c:pt idx="418">
                  <c:v>1</c:v>
                </c:pt>
                <c:pt idx="419">
                  <c:v>1</c:v>
                </c:pt>
                <c:pt idx="420">
                  <c:v>1</c:v>
                </c:pt>
                <c:pt idx="421">
                  <c:v>1</c:v>
                </c:pt>
                <c:pt idx="422">
                  <c:v>1</c:v>
                </c:pt>
                <c:pt idx="423">
                  <c:v>1</c:v>
                </c:pt>
                <c:pt idx="424">
                  <c:v>1</c:v>
                </c:pt>
                <c:pt idx="425">
                  <c:v>1</c:v>
                </c:pt>
                <c:pt idx="426">
                  <c:v>1</c:v>
                </c:pt>
                <c:pt idx="427">
                  <c:v>1</c:v>
                </c:pt>
                <c:pt idx="428">
                  <c:v>1</c:v>
                </c:pt>
                <c:pt idx="429">
                  <c:v>1</c:v>
                </c:pt>
                <c:pt idx="430">
                  <c:v>1</c:v>
                </c:pt>
                <c:pt idx="431">
                  <c:v>1</c:v>
                </c:pt>
                <c:pt idx="432">
                  <c:v>1</c:v>
                </c:pt>
                <c:pt idx="433">
                  <c:v>1</c:v>
                </c:pt>
                <c:pt idx="434">
                  <c:v>1</c:v>
                </c:pt>
                <c:pt idx="435">
                  <c:v>1</c:v>
                </c:pt>
                <c:pt idx="436">
                  <c:v>1</c:v>
                </c:pt>
                <c:pt idx="437">
                  <c:v>1</c:v>
                </c:pt>
                <c:pt idx="438">
                  <c:v>1</c:v>
                </c:pt>
                <c:pt idx="439">
                  <c:v>1</c:v>
                </c:pt>
                <c:pt idx="440">
                  <c:v>1</c:v>
                </c:pt>
                <c:pt idx="441">
                  <c:v>1</c:v>
                </c:pt>
                <c:pt idx="442">
                  <c:v>1</c:v>
                </c:pt>
                <c:pt idx="443">
                  <c:v>1</c:v>
                </c:pt>
                <c:pt idx="444">
                  <c:v>1</c:v>
                </c:pt>
                <c:pt idx="445">
                  <c:v>1</c:v>
                </c:pt>
                <c:pt idx="446">
                  <c:v>1</c:v>
                </c:pt>
                <c:pt idx="447">
                  <c:v>1</c:v>
                </c:pt>
                <c:pt idx="448">
                  <c:v>1</c:v>
                </c:pt>
                <c:pt idx="449">
                  <c:v>1</c:v>
                </c:pt>
              </c:numCache>
            </c:numRef>
          </c:yVal>
          <c:smooth val="0"/>
          <c:extLst>
            <c:ext xmlns:c16="http://schemas.microsoft.com/office/drawing/2014/chart" uri="{C3380CC4-5D6E-409C-BE32-E72D297353CC}">
              <c16:uniqueId val="{00000000-3053-410F-9B21-B1FC96AF8AFA}"/>
            </c:ext>
          </c:extLst>
        </c:ser>
        <c:dLbls>
          <c:showLegendKey val="0"/>
          <c:showVal val="0"/>
          <c:showCatName val="0"/>
          <c:showSerName val="0"/>
          <c:showPercent val="0"/>
          <c:showBubbleSize val="0"/>
        </c:dLbls>
        <c:axId val="380940175"/>
        <c:axId val="380940591"/>
      </c:scatterChart>
      <c:valAx>
        <c:axId val="380940175"/>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citací</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0940591"/>
        <c:crosses val="autoZero"/>
        <c:crossBetween val="midCat"/>
      </c:valAx>
      <c:valAx>
        <c:axId val="380940591"/>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rozhodnutí</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094017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3"/>
              </a:solidFill>
              <a:ln w="9525">
                <a:solidFill>
                  <a:schemeClr val="accent3"/>
                </a:solidFill>
              </a:ln>
              <a:effectLst/>
            </c:spPr>
          </c:marker>
          <c:xVal>
            <c:numRef>
              <c:f>NS!$G$2:$G$318</c:f>
              <c:numCache>
                <c:formatCode>General</c:formatCode>
                <c:ptCount val="3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342</c:v>
                </c:pt>
                <c:pt idx="301">
                  <c:v>343</c:v>
                </c:pt>
                <c:pt idx="302">
                  <c:v>360</c:v>
                </c:pt>
                <c:pt idx="303">
                  <c:v>361</c:v>
                </c:pt>
                <c:pt idx="304">
                  <c:v>418</c:v>
                </c:pt>
                <c:pt idx="305">
                  <c:v>459</c:v>
                </c:pt>
                <c:pt idx="306">
                  <c:v>463</c:v>
                </c:pt>
                <c:pt idx="307">
                  <c:v>492</c:v>
                </c:pt>
                <c:pt idx="308">
                  <c:v>508</c:v>
                </c:pt>
                <c:pt idx="309">
                  <c:v>550</c:v>
                </c:pt>
                <c:pt idx="310">
                  <c:v>754</c:v>
                </c:pt>
                <c:pt idx="311">
                  <c:v>770</c:v>
                </c:pt>
                <c:pt idx="312">
                  <c:v>905</c:v>
                </c:pt>
                <c:pt idx="313">
                  <c:v>1008</c:v>
                </c:pt>
                <c:pt idx="314">
                  <c:v>2062</c:v>
                </c:pt>
                <c:pt idx="315">
                  <c:v>2516</c:v>
                </c:pt>
                <c:pt idx="316">
                  <c:v>3192</c:v>
                </c:pt>
              </c:numCache>
            </c:numRef>
          </c:xVal>
          <c:yVal>
            <c:numRef>
              <c:f>NS!$H$2:$H$318</c:f>
              <c:numCache>
                <c:formatCode>General</c:formatCode>
                <c:ptCount val="317"/>
                <c:pt idx="0">
                  <c:v>11702</c:v>
                </c:pt>
                <c:pt idx="1">
                  <c:v>4721</c:v>
                </c:pt>
                <c:pt idx="2">
                  <c:v>2645</c:v>
                </c:pt>
                <c:pt idx="3">
                  <c:v>1728</c:v>
                </c:pt>
                <c:pt idx="4">
                  <c:v>1161</c:v>
                </c:pt>
                <c:pt idx="5">
                  <c:v>825</c:v>
                </c:pt>
                <c:pt idx="6">
                  <c:v>661</c:v>
                </c:pt>
                <c:pt idx="7">
                  <c:v>552</c:v>
                </c:pt>
                <c:pt idx="8">
                  <c:v>407</c:v>
                </c:pt>
                <c:pt idx="9">
                  <c:v>327</c:v>
                </c:pt>
                <c:pt idx="10">
                  <c:v>251</c:v>
                </c:pt>
                <c:pt idx="11">
                  <c:v>246</c:v>
                </c:pt>
                <c:pt idx="12">
                  <c:v>204</c:v>
                </c:pt>
                <c:pt idx="13">
                  <c:v>168</c:v>
                </c:pt>
                <c:pt idx="14">
                  <c:v>154</c:v>
                </c:pt>
                <c:pt idx="15">
                  <c:v>123</c:v>
                </c:pt>
                <c:pt idx="16">
                  <c:v>99</c:v>
                </c:pt>
                <c:pt idx="17">
                  <c:v>99</c:v>
                </c:pt>
                <c:pt idx="18">
                  <c:v>91</c:v>
                </c:pt>
                <c:pt idx="19">
                  <c:v>85</c:v>
                </c:pt>
                <c:pt idx="20">
                  <c:v>82</c:v>
                </c:pt>
                <c:pt idx="21">
                  <c:v>55</c:v>
                </c:pt>
                <c:pt idx="22">
                  <c:v>44</c:v>
                </c:pt>
                <c:pt idx="23">
                  <c:v>42</c:v>
                </c:pt>
                <c:pt idx="24">
                  <c:v>41</c:v>
                </c:pt>
                <c:pt idx="25">
                  <c:v>48</c:v>
                </c:pt>
                <c:pt idx="26">
                  <c:v>39</c:v>
                </c:pt>
                <c:pt idx="27">
                  <c:v>28</c:v>
                </c:pt>
                <c:pt idx="28">
                  <c:v>24</c:v>
                </c:pt>
                <c:pt idx="29">
                  <c:v>36</c:v>
                </c:pt>
                <c:pt idx="30">
                  <c:v>33</c:v>
                </c:pt>
                <c:pt idx="31">
                  <c:v>14</c:v>
                </c:pt>
                <c:pt idx="32">
                  <c:v>13</c:v>
                </c:pt>
                <c:pt idx="33">
                  <c:v>20</c:v>
                </c:pt>
                <c:pt idx="34">
                  <c:v>20</c:v>
                </c:pt>
                <c:pt idx="35">
                  <c:v>19</c:v>
                </c:pt>
                <c:pt idx="36">
                  <c:v>23</c:v>
                </c:pt>
                <c:pt idx="37">
                  <c:v>12</c:v>
                </c:pt>
                <c:pt idx="38">
                  <c:v>12</c:v>
                </c:pt>
                <c:pt idx="39">
                  <c:v>17</c:v>
                </c:pt>
                <c:pt idx="40">
                  <c:v>12</c:v>
                </c:pt>
                <c:pt idx="41">
                  <c:v>19</c:v>
                </c:pt>
                <c:pt idx="42">
                  <c:v>13</c:v>
                </c:pt>
                <c:pt idx="43">
                  <c:v>8</c:v>
                </c:pt>
                <c:pt idx="44">
                  <c:v>4</c:v>
                </c:pt>
                <c:pt idx="45">
                  <c:v>8</c:v>
                </c:pt>
                <c:pt idx="46">
                  <c:v>9</c:v>
                </c:pt>
                <c:pt idx="47">
                  <c:v>6</c:v>
                </c:pt>
                <c:pt idx="48">
                  <c:v>9</c:v>
                </c:pt>
                <c:pt idx="49">
                  <c:v>6</c:v>
                </c:pt>
                <c:pt idx="50">
                  <c:v>10</c:v>
                </c:pt>
                <c:pt idx="51">
                  <c:v>5</c:v>
                </c:pt>
                <c:pt idx="52">
                  <c:v>6</c:v>
                </c:pt>
                <c:pt idx="53">
                  <c:v>10</c:v>
                </c:pt>
                <c:pt idx="54">
                  <c:v>11</c:v>
                </c:pt>
                <c:pt idx="55">
                  <c:v>7</c:v>
                </c:pt>
                <c:pt idx="56">
                  <c:v>4</c:v>
                </c:pt>
                <c:pt idx="57">
                  <c:v>4</c:v>
                </c:pt>
                <c:pt idx="58">
                  <c:v>1</c:v>
                </c:pt>
                <c:pt idx="59">
                  <c:v>8</c:v>
                </c:pt>
                <c:pt idx="60">
                  <c:v>8</c:v>
                </c:pt>
                <c:pt idx="61">
                  <c:v>5</c:v>
                </c:pt>
                <c:pt idx="62">
                  <c:v>4</c:v>
                </c:pt>
                <c:pt idx="63">
                  <c:v>3</c:v>
                </c:pt>
                <c:pt idx="64">
                  <c:v>1</c:v>
                </c:pt>
                <c:pt idx="65">
                  <c:v>5</c:v>
                </c:pt>
                <c:pt idx="66">
                  <c:v>3</c:v>
                </c:pt>
                <c:pt idx="67">
                  <c:v>3</c:v>
                </c:pt>
                <c:pt idx="68">
                  <c:v>3</c:v>
                </c:pt>
                <c:pt idx="69">
                  <c:v>4</c:v>
                </c:pt>
                <c:pt idx="70">
                  <c:v>6</c:v>
                </c:pt>
                <c:pt idx="71">
                  <c:v>4</c:v>
                </c:pt>
                <c:pt idx="72">
                  <c:v>5</c:v>
                </c:pt>
                <c:pt idx="73">
                  <c:v>3</c:v>
                </c:pt>
                <c:pt idx="74">
                  <c:v>1</c:v>
                </c:pt>
                <c:pt idx="75">
                  <c:v>1</c:v>
                </c:pt>
                <c:pt idx="76">
                  <c:v>3</c:v>
                </c:pt>
                <c:pt idx="77">
                  <c:v>4</c:v>
                </c:pt>
                <c:pt idx="78">
                  <c:v>2</c:v>
                </c:pt>
                <c:pt idx="79">
                  <c:v>2</c:v>
                </c:pt>
                <c:pt idx="80">
                  <c:v>4</c:v>
                </c:pt>
                <c:pt idx="81">
                  <c:v>0</c:v>
                </c:pt>
                <c:pt idx="82">
                  <c:v>1</c:v>
                </c:pt>
                <c:pt idx="83">
                  <c:v>3</c:v>
                </c:pt>
                <c:pt idx="84">
                  <c:v>4</c:v>
                </c:pt>
                <c:pt idx="85">
                  <c:v>3</c:v>
                </c:pt>
                <c:pt idx="86">
                  <c:v>3</c:v>
                </c:pt>
                <c:pt idx="87">
                  <c:v>5</c:v>
                </c:pt>
                <c:pt idx="88">
                  <c:v>2</c:v>
                </c:pt>
                <c:pt idx="89">
                  <c:v>3</c:v>
                </c:pt>
                <c:pt idx="90">
                  <c:v>1</c:v>
                </c:pt>
                <c:pt idx="91">
                  <c:v>2</c:v>
                </c:pt>
                <c:pt idx="92">
                  <c:v>2</c:v>
                </c:pt>
                <c:pt idx="93">
                  <c:v>1</c:v>
                </c:pt>
                <c:pt idx="94">
                  <c:v>1</c:v>
                </c:pt>
                <c:pt idx="95">
                  <c:v>3</c:v>
                </c:pt>
                <c:pt idx="96">
                  <c:v>2</c:v>
                </c:pt>
                <c:pt idx="97">
                  <c:v>3</c:v>
                </c:pt>
                <c:pt idx="98">
                  <c:v>2</c:v>
                </c:pt>
                <c:pt idx="99">
                  <c:v>0</c:v>
                </c:pt>
                <c:pt idx="100">
                  <c:v>2</c:v>
                </c:pt>
                <c:pt idx="101">
                  <c:v>2</c:v>
                </c:pt>
                <c:pt idx="102">
                  <c:v>0</c:v>
                </c:pt>
                <c:pt idx="103">
                  <c:v>1</c:v>
                </c:pt>
                <c:pt idx="104">
                  <c:v>2</c:v>
                </c:pt>
                <c:pt idx="105">
                  <c:v>2</c:v>
                </c:pt>
                <c:pt idx="106">
                  <c:v>1</c:v>
                </c:pt>
                <c:pt idx="107">
                  <c:v>1</c:v>
                </c:pt>
                <c:pt idx="108">
                  <c:v>1</c:v>
                </c:pt>
                <c:pt idx="109">
                  <c:v>0</c:v>
                </c:pt>
                <c:pt idx="110">
                  <c:v>2</c:v>
                </c:pt>
                <c:pt idx="111">
                  <c:v>2</c:v>
                </c:pt>
                <c:pt idx="112">
                  <c:v>2</c:v>
                </c:pt>
                <c:pt idx="113">
                  <c:v>1</c:v>
                </c:pt>
                <c:pt idx="114">
                  <c:v>0</c:v>
                </c:pt>
                <c:pt idx="115">
                  <c:v>1</c:v>
                </c:pt>
                <c:pt idx="116">
                  <c:v>3</c:v>
                </c:pt>
                <c:pt idx="117">
                  <c:v>1</c:v>
                </c:pt>
                <c:pt idx="118">
                  <c:v>0</c:v>
                </c:pt>
                <c:pt idx="119">
                  <c:v>1</c:v>
                </c:pt>
                <c:pt idx="120">
                  <c:v>2</c:v>
                </c:pt>
                <c:pt idx="121">
                  <c:v>1</c:v>
                </c:pt>
                <c:pt idx="122">
                  <c:v>1</c:v>
                </c:pt>
                <c:pt idx="123">
                  <c:v>0</c:v>
                </c:pt>
                <c:pt idx="124">
                  <c:v>0</c:v>
                </c:pt>
                <c:pt idx="125">
                  <c:v>1</c:v>
                </c:pt>
                <c:pt idx="126">
                  <c:v>1</c:v>
                </c:pt>
                <c:pt idx="127">
                  <c:v>0</c:v>
                </c:pt>
                <c:pt idx="128">
                  <c:v>0</c:v>
                </c:pt>
                <c:pt idx="129">
                  <c:v>1</c:v>
                </c:pt>
                <c:pt idx="130">
                  <c:v>1</c:v>
                </c:pt>
                <c:pt idx="131">
                  <c:v>1</c:v>
                </c:pt>
                <c:pt idx="132">
                  <c:v>3</c:v>
                </c:pt>
                <c:pt idx="133">
                  <c:v>1</c:v>
                </c:pt>
                <c:pt idx="134">
                  <c:v>1</c:v>
                </c:pt>
                <c:pt idx="135">
                  <c:v>0</c:v>
                </c:pt>
                <c:pt idx="136">
                  <c:v>1</c:v>
                </c:pt>
                <c:pt idx="137">
                  <c:v>0</c:v>
                </c:pt>
                <c:pt idx="138">
                  <c:v>2</c:v>
                </c:pt>
                <c:pt idx="139">
                  <c:v>1</c:v>
                </c:pt>
                <c:pt idx="140">
                  <c:v>0</c:v>
                </c:pt>
                <c:pt idx="141">
                  <c:v>1</c:v>
                </c:pt>
                <c:pt idx="142">
                  <c:v>2</c:v>
                </c:pt>
                <c:pt idx="143">
                  <c:v>0</c:v>
                </c:pt>
                <c:pt idx="144">
                  <c:v>0</c:v>
                </c:pt>
                <c:pt idx="145">
                  <c:v>2</c:v>
                </c:pt>
                <c:pt idx="146">
                  <c:v>0</c:v>
                </c:pt>
                <c:pt idx="147">
                  <c:v>0</c:v>
                </c:pt>
                <c:pt idx="148">
                  <c:v>3</c:v>
                </c:pt>
                <c:pt idx="149">
                  <c:v>0</c:v>
                </c:pt>
                <c:pt idx="150">
                  <c:v>3</c:v>
                </c:pt>
                <c:pt idx="151">
                  <c:v>0</c:v>
                </c:pt>
                <c:pt idx="152">
                  <c:v>0</c:v>
                </c:pt>
                <c:pt idx="153">
                  <c:v>2</c:v>
                </c:pt>
                <c:pt idx="154">
                  <c:v>1</c:v>
                </c:pt>
                <c:pt idx="155">
                  <c:v>1</c:v>
                </c:pt>
                <c:pt idx="156">
                  <c:v>0</c:v>
                </c:pt>
                <c:pt idx="157">
                  <c:v>0</c:v>
                </c:pt>
                <c:pt idx="158">
                  <c:v>1</c:v>
                </c:pt>
                <c:pt idx="159">
                  <c:v>1</c:v>
                </c:pt>
                <c:pt idx="160">
                  <c:v>1</c:v>
                </c:pt>
                <c:pt idx="161">
                  <c:v>0</c:v>
                </c:pt>
                <c:pt idx="162">
                  <c:v>0</c:v>
                </c:pt>
                <c:pt idx="163">
                  <c:v>2</c:v>
                </c:pt>
                <c:pt idx="164">
                  <c:v>2</c:v>
                </c:pt>
                <c:pt idx="165">
                  <c:v>0</c:v>
                </c:pt>
                <c:pt idx="166">
                  <c:v>1</c:v>
                </c:pt>
                <c:pt idx="167">
                  <c:v>0</c:v>
                </c:pt>
                <c:pt idx="168">
                  <c:v>0</c:v>
                </c:pt>
                <c:pt idx="169">
                  <c:v>1</c:v>
                </c:pt>
                <c:pt idx="170">
                  <c:v>0</c:v>
                </c:pt>
                <c:pt idx="171">
                  <c:v>0</c:v>
                </c:pt>
                <c:pt idx="172">
                  <c:v>0</c:v>
                </c:pt>
                <c:pt idx="173">
                  <c:v>0</c:v>
                </c:pt>
                <c:pt idx="174">
                  <c:v>0</c:v>
                </c:pt>
                <c:pt idx="175">
                  <c:v>0</c:v>
                </c:pt>
                <c:pt idx="176">
                  <c:v>0</c:v>
                </c:pt>
                <c:pt idx="177">
                  <c:v>1</c:v>
                </c:pt>
                <c:pt idx="178">
                  <c:v>0</c:v>
                </c:pt>
                <c:pt idx="179">
                  <c:v>0</c:v>
                </c:pt>
                <c:pt idx="180">
                  <c:v>0</c:v>
                </c:pt>
                <c:pt idx="181">
                  <c:v>0</c:v>
                </c:pt>
                <c:pt idx="182">
                  <c:v>1</c:v>
                </c:pt>
                <c:pt idx="183">
                  <c:v>0</c:v>
                </c:pt>
                <c:pt idx="184">
                  <c:v>0</c:v>
                </c:pt>
                <c:pt idx="185">
                  <c:v>1</c:v>
                </c:pt>
                <c:pt idx="186">
                  <c:v>1</c:v>
                </c:pt>
                <c:pt idx="187">
                  <c:v>0</c:v>
                </c:pt>
                <c:pt idx="188">
                  <c:v>0</c:v>
                </c:pt>
                <c:pt idx="189">
                  <c:v>0</c:v>
                </c:pt>
                <c:pt idx="190">
                  <c:v>0</c:v>
                </c:pt>
                <c:pt idx="191">
                  <c:v>0</c:v>
                </c:pt>
                <c:pt idx="192">
                  <c:v>1</c:v>
                </c:pt>
                <c:pt idx="193">
                  <c:v>0</c:v>
                </c:pt>
                <c:pt idx="194">
                  <c:v>0</c:v>
                </c:pt>
                <c:pt idx="195">
                  <c:v>0</c:v>
                </c:pt>
                <c:pt idx="196">
                  <c:v>0</c:v>
                </c:pt>
                <c:pt idx="197">
                  <c:v>0</c:v>
                </c:pt>
                <c:pt idx="198">
                  <c:v>1</c:v>
                </c:pt>
                <c:pt idx="199">
                  <c:v>0</c:v>
                </c:pt>
                <c:pt idx="200">
                  <c:v>1</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1</c:v>
                </c:pt>
                <c:pt idx="219">
                  <c:v>0</c:v>
                </c:pt>
                <c:pt idx="220">
                  <c:v>1</c:v>
                </c:pt>
                <c:pt idx="221">
                  <c:v>1</c:v>
                </c:pt>
                <c:pt idx="222">
                  <c:v>1</c:v>
                </c:pt>
                <c:pt idx="223">
                  <c:v>0</c:v>
                </c:pt>
                <c:pt idx="224">
                  <c:v>1</c:v>
                </c:pt>
                <c:pt idx="225">
                  <c:v>0</c:v>
                </c:pt>
                <c:pt idx="226">
                  <c:v>1</c:v>
                </c:pt>
                <c:pt idx="227">
                  <c:v>0</c:v>
                </c:pt>
                <c:pt idx="228">
                  <c:v>0</c:v>
                </c:pt>
                <c:pt idx="229">
                  <c:v>0</c:v>
                </c:pt>
                <c:pt idx="230">
                  <c:v>0</c:v>
                </c:pt>
                <c:pt idx="231">
                  <c:v>0</c:v>
                </c:pt>
                <c:pt idx="232">
                  <c:v>0</c:v>
                </c:pt>
                <c:pt idx="233">
                  <c:v>0</c:v>
                </c:pt>
                <c:pt idx="234">
                  <c:v>0</c:v>
                </c:pt>
                <c:pt idx="235">
                  <c:v>1</c:v>
                </c:pt>
                <c:pt idx="236">
                  <c:v>0</c:v>
                </c:pt>
                <c:pt idx="237">
                  <c:v>0</c:v>
                </c:pt>
                <c:pt idx="238">
                  <c:v>0</c:v>
                </c:pt>
                <c:pt idx="239">
                  <c:v>0</c:v>
                </c:pt>
                <c:pt idx="240">
                  <c:v>0</c:v>
                </c:pt>
                <c:pt idx="241">
                  <c:v>0</c:v>
                </c:pt>
                <c:pt idx="242">
                  <c:v>0</c:v>
                </c:pt>
                <c:pt idx="243">
                  <c:v>0</c:v>
                </c:pt>
                <c:pt idx="244">
                  <c:v>0</c:v>
                </c:pt>
                <c:pt idx="245">
                  <c:v>0</c:v>
                </c:pt>
                <c:pt idx="246">
                  <c:v>0</c:v>
                </c:pt>
                <c:pt idx="247">
                  <c:v>0</c:v>
                </c:pt>
                <c:pt idx="248">
                  <c:v>1</c:v>
                </c:pt>
                <c:pt idx="249">
                  <c:v>0</c:v>
                </c:pt>
                <c:pt idx="250">
                  <c:v>0</c:v>
                </c:pt>
                <c:pt idx="251">
                  <c:v>1</c:v>
                </c:pt>
                <c:pt idx="252">
                  <c:v>0</c:v>
                </c:pt>
                <c:pt idx="253">
                  <c:v>1</c:v>
                </c:pt>
                <c:pt idx="254">
                  <c:v>0</c:v>
                </c:pt>
                <c:pt idx="255">
                  <c:v>0</c:v>
                </c:pt>
                <c:pt idx="256">
                  <c:v>0</c:v>
                </c:pt>
                <c:pt idx="257">
                  <c:v>0</c:v>
                </c:pt>
                <c:pt idx="258">
                  <c:v>1</c:v>
                </c:pt>
                <c:pt idx="259">
                  <c:v>1</c:v>
                </c:pt>
                <c:pt idx="260">
                  <c:v>0</c:v>
                </c:pt>
                <c:pt idx="261">
                  <c:v>0</c:v>
                </c:pt>
                <c:pt idx="262">
                  <c:v>1</c:v>
                </c:pt>
                <c:pt idx="263">
                  <c:v>0</c:v>
                </c:pt>
                <c:pt idx="264">
                  <c:v>0</c:v>
                </c:pt>
                <c:pt idx="265">
                  <c:v>0</c:v>
                </c:pt>
                <c:pt idx="266">
                  <c:v>0</c:v>
                </c:pt>
                <c:pt idx="267">
                  <c:v>0</c:v>
                </c:pt>
                <c:pt idx="268">
                  <c:v>0</c:v>
                </c:pt>
                <c:pt idx="269">
                  <c:v>0</c:v>
                </c:pt>
                <c:pt idx="270">
                  <c:v>1</c:v>
                </c:pt>
                <c:pt idx="271">
                  <c:v>0</c:v>
                </c:pt>
                <c:pt idx="272">
                  <c:v>1</c:v>
                </c:pt>
                <c:pt idx="273">
                  <c:v>0</c:v>
                </c:pt>
                <c:pt idx="274">
                  <c:v>0</c:v>
                </c:pt>
                <c:pt idx="275">
                  <c:v>0</c:v>
                </c:pt>
                <c:pt idx="276">
                  <c:v>1</c:v>
                </c:pt>
                <c:pt idx="277">
                  <c:v>0</c:v>
                </c:pt>
                <c:pt idx="278">
                  <c:v>0</c:v>
                </c:pt>
                <c:pt idx="279">
                  <c:v>0</c:v>
                </c:pt>
                <c:pt idx="280">
                  <c:v>0</c:v>
                </c:pt>
                <c:pt idx="281">
                  <c:v>0</c:v>
                </c:pt>
                <c:pt idx="282">
                  <c:v>0</c:v>
                </c:pt>
                <c:pt idx="283">
                  <c:v>0</c:v>
                </c:pt>
                <c:pt idx="284">
                  <c:v>0</c:v>
                </c:pt>
                <c:pt idx="285">
                  <c:v>0</c:v>
                </c:pt>
                <c:pt idx="286">
                  <c:v>0</c:v>
                </c:pt>
                <c:pt idx="287">
                  <c:v>1</c:v>
                </c:pt>
                <c:pt idx="288">
                  <c:v>0</c:v>
                </c:pt>
                <c:pt idx="289">
                  <c:v>0</c:v>
                </c:pt>
                <c:pt idx="290">
                  <c:v>0</c:v>
                </c:pt>
                <c:pt idx="291">
                  <c:v>1</c:v>
                </c:pt>
                <c:pt idx="292">
                  <c:v>0</c:v>
                </c:pt>
                <c:pt idx="293">
                  <c:v>0</c:v>
                </c:pt>
                <c:pt idx="294">
                  <c:v>0</c:v>
                </c:pt>
                <c:pt idx="295">
                  <c:v>0</c:v>
                </c:pt>
                <c:pt idx="296">
                  <c:v>1</c:v>
                </c:pt>
                <c:pt idx="297">
                  <c:v>0</c:v>
                </c:pt>
                <c:pt idx="298">
                  <c:v>0</c:v>
                </c:pt>
                <c:pt idx="299">
                  <c:v>0</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pt idx="313">
                  <c:v>1</c:v>
                </c:pt>
                <c:pt idx="314">
                  <c:v>1</c:v>
                </c:pt>
                <c:pt idx="315">
                  <c:v>1</c:v>
                </c:pt>
                <c:pt idx="316">
                  <c:v>1</c:v>
                </c:pt>
              </c:numCache>
            </c:numRef>
          </c:yVal>
          <c:smooth val="0"/>
          <c:extLst>
            <c:ext xmlns:c16="http://schemas.microsoft.com/office/drawing/2014/chart" uri="{C3380CC4-5D6E-409C-BE32-E72D297353CC}">
              <c16:uniqueId val="{00000000-E953-4042-9D6B-368FD0141FD5}"/>
            </c:ext>
          </c:extLst>
        </c:ser>
        <c:dLbls>
          <c:showLegendKey val="0"/>
          <c:showVal val="0"/>
          <c:showCatName val="0"/>
          <c:showSerName val="0"/>
          <c:showPercent val="0"/>
          <c:showBubbleSize val="0"/>
        </c:dLbls>
        <c:axId val="704261967"/>
        <c:axId val="704264463"/>
      </c:scatterChart>
      <c:valAx>
        <c:axId val="704261967"/>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a:t>
                </a:r>
                <a:r>
                  <a:rPr lang="cs-CZ" baseline="0"/>
                  <a:t> citací</a:t>
                </a:r>
                <a:endParaRPr lang="cs-CZ"/>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04264463"/>
        <c:crosses val="autoZero"/>
        <c:crossBetween val="midCat"/>
      </c:valAx>
      <c:valAx>
        <c:axId val="704264463"/>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rozhodnutí</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0426196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3"/>
              </a:solidFill>
              <a:ln w="9525">
                <a:solidFill>
                  <a:schemeClr val="accent3"/>
                </a:solidFill>
              </a:ln>
              <a:effectLst/>
            </c:spPr>
          </c:marker>
          <c:xVal>
            <c:numRef>
              <c:f>NSS!$G$2:$G$314</c:f>
              <c:numCache>
                <c:formatCode>General</c:formatCode>
                <c:ptCount val="31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307</c:v>
                </c:pt>
                <c:pt idx="301">
                  <c:v>332</c:v>
                </c:pt>
                <c:pt idx="302">
                  <c:v>371</c:v>
                </c:pt>
                <c:pt idx="303">
                  <c:v>378</c:v>
                </c:pt>
                <c:pt idx="304">
                  <c:v>402</c:v>
                </c:pt>
                <c:pt idx="305">
                  <c:v>437</c:v>
                </c:pt>
                <c:pt idx="306">
                  <c:v>492</c:v>
                </c:pt>
                <c:pt idx="307">
                  <c:v>589</c:v>
                </c:pt>
                <c:pt idx="308">
                  <c:v>680</c:v>
                </c:pt>
                <c:pt idx="309">
                  <c:v>816</c:v>
                </c:pt>
                <c:pt idx="310">
                  <c:v>948</c:v>
                </c:pt>
                <c:pt idx="311">
                  <c:v>1221</c:v>
                </c:pt>
                <c:pt idx="312">
                  <c:v>1991</c:v>
                </c:pt>
              </c:numCache>
            </c:numRef>
          </c:xVal>
          <c:yVal>
            <c:numRef>
              <c:f>NSS!$H$2:$H$314</c:f>
              <c:numCache>
                <c:formatCode>General</c:formatCode>
                <c:ptCount val="313"/>
                <c:pt idx="0">
                  <c:v>7410</c:v>
                </c:pt>
                <c:pt idx="1">
                  <c:v>2616</c:v>
                </c:pt>
                <c:pt idx="2">
                  <c:v>1308</c:v>
                </c:pt>
                <c:pt idx="3">
                  <c:v>875</c:v>
                </c:pt>
                <c:pt idx="4">
                  <c:v>548</c:v>
                </c:pt>
                <c:pt idx="5">
                  <c:v>408</c:v>
                </c:pt>
                <c:pt idx="6">
                  <c:v>291</c:v>
                </c:pt>
                <c:pt idx="7">
                  <c:v>217</c:v>
                </c:pt>
                <c:pt idx="8">
                  <c:v>189</c:v>
                </c:pt>
                <c:pt idx="9">
                  <c:v>156</c:v>
                </c:pt>
                <c:pt idx="10">
                  <c:v>111</c:v>
                </c:pt>
                <c:pt idx="11">
                  <c:v>103</c:v>
                </c:pt>
                <c:pt idx="12">
                  <c:v>108</c:v>
                </c:pt>
                <c:pt idx="13">
                  <c:v>85</c:v>
                </c:pt>
                <c:pt idx="14">
                  <c:v>84</c:v>
                </c:pt>
                <c:pt idx="15">
                  <c:v>66</c:v>
                </c:pt>
                <c:pt idx="16">
                  <c:v>55</c:v>
                </c:pt>
                <c:pt idx="17">
                  <c:v>51</c:v>
                </c:pt>
                <c:pt idx="18">
                  <c:v>36</c:v>
                </c:pt>
                <c:pt idx="19">
                  <c:v>47</c:v>
                </c:pt>
                <c:pt idx="20">
                  <c:v>47</c:v>
                </c:pt>
                <c:pt idx="21">
                  <c:v>38</c:v>
                </c:pt>
                <c:pt idx="22">
                  <c:v>29</c:v>
                </c:pt>
                <c:pt idx="23">
                  <c:v>40</c:v>
                </c:pt>
                <c:pt idx="24">
                  <c:v>32</c:v>
                </c:pt>
                <c:pt idx="25">
                  <c:v>20</c:v>
                </c:pt>
                <c:pt idx="26">
                  <c:v>24</c:v>
                </c:pt>
                <c:pt idx="27">
                  <c:v>27</c:v>
                </c:pt>
                <c:pt idx="28">
                  <c:v>11</c:v>
                </c:pt>
                <c:pt idx="29">
                  <c:v>20</c:v>
                </c:pt>
                <c:pt idx="30">
                  <c:v>15</c:v>
                </c:pt>
                <c:pt idx="31">
                  <c:v>24</c:v>
                </c:pt>
                <c:pt idx="32">
                  <c:v>10</c:v>
                </c:pt>
                <c:pt idx="33">
                  <c:v>17</c:v>
                </c:pt>
                <c:pt idx="34">
                  <c:v>16</c:v>
                </c:pt>
                <c:pt idx="35">
                  <c:v>16</c:v>
                </c:pt>
                <c:pt idx="36">
                  <c:v>9</c:v>
                </c:pt>
                <c:pt idx="37">
                  <c:v>10</c:v>
                </c:pt>
                <c:pt idx="38">
                  <c:v>9</c:v>
                </c:pt>
                <c:pt idx="39">
                  <c:v>10</c:v>
                </c:pt>
                <c:pt idx="40">
                  <c:v>4</c:v>
                </c:pt>
                <c:pt idx="41">
                  <c:v>13</c:v>
                </c:pt>
                <c:pt idx="42">
                  <c:v>4</c:v>
                </c:pt>
                <c:pt idx="43">
                  <c:v>6</c:v>
                </c:pt>
                <c:pt idx="44">
                  <c:v>9</c:v>
                </c:pt>
                <c:pt idx="45">
                  <c:v>12</c:v>
                </c:pt>
                <c:pt idx="46">
                  <c:v>7</c:v>
                </c:pt>
                <c:pt idx="47">
                  <c:v>5</c:v>
                </c:pt>
                <c:pt idx="48">
                  <c:v>5</c:v>
                </c:pt>
                <c:pt idx="49">
                  <c:v>6</c:v>
                </c:pt>
                <c:pt idx="50">
                  <c:v>5</c:v>
                </c:pt>
                <c:pt idx="51">
                  <c:v>2</c:v>
                </c:pt>
                <c:pt idx="52">
                  <c:v>3</c:v>
                </c:pt>
                <c:pt idx="53">
                  <c:v>3</c:v>
                </c:pt>
                <c:pt idx="54">
                  <c:v>5</c:v>
                </c:pt>
                <c:pt idx="55">
                  <c:v>5</c:v>
                </c:pt>
                <c:pt idx="56">
                  <c:v>1</c:v>
                </c:pt>
                <c:pt idx="57">
                  <c:v>2</c:v>
                </c:pt>
                <c:pt idx="58">
                  <c:v>3</c:v>
                </c:pt>
                <c:pt idx="59">
                  <c:v>3</c:v>
                </c:pt>
                <c:pt idx="60">
                  <c:v>2</c:v>
                </c:pt>
                <c:pt idx="61">
                  <c:v>2</c:v>
                </c:pt>
                <c:pt idx="62">
                  <c:v>3</c:v>
                </c:pt>
                <c:pt idx="63">
                  <c:v>0</c:v>
                </c:pt>
                <c:pt idx="64">
                  <c:v>0</c:v>
                </c:pt>
                <c:pt idx="65">
                  <c:v>2</c:v>
                </c:pt>
                <c:pt idx="66">
                  <c:v>0</c:v>
                </c:pt>
                <c:pt idx="67">
                  <c:v>4</c:v>
                </c:pt>
                <c:pt idx="68">
                  <c:v>0</c:v>
                </c:pt>
                <c:pt idx="69">
                  <c:v>2</c:v>
                </c:pt>
                <c:pt idx="70">
                  <c:v>4</c:v>
                </c:pt>
                <c:pt idx="71">
                  <c:v>6</c:v>
                </c:pt>
                <c:pt idx="72">
                  <c:v>6</c:v>
                </c:pt>
                <c:pt idx="73">
                  <c:v>0</c:v>
                </c:pt>
                <c:pt idx="74">
                  <c:v>1</c:v>
                </c:pt>
                <c:pt idx="75">
                  <c:v>0</c:v>
                </c:pt>
                <c:pt idx="76">
                  <c:v>5</c:v>
                </c:pt>
                <c:pt idx="77">
                  <c:v>0</c:v>
                </c:pt>
                <c:pt idx="78">
                  <c:v>1</c:v>
                </c:pt>
                <c:pt idx="79">
                  <c:v>6</c:v>
                </c:pt>
                <c:pt idx="80">
                  <c:v>4</c:v>
                </c:pt>
                <c:pt idx="81">
                  <c:v>1</c:v>
                </c:pt>
                <c:pt idx="82">
                  <c:v>3</c:v>
                </c:pt>
                <c:pt idx="83">
                  <c:v>3</c:v>
                </c:pt>
                <c:pt idx="84">
                  <c:v>3</c:v>
                </c:pt>
                <c:pt idx="85">
                  <c:v>2</c:v>
                </c:pt>
                <c:pt idx="86">
                  <c:v>4</c:v>
                </c:pt>
                <c:pt idx="87">
                  <c:v>0</c:v>
                </c:pt>
                <c:pt idx="88">
                  <c:v>2</c:v>
                </c:pt>
                <c:pt idx="89">
                  <c:v>1</c:v>
                </c:pt>
                <c:pt idx="90">
                  <c:v>2</c:v>
                </c:pt>
                <c:pt idx="91">
                  <c:v>1</c:v>
                </c:pt>
                <c:pt idx="92">
                  <c:v>1</c:v>
                </c:pt>
                <c:pt idx="93">
                  <c:v>1</c:v>
                </c:pt>
                <c:pt idx="94">
                  <c:v>5</c:v>
                </c:pt>
                <c:pt idx="95">
                  <c:v>1</c:v>
                </c:pt>
                <c:pt idx="96">
                  <c:v>0</c:v>
                </c:pt>
                <c:pt idx="97">
                  <c:v>1</c:v>
                </c:pt>
                <c:pt idx="98">
                  <c:v>2</c:v>
                </c:pt>
                <c:pt idx="99">
                  <c:v>3</c:v>
                </c:pt>
                <c:pt idx="100">
                  <c:v>2</c:v>
                </c:pt>
                <c:pt idx="101">
                  <c:v>4</c:v>
                </c:pt>
                <c:pt idx="102">
                  <c:v>1</c:v>
                </c:pt>
                <c:pt idx="103">
                  <c:v>1</c:v>
                </c:pt>
                <c:pt idx="104">
                  <c:v>2</c:v>
                </c:pt>
                <c:pt idx="105">
                  <c:v>0</c:v>
                </c:pt>
                <c:pt idx="106">
                  <c:v>2</c:v>
                </c:pt>
                <c:pt idx="107">
                  <c:v>3</c:v>
                </c:pt>
                <c:pt idx="108">
                  <c:v>1</c:v>
                </c:pt>
                <c:pt idx="109">
                  <c:v>0</c:v>
                </c:pt>
                <c:pt idx="110">
                  <c:v>1</c:v>
                </c:pt>
                <c:pt idx="111">
                  <c:v>2</c:v>
                </c:pt>
                <c:pt idx="112">
                  <c:v>2</c:v>
                </c:pt>
                <c:pt idx="113">
                  <c:v>0</c:v>
                </c:pt>
                <c:pt idx="114">
                  <c:v>2</c:v>
                </c:pt>
                <c:pt idx="115">
                  <c:v>2</c:v>
                </c:pt>
                <c:pt idx="116">
                  <c:v>0</c:v>
                </c:pt>
                <c:pt idx="117">
                  <c:v>0</c:v>
                </c:pt>
                <c:pt idx="118">
                  <c:v>2</c:v>
                </c:pt>
                <c:pt idx="119">
                  <c:v>1</c:v>
                </c:pt>
                <c:pt idx="120">
                  <c:v>1</c:v>
                </c:pt>
                <c:pt idx="121">
                  <c:v>0</c:v>
                </c:pt>
                <c:pt idx="122">
                  <c:v>0</c:v>
                </c:pt>
                <c:pt idx="123">
                  <c:v>1</c:v>
                </c:pt>
                <c:pt idx="124">
                  <c:v>1</c:v>
                </c:pt>
                <c:pt idx="125">
                  <c:v>0</c:v>
                </c:pt>
                <c:pt idx="126">
                  <c:v>1</c:v>
                </c:pt>
                <c:pt idx="127">
                  <c:v>2</c:v>
                </c:pt>
                <c:pt idx="128">
                  <c:v>1</c:v>
                </c:pt>
                <c:pt idx="129">
                  <c:v>1</c:v>
                </c:pt>
                <c:pt idx="130">
                  <c:v>1</c:v>
                </c:pt>
                <c:pt idx="131">
                  <c:v>0</c:v>
                </c:pt>
                <c:pt idx="132">
                  <c:v>0</c:v>
                </c:pt>
                <c:pt idx="133">
                  <c:v>0</c:v>
                </c:pt>
                <c:pt idx="134">
                  <c:v>1</c:v>
                </c:pt>
                <c:pt idx="135">
                  <c:v>0</c:v>
                </c:pt>
                <c:pt idx="136">
                  <c:v>1</c:v>
                </c:pt>
                <c:pt idx="137">
                  <c:v>0</c:v>
                </c:pt>
                <c:pt idx="138">
                  <c:v>2</c:v>
                </c:pt>
                <c:pt idx="139">
                  <c:v>0</c:v>
                </c:pt>
                <c:pt idx="140">
                  <c:v>0</c:v>
                </c:pt>
                <c:pt idx="141">
                  <c:v>1</c:v>
                </c:pt>
                <c:pt idx="142">
                  <c:v>0</c:v>
                </c:pt>
                <c:pt idx="143">
                  <c:v>1</c:v>
                </c:pt>
                <c:pt idx="144">
                  <c:v>0</c:v>
                </c:pt>
                <c:pt idx="145">
                  <c:v>0</c:v>
                </c:pt>
                <c:pt idx="146">
                  <c:v>0</c:v>
                </c:pt>
                <c:pt idx="147">
                  <c:v>0</c:v>
                </c:pt>
                <c:pt idx="148">
                  <c:v>0</c:v>
                </c:pt>
                <c:pt idx="149">
                  <c:v>1</c:v>
                </c:pt>
                <c:pt idx="150">
                  <c:v>1</c:v>
                </c:pt>
                <c:pt idx="151">
                  <c:v>1</c:v>
                </c:pt>
                <c:pt idx="152">
                  <c:v>0</c:v>
                </c:pt>
                <c:pt idx="153">
                  <c:v>0</c:v>
                </c:pt>
                <c:pt idx="154">
                  <c:v>1</c:v>
                </c:pt>
                <c:pt idx="155">
                  <c:v>0</c:v>
                </c:pt>
                <c:pt idx="156">
                  <c:v>1</c:v>
                </c:pt>
                <c:pt idx="157">
                  <c:v>0</c:v>
                </c:pt>
                <c:pt idx="158">
                  <c:v>3</c:v>
                </c:pt>
                <c:pt idx="159">
                  <c:v>0</c:v>
                </c:pt>
                <c:pt idx="160">
                  <c:v>1</c:v>
                </c:pt>
                <c:pt idx="161">
                  <c:v>0</c:v>
                </c:pt>
                <c:pt idx="162">
                  <c:v>0</c:v>
                </c:pt>
                <c:pt idx="163">
                  <c:v>0</c:v>
                </c:pt>
                <c:pt idx="164">
                  <c:v>1</c:v>
                </c:pt>
                <c:pt idx="165">
                  <c:v>2</c:v>
                </c:pt>
                <c:pt idx="166">
                  <c:v>0</c:v>
                </c:pt>
                <c:pt idx="167">
                  <c:v>0</c:v>
                </c:pt>
                <c:pt idx="168">
                  <c:v>0</c:v>
                </c:pt>
                <c:pt idx="169">
                  <c:v>1</c:v>
                </c:pt>
                <c:pt idx="170">
                  <c:v>0</c:v>
                </c:pt>
                <c:pt idx="171">
                  <c:v>0</c:v>
                </c:pt>
                <c:pt idx="172">
                  <c:v>1</c:v>
                </c:pt>
                <c:pt idx="173">
                  <c:v>0</c:v>
                </c:pt>
                <c:pt idx="174">
                  <c:v>1</c:v>
                </c:pt>
                <c:pt idx="175">
                  <c:v>0</c:v>
                </c:pt>
                <c:pt idx="176">
                  <c:v>0</c:v>
                </c:pt>
                <c:pt idx="177">
                  <c:v>1</c:v>
                </c:pt>
                <c:pt idx="178">
                  <c:v>0</c:v>
                </c:pt>
                <c:pt idx="179">
                  <c:v>1</c:v>
                </c:pt>
                <c:pt idx="180">
                  <c:v>0</c:v>
                </c:pt>
                <c:pt idx="181">
                  <c:v>0</c:v>
                </c:pt>
                <c:pt idx="182">
                  <c:v>1</c:v>
                </c:pt>
                <c:pt idx="183">
                  <c:v>1</c:v>
                </c:pt>
                <c:pt idx="184">
                  <c:v>1</c:v>
                </c:pt>
                <c:pt idx="185">
                  <c:v>1</c:v>
                </c:pt>
                <c:pt idx="186">
                  <c:v>0</c:v>
                </c:pt>
                <c:pt idx="187">
                  <c:v>0</c:v>
                </c:pt>
                <c:pt idx="188">
                  <c:v>1</c:v>
                </c:pt>
                <c:pt idx="189">
                  <c:v>0</c:v>
                </c:pt>
                <c:pt idx="190">
                  <c:v>0</c:v>
                </c:pt>
                <c:pt idx="191">
                  <c:v>0</c:v>
                </c:pt>
                <c:pt idx="192">
                  <c:v>0</c:v>
                </c:pt>
                <c:pt idx="193">
                  <c:v>0</c:v>
                </c:pt>
                <c:pt idx="194">
                  <c:v>0</c:v>
                </c:pt>
                <c:pt idx="195">
                  <c:v>0</c:v>
                </c:pt>
                <c:pt idx="196">
                  <c:v>0</c:v>
                </c:pt>
                <c:pt idx="197">
                  <c:v>0</c:v>
                </c:pt>
                <c:pt idx="198">
                  <c:v>0</c:v>
                </c:pt>
                <c:pt idx="199">
                  <c:v>0</c:v>
                </c:pt>
                <c:pt idx="200">
                  <c:v>0</c:v>
                </c:pt>
                <c:pt idx="201">
                  <c:v>1</c:v>
                </c:pt>
                <c:pt idx="202">
                  <c:v>0</c:v>
                </c:pt>
                <c:pt idx="203">
                  <c:v>0</c:v>
                </c:pt>
                <c:pt idx="204">
                  <c:v>0</c:v>
                </c:pt>
                <c:pt idx="205">
                  <c:v>0</c:v>
                </c:pt>
                <c:pt idx="206">
                  <c:v>0</c:v>
                </c:pt>
                <c:pt idx="207">
                  <c:v>0</c:v>
                </c:pt>
                <c:pt idx="208">
                  <c:v>0</c:v>
                </c:pt>
                <c:pt idx="209">
                  <c:v>0</c:v>
                </c:pt>
                <c:pt idx="210">
                  <c:v>0</c:v>
                </c:pt>
                <c:pt idx="211">
                  <c:v>0</c:v>
                </c:pt>
                <c:pt idx="212">
                  <c:v>0</c:v>
                </c:pt>
                <c:pt idx="213">
                  <c:v>1</c:v>
                </c:pt>
                <c:pt idx="214">
                  <c:v>1</c:v>
                </c:pt>
                <c:pt idx="215">
                  <c:v>0</c:v>
                </c:pt>
                <c:pt idx="216">
                  <c:v>0</c:v>
                </c:pt>
                <c:pt idx="217">
                  <c:v>0</c:v>
                </c:pt>
                <c:pt idx="218">
                  <c:v>0</c:v>
                </c:pt>
                <c:pt idx="219">
                  <c:v>0</c:v>
                </c:pt>
                <c:pt idx="220">
                  <c:v>0</c:v>
                </c:pt>
                <c:pt idx="221">
                  <c:v>0</c:v>
                </c:pt>
                <c:pt idx="222">
                  <c:v>1</c:v>
                </c:pt>
                <c:pt idx="223">
                  <c:v>0</c:v>
                </c:pt>
                <c:pt idx="224">
                  <c:v>0</c:v>
                </c:pt>
                <c:pt idx="225">
                  <c:v>0</c:v>
                </c:pt>
                <c:pt idx="226">
                  <c:v>0</c:v>
                </c:pt>
                <c:pt idx="227">
                  <c:v>0</c:v>
                </c:pt>
                <c:pt idx="228">
                  <c:v>0</c:v>
                </c:pt>
                <c:pt idx="229">
                  <c:v>0</c:v>
                </c:pt>
                <c:pt idx="230">
                  <c:v>1</c:v>
                </c:pt>
                <c:pt idx="231">
                  <c:v>0</c:v>
                </c:pt>
                <c:pt idx="232">
                  <c:v>0</c:v>
                </c:pt>
                <c:pt idx="233">
                  <c:v>2</c:v>
                </c:pt>
                <c:pt idx="234">
                  <c:v>0</c:v>
                </c:pt>
                <c:pt idx="235">
                  <c:v>0</c:v>
                </c:pt>
                <c:pt idx="236">
                  <c:v>0</c:v>
                </c:pt>
                <c:pt idx="237">
                  <c:v>0</c:v>
                </c:pt>
                <c:pt idx="238">
                  <c:v>0</c:v>
                </c:pt>
                <c:pt idx="239">
                  <c:v>1</c:v>
                </c:pt>
                <c:pt idx="240">
                  <c:v>0</c:v>
                </c:pt>
                <c:pt idx="241">
                  <c:v>0</c:v>
                </c:pt>
                <c:pt idx="242">
                  <c:v>0</c:v>
                </c:pt>
                <c:pt idx="243">
                  <c:v>0</c:v>
                </c:pt>
                <c:pt idx="244">
                  <c:v>0</c:v>
                </c:pt>
                <c:pt idx="245">
                  <c:v>1</c:v>
                </c:pt>
                <c:pt idx="246">
                  <c:v>0</c:v>
                </c:pt>
                <c:pt idx="247">
                  <c:v>0</c:v>
                </c:pt>
                <c:pt idx="248">
                  <c:v>0</c:v>
                </c:pt>
                <c:pt idx="249">
                  <c:v>0</c:v>
                </c:pt>
                <c:pt idx="250">
                  <c:v>0</c:v>
                </c:pt>
                <c:pt idx="251">
                  <c:v>0</c:v>
                </c:pt>
                <c:pt idx="252">
                  <c:v>1</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1</c:v>
                </c:pt>
                <c:pt idx="292">
                  <c:v>0</c:v>
                </c:pt>
                <c:pt idx="293">
                  <c:v>0</c:v>
                </c:pt>
                <c:pt idx="294">
                  <c:v>1</c:v>
                </c:pt>
                <c:pt idx="295">
                  <c:v>1</c:v>
                </c:pt>
                <c:pt idx="296">
                  <c:v>0</c:v>
                </c:pt>
                <c:pt idx="297">
                  <c:v>0</c:v>
                </c:pt>
                <c:pt idx="298">
                  <c:v>0</c:v>
                </c:pt>
                <c:pt idx="299">
                  <c:v>0</c:v>
                </c:pt>
                <c:pt idx="300">
                  <c:v>1</c:v>
                </c:pt>
                <c:pt idx="301">
                  <c:v>1</c:v>
                </c:pt>
                <c:pt idx="302">
                  <c:v>1</c:v>
                </c:pt>
                <c:pt idx="303">
                  <c:v>1</c:v>
                </c:pt>
                <c:pt idx="304">
                  <c:v>1</c:v>
                </c:pt>
                <c:pt idx="305">
                  <c:v>1</c:v>
                </c:pt>
                <c:pt idx="306">
                  <c:v>1</c:v>
                </c:pt>
                <c:pt idx="307">
                  <c:v>1</c:v>
                </c:pt>
                <c:pt idx="308">
                  <c:v>1</c:v>
                </c:pt>
                <c:pt idx="309">
                  <c:v>1</c:v>
                </c:pt>
                <c:pt idx="310">
                  <c:v>1</c:v>
                </c:pt>
                <c:pt idx="311">
                  <c:v>1</c:v>
                </c:pt>
                <c:pt idx="312">
                  <c:v>1</c:v>
                </c:pt>
              </c:numCache>
            </c:numRef>
          </c:yVal>
          <c:smooth val="0"/>
          <c:extLst>
            <c:ext xmlns:c16="http://schemas.microsoft.com/office/drawing/2014/chart" uri="{C3380CC4-5D6E-409C-BE32-E72D297353CC}">
              <c16:uniqueId val="{00000000-7F99-4DAF-983E-BB07F15B7A3D}"/>
            </c:ext>
          </c:extLst>
        </c:ser>
        <c:dLbls>
          <c:showLegendKey val="0"/>
          <c:showVal val="0"/>
          <c:showCatName val="0"/>
          <c:showSerName val="0"/>
          <c:showPercent val="0"/>
          <c:showBubbleSize val="0"/>
        </c:dLbls>
        <c:axId val="384210047"/>
        <c:axId val="384219615"/>
      </c:scatterChart>
      <c:valAx>
        <c:axId val="384210047"/>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citací</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4219615"/>
        <c:crosses val="autoZero"/>
        <c:crossBetween val="midCat"/>
      </c:valAx>
      <c:valAx>
        <c:axId val="384219615"/>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Počet rozhodnutí</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3842100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US!$A$50</c:f>
              <c:strCache>
                <c:ptCount val="1"/>
                <c:pt idx="0">
                  <c:v>Počet rozhodnutí publikovaných v daném roce neobsahujících žádnou citaci</c:v>
                </c:pt>
              </c:strCache>
            </c:strRef>
          </c:tx>
          <c:spPr>
            <a:ln w="28575" cap="rnd">
              <a:solidFill>
                <a:schemeClr val="accent3">
                  <a:shade val="65000"/>
                </a:schemeClr>
              </a:solidFill>
              <a:round/>
            </a:ln>
            <a:effectLst/>
          </c:spPr>
          <c:marker>
            <c:symbol val="none"/>
          </c:marker>
          <c:cat>
            <c:numRef>
              <c:f>US!$B$13:$AA$13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US!$B$14:$AA$14</c:f>
              <c:numCache>
                <c:formatCode>General</c:formatCode>
                <c:ptCount val="26"/>
                <c:pt idx="0">
                  <c:v>218</c:v>
                </c:pt>
                <c:pt idx="1">
                  <c:v>558</c:v>
                </c:pt>
                <c:pt idx="2">
                  <c:v>575</c:v>
                </c:pt>
                <c:pt idx="3">
                  <c:v>784</c:v>
                </c:pt>
                <c:pt idx="4">
                  <c:v>984</c:v>
                </c:pt>
                <c:pt idx="5">
                  <c:v>1081</c:v>
                </c:pt>
                <c:pt idx="6">
                  <c:v>1354</c:v>
                </c:pt>
                <c:pt idx="7">
                  <c:v>1565</c:v>
                </c:pt>
                <c:pt idx="8">
                  <c:v>1599</c:v>
                </c:pt>
                <c:pt idx="9">
                  <c:v>1348</c:v>
                </c:pt>
                <c:pt idx="10">
                  <c:v>1154</c:v>
                </c:pt>
                <c:pt idx="11">
                  <c:v>1016</c:v>
                </c:pt>
                <c:pt idx="12">
                  <c:v>1001</c:v>
                </c:pt>
                <c:pt idx="13">
                  <c:v>1213</c:v>
                </c:pt>
                <c:pt idx="14">
                  <c:v>1201</c:v>
                </c:pt>
                <c:pt idx="15">
                  <c:v>1333</c:v>
                </c:pt>
                <c:pt idx="16">
                  <c:v>1265</c:v>
                </c:pt>
                <c:pt idx="17">
                  <c:v>1418</c:v>
                </c:pt>
                <c:pt idx="18">
                  <c:v>1455</c:v>
                </c:pt>
                <c:pt idx="19">
                  <c:v>1680</c:v>
                </c:pt>
                <c:pt idx="20">
                  <c:v>1410</c:v>
                </c:pt>
                <c:pt idx="21">
                  <c:v>1267</c:v>
                </c:pt>
                <c:pt idx="22">
                  <c:v>927</c:v>
                </c:pt>
                <c:pt idx="23">
                  <c:v>1230</c:v>
                </c:pt>
                <c:pt idx="24">
                  <c:v>1153</c:v>
                </c:pt>
                <c:pt idx="25">
                  <c:v>958</c:v>
                </c:pt>
              </c:numCache>
            </c:numRef>
          </c:val>
          <c:smooth val="0"/>
          <c:extLst>
            <c:ext xmlns:c16="http://schemas.microsoft.com/office/drawing/2014/chart" uri="{C3380CC4-5D6E-409C-BE32-E72D297353CC}">
              <c16:uniqueId val="{00000000-E4DD-40A0-ADA1-39ED744E9427}"/>
            </c:ext>
          </c:extLst>
        </c:ser>
        <c:ser>
          <c:idx val="1"/>
          <c:order val="1"/>
          <c:tx>
            <c:strRef>
              <c:f>US!$A$51</c:f>
              <c:strCache>
                <c:ptCount val="1"/>
                <c:pt idx="0">
                  <c:v>Počet rozhodnutí publikovaných v daném roce obsahujících alespoň jednu citaci</c:v>
                </c:pt>
              </c:strCache>
            </c:strRef>
          </c:tx>
          <c:spPr>
            <a:ln w="28575" cap="rnd">
              <a:solidFill>
                <a:schemeClr val="accent3"/>
              </a:solidFill>
              <a:round/>
            </a:ln>
            <a:effectLst/>
          </c:spPr>
          <c:marker>
            <c:symbol val="none"/>
          </c:marker>
          <c:cat>
            <c:numRef>
              <c:f>US!$B$13:$AA$13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US!$B$15:$AA$15</c:f>
              <c:numCache>
                <c:formatCode>General</c:formatCode>
                <c:ptCount val="26"/>
                <c:pt idx="0">
                  <c:v>7</c:v>
                </c:pt>
                <c:pt idx="1">
                  <c:v>68</c:v>
                </c:pt>
                <c:pt idx="2">
                  <c:v>200</c:v>
                </c:pt>
                <c:pt idx="3">
                  <c:v>254</c:v>
                </c:pt>
                <c:pt idx="4">
                  <c:v>384</c:v>
                </c:pt>
                <c:pt idx="5">
                  <c:v>547</c:v>
                </c:pt>
                <c:pt idx="6">
                  <c:v>726</c:v>
                </c:pt>
                <c:pt idx="7">
                  <c:v>1022</c:v>
                </c:pt>
                <c:pt idx="8">
                  <c:v>1126</c:v>
                </c:pt>
                <c:pt idx="9">
                  <c:v>1348</c:v>
                </c:pt>
                <c:pt idx="10">
                  <c:v>1309</c:v>
                </c:pt>
                <c:pt idx="11">
                  <c:v>1530</c:v>
                </c:pt>
                <c:pt idx="12">
                  <c:v>1638</c:v>
                </c:pt>
                <c:pt idx="13">
                  <c:v>2033</c:v>
                </c:pt>
                <c:pt idx="14">
                  <c:v>2173</c:v>
                </c:pt>
                <c:pt idx="15">
                  <c:v>2087</c:v>
                </c:pt>
                <c:pt idx="16">
                  <c:v>2176</c:v>
                </c:pt>
                <c:pt idx="17">
                  <c:v>2304</c:v>
                </c:pt>
                <c:pt idx="18">
                  <c:v>2257</c:v>
                </c:pt>
                <c:pt idx="19">
                  <c:v>2885</c:v>
                </c:pt>
                <c:pt idx="20">
                  <c:v>2390</c:v>
                </c:pt>
                <c:pt idx="21">
                  <c:v>3128</c:v>
                </c:pt>
                <c:pt idx="22">
                  <c:v>2930</c:v>
                </c:pt>
                <c:pt idx="23">
                  <c:v>3119</c:v>
                </c:pt>
                <c:pt idx="24">
                  <c:v>3200</c:v>
                </c:pt>
                <c:pt idx="25">
                  <c:v>2398</c:v>
                </c:pt>
              </c:numCache>
            </c:numRef>
          </c:val>
          <c:smooth val="0"/>
          <c:extLst>
            <c:ext xmlns:c16="http://schemas.microsoft.com/office/drawing/2014/chart" uri="{C3380CC4-5D6E-409C-BE32-E72D297353CC}">
              <c16:uniqueId val="{00000001-E4DD-40A0-ADA1-39ED744E9427}"/>
            </c:ext>
          </c:extLst>
        </c:ser>
        <c:ser>
          <c:idx val="2"/>
          <c:order val="2"/>
          <c:tx>
            <c:strRef>
              <c:f>US!$A$52</c:f>
              <c:strCache>
                <c:ptCount val="1"/>
                <c:pt idx="0">
                  <c:v>Počet rozhodnutí publikovaných v daném roce</c:v>
                </c:pt>
              </c:strCache>
            </c:strRef>
          </c:tx>
          <c:spPr>
            <a:ln w="28575" cap="rnd">
              <a:solidFill>
                <a:schemeClr val="accent3">
                  <a:tint val="65000"/>
                </a:schemeClr>
              </a:solidFill>
              <a:round/>
            </a:ln>
            <a:effectLst/>
          </c:spPr>
          <c:marker>
            <c:symbol val="none"/>
          </c:marker>
          <c:cat>
            <c:numRef>
              <c:f>US!$B$13:$AA$13</c:f>
              <c:numCache>
                <c:formatCode>General</c:formatCode>
                <c:ptCount val="26"/>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numCache>
            </c:numRef>
          </c:cat>
          <c:val>
            <c:numRef>
              <c:f>US!$B$19:$AA$19</c:f>
              <c:numCache>
                <c:formatCode>General</c:formatCode>
                <c:ptCount val="26"/>
                <c:pt idx="0">
                  <c:v>225</c:v>
                </c:pt>
                <c:pt idx="1">
                  <c:v>626</c:v>
                </c:pt>
                <c:pt idx="2">
                  <c:v>775</c:v>
                </c:pt>
                <c:pt idx="3">
                  <c:v>1038</c:v>
                </c:pt>
                <c:pt idx="4">
                  <c:v>1368</c:v>
                </c:pt>
                <c:pt idx="5">
                  <c:v>1628</c:v>
                </c:pt>
                <c:pt idx="6">
                  <c:v>2080</c:v>
                </c:pt>
                <c:pt idx="7">
                  <c:v>2587</c:v>
                </c:pt>
                <c:pt idx="8">
                  <c:v>2825</c:v>
                </c:pt>
                <c:pt idx="9">
                  <c:v>2696</c:v>
                </c:pt>
                <c:pt idx="10">
                  <c:v>2463</c:v>
                </c:pt>
                <c:pt idx="11">
                  <c:v>2546</c:v>
                </c:pt>
                <c:pt idx="12">
                  <c:v>2639</c:v>
                </c:pt>
                <c:pt idx="13">
                  <c:v>3246</c:v>
                </c:pt>
                <c:pt idx="14">
                  <c:v>3374</c:v>
                </c:pt>
                <c:pt idx="15">
                  <c:v>3420</c:v>
                </c:pt>
                <c:pt idx="16">
                  <c:v>3441</c:v>
                </c:pt>
                <c:pt idx="17">
                  <c:v>3722</c:v>
                </c:pt>
                <c:pt idx="18">
                  <c:v>3712</c:v>
                </c:pt>
                <c:pt idx="19">
                  <c:v>4565</c:v>
                </c:pt>
                <c:pt idx="20">
                  <c:v>3800</c:v>
                </c:pt>
                <c:pt idx="21">
                  <c:v>4395</c:v>
                </c:pt>
                <c:pt idx="22">
                  <c:v>3857</c:v>
                </c:pt>
                <c:pt idx="23">
                  <c:v>4349</c:v>
                </c:pt>
                <c:pt idx="24">
                  <c:v>4353</c:v>
                </c:pt>
                <c:pt idx="25">
                  <c:v>3356</c:v>
                </c:pt>
              </c:numCache>
            </c:numRef>
          </c:val>
          <c:smooth val="0"/>
          <c:extLst>
            <c:ext xmlns:c16="http://schemas.microsoft.com/office/drawing/2014/chart" uri="{C3380CC4-5D6E-409C-BE32-E72D297353CC}">
              <c16:uniqueId val="{00000002-E4DD-40A0-ADA1-39ED744E9427}"/>
            </c:ext>
          </c:extLst>
        </c:ser>
        <c:dLbls>
          <c:showLegendKey val="0"/>
          <c:showVal val="0"/>
          <c:showCatName val="0"/>
          <c:showSerName val="0"/>
          <c:showPercent val="0"/>
          <c:showBubbleSize val="0"/>
        </c:dLbls>
        <c:smooth val="0"/>
        <c:axId val="698643807"/>
        <c:axId val="698648799"/>
      </c:lineChart>
      <c:catAx>
        <c:axId val="698643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98648799"/>
        <c:crosses val="autoZero"/>
        <c:auto val="1"/>
        <c:lblAlgn val="ctr"/>
        <c:lblOffset val="100"/>
        <c:noMultiLvlLbl val="0"/>
      </c:catAx>
      <c:valAx>
        <c:axId val="69864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98643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10.xml><?xml version="1.0" encoding="utf-8"?>
<cs:colorStyle xmlns:cs="http://schemas.microsoft.com/office/drawing/2012/chartStyle" xmlns:a="http://schemas.openxmlformats.org/drawingml/2006/main" meth="withinLinear" id="16">
  <a:schemeClr val="accent3"/>
</cs:colorStyle>
</file>

<file path=word/charts/colors11.xml><?xml version="1.0" encoding="utf-8"?>
<cs:colorStyle xmlns:cs="http://schemas.microsoft.com/office/drawing/2012/chartStyle" xmlns:a="http://schemas.openxmlformats.org/drawingml/2006/main" meth="withinLinear" id="16">
  <a:schemeClr val="accent3"/>
</cs:colorStyle>
</file>

<file path=word/charts/colors12.xml><?xml version="1.0" encoding="utf-8"?>
<cs:colorStyle xmlns:cs="http://schemas.microsoft.com/office/drawing/2012/chartStyle" xmlns:a="http://schemas.openxmlformats.org/drawingml/2006/main" meth="withinLinear" id="16">
  <a:schemeClr val="accent3"/>
</cs:colorStyle>
</file>

<file path=word/charts/colors13.xml><?xml version="1.0" encoding="utf-8"?>
<cs:colorStyle xmlns:cs="http://schemas.microsoft.com/office/drawing/2012/chartStyle" xmlns:a="http://schemas.openxmlformats.org/drawingml/2006/main" meth="withinLinear" id="16">
  <a:schemeClr val="accent3"/>
</cs:colorStyle>
</file>

<file path=word/charts/colors14.xml><?xml version="1.0" encoding="utf-8"?>
<cs:colorStyle xmlns:cs="http://schemas.microsoft.com/office/drawing/2012/chartStyle" xmlns:a="http://schemas.openxmlformats.org/drawingml/2006/main" meth="withinLinear" id="16">
  <a:schemeClr val="accent3"/>
</cs:colorStyle>
</file>

<file path=word/charts/colors15.xml><?xml version="1.0" encoding="utf-8"?>
<cs:colorStyle xmlns:cs="http://schemas.microsoft.com/office/drawing/2012/chartStyle" xmlns:a="http://schemas.openxmlformats.org/drawingml/2006/main" meth="withinLinear" id="16">
  <a:schemeClr val="accent3"/>
</cs:colorStyle>
</file>

<file path=word/charts/colors16.xml><?xml version="1.0" encoding="utf-8"?>
<cs:colorStyle xmlns:cs="http://schemas.microsoft.com/office/drawing/2012/chartStyle" xmlns:a="http://schemas.openxmlformats.org/drawingml/2006/main" meth="withinLinear" id="16">
  <a:schemeClr val="accent3"/>
</cs:colorStyle>
</file>

<file path=word/charts/colors17.xml><?xml version="1.0" encoding="utf-8"?>
<cs:colorStyle xmlns:cs="http://schemas.microsoft.com/office/drawing/2012/chartStyle" xmlns:a="http://schemas.openxmlformats.org/drawingml/2006/main" meth="withinLinear" id="16">
  <a:schemeClr val="accent3"/>
</cs:colorStyle>
</file>

<file path=word/charts/colors18.xml><?xml version="1.0" encoding="utf-8"?>
<cs:colorStyle xmlns:cs="http://schemas.microsoft.com/office/drawing/2012/chartStyle" xmlns:a="http://schemas.openxmlformats.org/drawingml/2006/main" meth="withinLinear" id="16">
  <a:schemeClr val="accent3"/>
</cs:colorStyle>
</file>

<file path=word/charts/colors19.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20.xml><?xml version="1.0" encoding="utf-8"?>
<cs:colorStyle xmlns:cs="http://schemas.microsoft.com/office/drawing/2012/chartStyle" xmlns:a="http://schemas.openxmlformats.org/drawingml/2006/main" meth="withinLinear" id="16">
  <a:schemeClr val="accent3"/>
</cs:colorStyle>
</file>

<file path=word/charts/colors21.xml><?xml version="1.0" encoding="utf-8"?>
<cs:colorStyle xmlns:cs="http://schemas.microsoft.com/office/drawing/2012/chartStyle" xmlns:a="http://schemas.openxmlformats.org/drawingml/2006/main" meth="withinLinear" id="16">
  <a:schemeClr val="accent3"/>
</cs:colorStyle>
</file>

<file path=word/charts/colors22.xml><?xml version="1.0" encoding="utf-8"?>
<cs:colorStyle xmlns:cs="http://schemas.microsoft.com/office/drawing/2012/chartStyle" xmlns:a="http://schemas.openxmlformats.org/drawingml/2006/main" meth="withinLinear" id="16">
  <a:schemeClr val="accent3"/>
</cs:colorStyle>
</file>

<file path=word/charts/colors23.xml><?xml version="1.0" encoding="utf-8"?>
<cs:colorStyle xmlns:cs="http://schemas.microsoft.com/office/drawing/2012/chartStyle" xmlns:a="http://schemas.openxmlformats.org/drawingml/2006/main" meth="withinLinear" id="16">
  <a:schemeClr val="accent3"/>
</cs:colorStyle>
</file>

<file path=word/charts/colors24.xml><?xml version="1.0" encoding="utf-8"?>
<cs:colorStyle xmlns:cs="http://schemas.microsoft.com/office/drawing/2012/chartStyle" xmlns:a="http://schemas.openxmlformats.org/drawingml/2006/main" meth="withinLinear" id="16">
  <a:schemeClr val="accent3"/>
</cs:colorStyle>
</file>

<file path=word/charts/colors25.xml><?xml version="1.0" encoding="utf-8"?>
<cs:colorStyle xmlns:cs="http://schemas.microsoft.com/office/drawing/2012/chartStyle" xmlns:a="http://schemas.openxmlformats.org/drawingml/2006/main" meth="withinLinear" id="16">
  <a:schemeClr val="accent3"/>
</cs:colorStyle>
</file>

<file path=word/charts/colors26.xml><?xml version="1.0" encoding="utf-8"?>
<cs:colorStyle xmlns:cs="http://schemas.microsoft.com/office/drawing/2012/chartStyle" xmlns:a="http://schemas.openxmlformats.org/drawingml/2006/main" meth="withinLinear" id="16">
  <a:schemeClr val="accent3"/>
</cs:colorStyle>
</file>

<file path=word/charts/colors27.xml><?xml version="1.0" encoding="utf-8"?>
<cs:colorStyle xmlns:cs="http://schemas.microsoft.com/office/drawing/2012/chartStyle" xmlns:a="http://schemas.openxmlformats.org/drawingml/2006/main" meth="withinLinear" id="16">
  <a:schemeClr val="accent3"/>
</cs:colorStyle>
</file>

<file path=word/charts/colors28.xml><?xml version="1.0" encoding="utf-8"?>
<cs:colorStyle xmlns:cs="http://schemas.microsoft.com/office/drawing/2012/chartStyle" xmlns:a="http://schemas.openxmlformats.org/drawingml/2006/main" meth="withinLinear" id="16">
  <a:schemeClr val="accent3"/>
</cs:colorStyle>
</file>

<file path=word/charts/colors29.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30.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colors9.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EA52A896664F37BBD44D3F69014874"/>
        <w:category>
          <w:name w:val="Obecné"/>
          <w:gallery w:val="placeholder"/>
        </w:category>
        <w:types>
          <w:type w:val="bbPlcHdr"/>
        </w:types>
        <w:behaviors>
          <w:behavior w:val="content"/>
        </w:behaviors>
        <w:guid w:val="{523D0981-807C-4FFB-9936-9DC472F74020}"/>
      </w:docPartPr>
      <w:docPartBody>
        <w:p w:rsidR="009C016F" w:rsidRDefault="00000000">
          <w:pPr>
            <w:pStyle w:val="EBEA52A896664F37BBD44D3F69014874"/>
          </w:pPr>
          <w:r w:rsidRPr="001133CC">
            <w:rPr>
              <w:rStyle w:val="Zstupntext"/>
            </w:rPr>
            <w:t>[Autor]</w:t>
          </w:r>
        </w:p>
      </w:docPartBody>
    </w:docPart>
    <w:docPart>
      <w:docPartPr>
        <w:name w:val="EF8689645E11441FA74075A7FBF85A39"/>
        <w:category>
          <w:name w:val="Obecné"/>
          <w:gallery w:val="placeholder"/>
        </w:category>
        <w:types>
          <w:type w:val="bbPlcHdr"/>
        </w:types>
        <w:behaviors>
          <w:behavior w:val="content"/>
        </w:behaviors>
        <w:guid w:val="{E1429E0C-2AAC-433E-85F9-D08BC19606AC}"/>
      </w:docPartPr>
      <w:docPartBody>
        <w:p w:rsidR="009C016F" w:rsidRDefault="00000000">
          <w:pPr>
            <w:pStyle w:val="EF8689645E11441FA74075A7FBF85A39"/>
          </w:pPr>
          <w:r>
            <w:rPr>
              <w:rStyle w:val="Zstupntext"/>
            </w:rPr>
            <w:t>[Rok odevzdání práce]</w:t>
          </w:r>
        </w:p>
      </w:docPartBody>
    </w:docPart>
    <w:docPart>
      <w:docPartPr>
        <w:name w:val="7BA7505FF2774B84857BACCC4A11AE7D"/>
        <w:category>
          <w:name w:val="Obecné"/>
          <w:gallery w:val="placeholder"/>
        </w:category>
        <w:types>
          <w:type w:val="bbPlcHdr"/>
        </w:types>
        <w:behaviors>
          <w:behavior w:val="content"/>
        </w:behaviors>
        <w:guid w:val="{BFFE897E-F1F2-461C-B901-E680EA593AF3}"/>
      </w:docPartPr>
      <w:docPartBody>
        <w:p w:rsidR="009C016F" w:rsidRDefault="00000000">
          <w:pPr>
            <w:pStyle w:val="7BA7505FF2774B84857BACCC4A11AE7D"/>
          </w:pPr>
          <w:r w:rsidRPr="00060E55">
            <w:rPr>
              <w:rStyle w:val="Zstupntext"/>
            </w:rPr>
            <w:t>[Autor]</w:t>
          </w:r>
        </w:p>
      </w:docPartBody>
    </w:docPart>
    <w:docPart>
      <w:docPartPr>
        <w:name w:val="70417ADB52CB423BB465818EFD49F97E"/>
        <w:category>
          <w:name w:val="Obecné"/>
          <w:gallery w:val="placeholder"/>
        </w:category>
        <w:types>
          <w:type w:val="bbPlcHdr"/>
        </w:types>
        <w:behaviors>
          <w:behavior w:val="content"/>
        </w:behaviors>
        <w:guid w:val="{6B21E5DD-F997-4E87-B0B0-7EA55E988D20}"/>
      </w:docPartPr>
      <w:docPartBody>
        <w:p w:rsidR="009C016F" w:rsidRDefault="00000000">
          <w:pPr>
            <w:pStyle w:val="70417ADB52CB423BB465818EFD49F97E"/>
          </w:pPr>
          <w:r w:rsidRPr="00060E55">
            <w:rPr>
              <w:rStyle w:val="Zstupntext"/>
            </w:rPr>
            <w:t>[Název]</w:t>
          </w:r>
        </w:p>
      </w:docPartBody>
    </w:docPart>
    <w:docPart>
      <w:docPartPr>
        <w:name w:val="77CE9452F1694B49838DF3A93882AECB"/>
        <w:category>
          <w:name w:val="Obecné"/>
          <w:gallery w:val="placeholder"/>
        </w:category>
        <w:types>
          <w:type w:val="bbPlcHdr"/>
        </w:types>
        <w:behaviors>
          <w:behavior w:val="content"/>
        </w:behaviors>
        <w:guid w:val="{A8A00830-2272-46BC-8F2C-A556DDA6E1F4}"/>
      </w:docPartPr>
      <w:docPartBody>
        <w:p w:rsidR="009C016F" w:rsidRDefault="00000000">
          <w:pPr>
            <w:pStyle w:val="77CE9452F1694B49838DF3A93882AECB"/>
          </w:pPr>
          <w:r w:rsidRPr="00746487">
            <w:rPr>
              <w:rStyle w:val="Zstupntext"/>
            </w:rPr>
            <w:t>[Nadřízený]</w:t>
          </w:r>
        </w:p>
      </w:docPartBody>
    </w:docPart>
    <w:docPart>
      <w:docPartPr>
        <w:name w:val="58A2465687A7485D84CB149FA71E1F89"/>
        <w:category>
          <w:name w:val="Obecné"/>
          <w:gallery w:val="placeholder"/>
        </w:category>
        <w:types>
          <w:type w:val="bbPlcHdr"/>
        </w:types>
        <w:behaviors>
          <w:behavior w:val="content"/>
        </w:behaviors>
        <w:guid w:val="{90D0EED8-4FF4-4AFB-9E25-0B2D5141474F}"/>
      </w:docPartPr>
      <w:docPartBody>
        <w:p w:rsidR="009C016F" w:rsidRDefault="00000000">
          <w:pPr>
            <w:pStyle w:val="58A2465687A7485D84CB149FA71E1F89"/>
          </w:pPr>
          <w:r w:rsidRPr="00746487">
            <w:rPr>
              <w:rStyle w:val="Zstupntext"/>
            </w:rPr>
            <w:t xml:space="preserve">[Napište 5–10 klíčových slov v češtině. Stejný seznam musí být vložen do </w:t>
          </w:r>
          <w:r w:rsidRPr="009E515C">
            <w:rPr>
              <w:rStyle w:val="Zstupntext"/>
            </w:rPr>
            <w:t>Archiv</w:t>
          </w:r>
          <w:r>
            <w:rPr>
              <w:rStyle w:val="Zstupntext"/>
            </w:rPr>
            <w:t>u</w:t>
          </w:r>
          <w:r w:rsidRPr="009E515C">
            <w:rPr>
              <w:rStyle w:val="Zstupntext"/>
            </w:rPr>
            <w:t xml:space="preserve"> závěrečné práce</w:t>
          </w:r>
          <w:r w:rsidRPr="00746487">
            <w:rPr>
              <w:rStyle w:val="Zstupntext"/>
            </w:rPr>
            <w:t xml:space="preserve"> v</w:t>
          </w:r>
          <w:r>
            <w:rPr>
              <w:rStyle w:val="Zstupntext"/>
            </w:rPr>
            <w:t> I</w:t>
          </w:r>
          <w:r w:rsidRPr="00746487">
            <w:rPr>
              <w:rStyle w:val="Zstupntext"/>
            </w:rPr>
            <w:t>nformačním systému MU.]</w:t>
          </w:r>
        </w:p>
      </w:docPartBody>
    </w:docPart>
    <w:docPart>
      <w:docPartPr>
        <w:name w:val="0C64BB55C15243E6B61E312AC126AB98"/>
        <w:category>
          <w:name w:val="Obecné"/>
          <w:gallery w:val="placeholder"/>
        </w:category>
        <w:types>
          <w:type w:val="bbPlcHdr"/>
        </w:types>
        <w:behaviors>
          <w:behavior w:val="content"/>
        </w:behaviors>
        <w:guid w:val="{023F2532-FFF9-4F39-916B-470FE88BD05E}"/>
      </w:docPartPr>
      <w:docPartBody>
        <w:p w:rsidR="009C016F" w:rsidRDefault="00000000">
          <w:pPr>
            <w:pStyle w:val="0C64BB55C15243E6B61E312AC126AB98"/>
          </w:pPr>
          <w:r w:rsidRPr="00060E55">
            <w:rPr>
              <w:rStyle w:val="Zstupntext"/>
            </w:rPr>
            <w:t>[Autor]</w:t>
          </w:r>
        </w:p>
      </w:docPartBody>
    </w:docPart>
    <w:docPart>
      <w:docPartPr>
        <w:name w:val="E0833BCF1E39444D816A2B56FBBDFE25"/>
        <w:category>
          <w:name w:val="Obecné"/>
          <w:gallery w:val="placeholder"/>
        </w:category>
        <w:types>
          <w:type w:val="bbPlcHdr"/>
        </w:types>
        <w:behaviors>
          <w:behavior w:val="content"/>
        </w:behaviors>
        <w:guid w:val="{094A305E-0F74-4E09-A5AB-FC25F84D3041}"/>
      </w:docPartPr>
      <w:docPartBody>
        <w:p w:rsidR="009C016F" w:rsidRDefault="00000000">
          <w:pPr>
            <w:pStyle w:val="E0833BCF1E39444D816A2B56FBBDFE25"/>
          </w:pPr>
          <w:r w:rsidRPr="00F01F66">
            <w:rPr>
              <w:rStyle w:val="Zstupntext"/>
            </w:rPr>
            <w:t>[Vyberte anglický název katedry nebo ústavu]</w:t>
          </w:r>
        </w:p>
      </w:docPartBody>
    </w:docPart>
    <w:docPart>
      <w:docPartPr>
        <w:name w:val="3FFC6E0FE1444DBD8AE1B77A0E007DC0"/>
        <w:category>
          <w:name w:val="Obecné"/>
          <w:gallery w:val="placeholder"/>
        </w:category>
        <w:types>
          <w:type w:val="bbPlcHdr"/>
        </w:types>
        <w:behaviors>
          <w:behavior w:val="content"/>
        </w:behaviors>
        <w:guid w:val="{A45DC98F-44CD-43F8-A9A5-66190262C735}"/>
      </w:docPartPr>
      <w:docPartBody>
        <w:p w:rsidR="009C016F" w:rsidRDefault="00000000">
          <w:pPr>
            <w:pStyle w:val="3FFC6E0FE1444DBD8AE1B77A0E007DC0"/>
          </w:pPr>
          <w:r w:rsidRPr="00746487">
            <w:rPr>
              <w:rStyle w:val="Zstupntext"/>
              <w:lang w:val="en-GB"/>
            </w:rPr>
            <w:t>[Klepněte a napište název práce v angličtině]</w:t>
          </w:r>
        </w:p>
      </w:docPartBody>
    </w:docPart>
    <w:docPart>
      <w:docPartPr>
        <w:name w:val="0CBAFC47D1DA4A4786C7AA7FB5869A1F"/>
        <w:category>
          <w:name w:val="Obecné"/>
          <w:gallery w:val="placeholder"/>
        </w:category>
        <w:types>
          <w:type w:val="bbPlcHdr"/>
        </w:types>
        <w:behaviors>
          <w:behavior w:val="content"/>
        </w:behaviors>
        <w:guid w:val="{14F31F2F-FF84-47BC-89A2-4FD6CD2E480D}"/>
      </w:docPartPr>
      <w:docPartBody>
        <w:p w:rsidR="009C016F" w:rsidRDefault="00000000">
          <w:pPr>
            <w:pStyle w:val="0CBAFC47D1DA4A4786C7AA7FB5869A1F"/>
          </w:pPr>
          <w:r w:rsidRPr="00F01F66">
            <w:rPr>
              <w:rStyle w:val="Zstupntext"/>
            </w:rPr>
            <w:t>Vyberte anglický název oboru</w:t>
          </w:r>
        </w:p>
      </w:docPartBody>
    </w:docPart>
    <w:docPart>
      <w:docPartPr>
        <w:name w:val="7E96710C19BD4D6F9587AC9BBDA5A40D"/>
        <w:category>
          <w:name w:val="Obecné"/>
          <w:gallery w:val="placeholder"/>
        </w:category>
        <w:types>
          <w:type w:val="bbPlcHdr"/>
        </w:types>
        <w:behaviors>
          <w:behavior w:val="content"/>
        </w:behaviors>
        <w:guid w:val="{BF032CE8-2A52-41C0-93DE-426C2FCF7150}"/>
      </w:docPartPr>
      <w:docPartBody>
        <w:p w:rsidR="009C016F" w:rsidRDefault="00000000">
          <w:pPr>
            <w:pStyle w:val="7E96710C19BD4D6F9587AC9BBDA5A40D"/>
          </w:pPr>
          <w:r w:rsidRPr="00746487">
            <w:rPr>
              <w:rStyle w:val="Zstupntext"/>
              <w:lang w:val="en-GB"/>
            </w:rPr>
            <w:t>[Nadřízený]</w:t>
          </w:r>
        </w:p>
      </w:docPartBody>
    </w:docPart>
    <w:docPart>
      <w:docPartPr>
        <w:name w:val="3BF812584C074465A38779038489EA30"/>
        <w:category>
          <w:name w:val="Obecné"/>
          <w:gallery w:val="placeholder"/>
        </w:category>
        <w:types>
          <w:type w:val="bbPlcHdr"/>
        </w:types>
        <w:behaviors>
          <w:behavior w:val="content"/>
        </w:behaviors>
        <w:guid w:val="{42AAB29B-DFE8-4BC4-8D55-6611CB9B2119}"/>
      </w:docPartPr>
      <w:docPartBody>
        <w:p w:rsidR="009C016F" w:rsidRDefault="00000000">
          <w:pPr>
            <w:pStyle w:val="3BF812584C074465A38779038489EA30"/>
          </w:pPr>
          <w:r w:rsidRPr="00781B50">
            <w:rPr>
              <w:rStyle w:val="Zstupntext"/>
              <w:lang w:val="en-GB"/>
            </w:rPr>
            <w:t>[Napište 5–10 klíčových slov v angličtině. Stejný seznam musí být vložen do Archivu závěrečné práce v Informačním systému MU.]</w:t>
          </w:r>
        </w:p>
        <w:bookmarkStart w:id="0" w:name="_Hlk48908568"/>
        <w:bookmarkEnd w:id="0"/>
      </w:docPartBody>
    </w:docPart>
    <w:docPart>
      <w:docPartPr>
        <w:name w:val="5FAEFBA245C84040A8E9E321ABA0384A"/>
        <w:category>
          <w:name w:val="Obecné"/>
          <w:gallery w:val="placeholder"/>
        </w:category>
        <w:types>
          <w:type w:val="bbPlcHdr"/>
        </w:types>
        <w:behaviors>
          <w:behavior w:val="content"/>
        </w:behaviors>
        <w:guid w:val="{10134F2D-1892-4201-9909-9DB1E3C52CF7}"/>
      </w:docPartPr>
      <w:docPartBody>
        <w:p w:rsidR="009C016F" w:rsidRDefault="00000000">
          <w:pPr>
            <w:pStyle w:val="5FAEFBA245C84040A8E9E321ABA0384A"/>
          </w:pPr>
          <w:r w:rsidRPr="001133CC">
            <w:rPr>
              <w:rStyle w:val="Zstupntext"/>
            </w:rPr>
            <w:t>[Název]</w:t>
          </w:r>
        </w:p>
      </w:docPartBody>
    </w:docPart>
    <w:docPart>
      <w:docPartPr>
        <w:name w:val="62A851425BDF4D63A8B9A408C85A60E5"/>
        <w:category>
          <w:name w:val="Obecné"/>
          <w:gallery w:val="placeholder"/>
        </w:category>
        <w:types>
          <w:type w:val="bbPlcHdr"/>
        </w:types>
        <w:behaviors>
          <w:behavior w:val="content"/>
        </w:behaviors>
        <w:guid w:val="{0E423942-1A15-4065-A15D-44B998531179}"/>
      </w:docPartPr>
      <w:docPartBody>
        <w:p w:rsidR="009C016F" w:rsidRDefault="00000000">
          <w:pPr>
            <w:pStyle w:val="62A851425BDF4D63A8B9A408C85A60E5"/>
          </w:pPr>
          <w:r w:rsidRPr="006174FE">
            <w:rPr>
              <w:rStyle w:val="Zstupntext"/>
            </w:rPr>
            <w:t>Zvolte položku.</w:t>
          </w:r>
        </w:p>
      </w:docPartBody>
    </w:docPart>
    <w:docPart>
      <w:docPartPr>
        <w:name w:val="3998CD38C6904F07B94089AC3C771DD2"/>
        <w:category>
          <w:name w:val="Obecné"/>
          <w:gallery w:val="placeholder"/>
        </w:category>
        <w:types>
          <w:type w:val="bbPlcHdr"/>
        </w:types>
        <w:behaviors>
          <w:behavior w:val="content"/>
        </w:behaviors>
        <w:guid w:val="{B21556B7-A261-4CDE-83D7-8F20D0B36257}"/>
      </w:docPartPr>
      <w:docPartBody>
        <w:p w:rsidR="009C016F" w:rsidRDefault="00000000">
          <w:pPr>
            <w:pStyle w:val="3998CD38C6904F07B94089AC3C771DD2"/>
          </w:pPr>
          <w:r w:rsidRPr="00152A7A">
            <w:rPr>
              <w:rStyle w:val="Zstupntext"/>
            </w:rPr>
            <w:t>[vyberte podle pohlaví]</w:t>
          </w:r>
        </w:p>
      </w:docPartBody>
    </w:docPart>
    <w:docPart>
      <w:docPartPr>
        <w:name w:val="4C77578820414263A4591EAE84601192"/>
        <w:category>
          <w:name w:val="Obecné"/>
          <w:gallery w:val="placeholder"/>
        </w:category>
        <w:types>
          <w:type w:val="bbPlcHdr"/>
        </w:types>
        <w:behaviors>
          <w:behavior w:val="content"/>
        </w:behaviors>
        <w:guid w:val="{626FEC19-EF9F-4131-A824-8B465906FD25}"/>
      </w:docPartPr>
      <w:docPartBody>
        <w:p w:rsidR="009C016F" w:rsidRDefault="00000000">
          <w:pPr>
            <w:pStyle w:val="4C77578820414263A4591EAE84601192"/>
          </w:pPr>
          <w:r w:rsidRPr="0001165A">
            <w:rPr>
              <w:rStyle w:val="Zstupntext"/>
            </w:rPr>
            <w:t>Klikněte nebo klepněte sem a zadejte datum.</w:t>
          </w:r>
        </w:p>
      </w:docPartBody>
    </w:docPart>
    <w:docPart>
      <w:docPartPr>
        <w:name w:val="D784CE3AF69D46D9A928C554CFB26D10"/>
        <w:category>
          <w:name w:val="Obecné"/>
          <w:gallery w:val="placeholder"/>
        </w:category>
        <w:types>
          <w:type w:val="bbPlcHdr"/>
        </w:types>
        <w:behaviors>
          <w:behavior w:val="content"/>
        </w:behaviors>
        <w:guid w:val="{CFD8F2BD-B57E-41DB-8B35-6F0FE9F0148E}"/>
      </w:docPartPr>
      <w:docPartBody>
        <w:p w:rsidR="009C016F" w:rsidRDefault="00000000">
          <w:pPr>
            <w:pStyle w:val="D784CE3AF69D46D9A928C554CFB26D10"/>
          </w:pPr>
          <w:r w:rsidRPr="00943580">
            <w:rPr>
              <w:rStyle w:val="Zstupntext"/>
            </w:rPr>
            <w:t>[Autor]</w:t>
          </w:r>
        </w:p>
      </w:docPartBody>
    </w:docPart>
    <w:docPart>
      <w:docPartPr>
        <w:name w:val="AB5D91C1CF66490CB7E6D75498947FE8"/>
        <w:category>
          <w:name w:val="Obecné"/>
          <w:gallery w:val="placeholder"/>
        </w:category>
        <w:types>
          <w:type w:val="bbPlcHdr"/>
        </w:types>
        <w:behaviors>
          <w:behavior w:val="content"/>
        </w:behaviors>
        <w:guid w:val="{2930F546-6081-419C-8459-7F085FCFFD78}"/>
      </w:docPartPr>
      <w:docPartBody>
        <w:p w:rsidR="009C016F" w:rsidRDefault="00000000">
          <w:pPr>
            <w:pStyle w:val="AB5D91C1CF66490CB7E6D75498947FE8"/>
          </w:pPr>
          <w:r>
            <w:t xml:space="preserve">     </w:t>
          </w:r>
        </w:p>
      </w:docPartBody>
    </w:docPart>
    <w:docPart>
      <w:docPartPr>
        <w:name w:val="0DA6E6A1300C46E8BBE8BEE2F53BF28A"/>
        <w:category>
          <w:name w:val="Obecné"/>
          <w:gallery w:val="placeholder"/>
        </w:category>
        <w:types>
          <w:type w:val="bbPlcHdr"/>
        </w:types>
        <w:behaviors>
          <w:behavior w:val="content"/>
        </w:behaviors>
        <w:guid w:val="{E3690692-B201-48BA-A582-B84A9C845F86}"/>
      </w:docPartPr>
      <w:docPartBody>
        <w:p w:rsidR="009C016F" w:rsidRDefault="00000000">
          <w:pPr>
            <w:pStyle w:val="0DA6E6A1300C46E8BBE8BEE2F53BF28A"/>
          </w:pPr>
          <w:r w:rsidRPr="009D6AD8">
            <w:rPr>
              <w:rStyle w:val="Zstupntext"/>
            </w:rPr>
            <w:t>[Název]</w:t>
          </w:r>
        </w:p>
      </w:docPartBody>
    </w:docPart>
    <w:docPart>
      <w:docPartPr>
        <w:name w:val="A2FB3DB9970748469CC874680C4AD0F6"/>
        <w:category>
          <w:name w:val="Obecné"/>
          <w:gallery w:val="placeholder"/>
        </w:category>
        <w:types>
          <w:type w:val="bbPlcHdr"/>
        </w:types>
        <w:behaviors>
          <w:behavior w:val="content"/>
        </w:behaviors>
        <w:guid w:val="{25EDEF1E-B85A-47EC-BCBD-391A99A2470B}"/>
      </w:docPartPr>
      <w:docPartBody>
        <w:p w:rsidR="009C016F" w:rsidRDefault="00176EAE" w:rsidP="00176EAE">
          <w:pPr>
            <w:pStyle w:val="A2FB3DB9970748469CC874680C4AD0F6"/>
          </w:pPr>
          <w:r>
            <w:rPr>
              <w:rStyle w:val="Zstupntext"/>
            </w:rPr>
            <w:t>[Rok odevzdání práce]</w:t>
          </w:r>
        </w:p>
      </w:docPartBody>
    </w:docPart>
    <w:docPart>
      <w:docPartPr>
        <w:name w:val="AE164FF7A7ED4E05A0A7742A1C127836"/>
        <w:category>
          <w:name w:val="Obecné"/>
          <w:gallery w:val="placeholder"/>
        </w:category>
        <w:types>
          <w:type w:val="bbPlcHdr"/>
        </w:types>
        <w:behaviors>
          <w:behavior w:val="content"/>
        </w:behaviors>
        <w:guid w:val="{A275DE45-52E4-49FF-B49A-F19DF6C11124}"/>
      </w:docPartPr>
      <w:docPartBody>
        <w:p w:rsidR="009C016F" w:rsidRDefault="00176EAE" w:rsidP="00176EAE">
          <w:pPr>
            <w:pStyle w:val="AE164FF7A7ED4E05A0A7742A1C127836"/>
          </w:pPr>
          <w:r>
            <w:rPr>
              <w:rStyle w:val="Zstupntext"/>
            </w:rPr>
            <w:t>[Rok odevzdání práce]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AE"/>
    <w:rsid w:val="000276C7"/>
    <w:rsid w:val="000700FA"/>
    <w:rsid w:val="000811E6"/>
    <w:rsid w:val="000B17A2"/>
    <w:rsid w:val="00176EAE"/>
    <w:rsid w:val="002064CE"/>
    <w:rsid w:val="002D03A9"/>
    <w:rsid w:val="003127DE"/>
    <w:rsid w:val="003321A5"/>
    <w:rsid w:val="003C536C"/>
    <w:rsid w:val="00457732"/>
    <w:rsid w:val="004C6549"/>
    <w:rsid w:val="004F16AB"/>
    <w:rsid w:val="00546333"/>
    <w:rsid w:val="005B517D"/>
    <w:rsid w:val="008721DD"/>
    <w:rsid w:val="008D0602"/>
    <w:rsid w:val="00961A6C"/>
    <w:rsid w:val="009C016F"/>
    <w:rsid w:val="009E7FFA"/>
    <w:rsid w:val="00A629A6"/>
    <w:rsid w:val="00AA0890"/>
    <w:rsid w:val="00AA5D0E"/>
    <w:rsid w:val="00AE0D1D"/>
    <w:rsid w:val="00B270CF"/>
    <w:rsid w:val="00B34B29"/>
    <w:rsid w:val="00B8378F"/>
    <w:rsid w:val="00B9441E"/>
    <w:rsid w:val="00C01CFC"/>
    <w:rsid w:val="00C01F3E"/>
    <w:rsid w:val="00D5784C"/>
    <w:rsid w:val="00D92648"/>
    <w:rsid w:val="00DF50F6"/>
    <w:rsid w:val="00E50C6B"/>
    <w:rsid w:val="00E63D2E"/>
    <w:rsid w:val="00F241E7"/>
    <w:rsid w:val="00F857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A5D0E"/>
    <w:rPr>
      <w:color w:val="808080"/>
    </w:rPr>
  </w:style>
  <w:style w:type="paragraph" w:customStyle="1" w:styleId="EBEA52A896664F37BBD44D3F69014874">
    <w:name w:val="EBEA52A896664F37BBD44D3F69014874"/>
  </w:style>
  <w:style w:type="paragraph" w:customStyle="1" w:styleId="EF8689645E11441FA74075A7FBF85A39">
    <w:name w:val="EF8689645E11441FA74075A7FBF85A39"/>
  </w:style>
  <w:style w:type="paragraph" w:customStyle="1" w:styleId="7BA7505FF2774B84857BACCC4A11AE7D">
    <w:name w:val="7BA7505FF2774B84857BACCC4A11AE7D"/>
  </w:style>
  <w:style w:type="paragraph" w:customStyle="1" w:styleId="70417ADB52CB423BB465818EFD49F97E">
    <w:name w:val="70417ADB52CB423BB465818EFD49F97E"/>
  </w:style>
  <w:style w:type="paragraph" w:customStyle="1" w:styleId="77CE9452F1694B49838DF3A93882AECB">
    <w:name w:val="77CE9452F1694B49838DF3A93882AECB"/>
  </w:style>
  <w:style w:type="paragraph" w:customStyle="1" w:styleId="58A2465687A7485D84CB149FA71E1F89">
    <w:name w:val="58A2465687A7485D84CB149FA71E1F89"/>
  </w:style>
  <w:style w:type="paragraph" w:customStyle="1" w:styleId="0C64BB55C15243E6B61E312AC126AB98">
    <w:name w:val="0C64BB55C15243E6B61E312AC126AB98"/>
  </w:style>
  <w:style w:type="paragraph" w:customStyle="1" w:styleId="E0833BCF1E39444D816A2B56FBBDFE25">
    <w:name w:val="E0833BCF1E39444D816A2B56FBBDFE25"/>
  </w:style>
  <w:style w:type="paragraph" w:customStyle="1" w:styleId="3FFC6E0FE1444DBD8AE1B77A0E007DC0">
    <w:name w:val="3FFC6E0FE1444DBD8AE1B77A0E007DC0"/>
  </w:style>
  <w:style w:type="paragraph" w:customStyle="1" w:styleId="0CBAFC47D1DA4A4786C7AA7FB5869A1F">
    <w:name w:val="0CBAFC47D1DA4A4786C7AA7FB5869A1F"/>
  </w:style>
  <w:style w:type="paragraph" w:customStyle="1" w:styleId="7E96710C19BD4D6F9587AC9BBDA5A40D">
    <w:name w:val="7E96710C19BD4D6F9587AC9BBDA5A40D"/>
  </w:style>
  <w:style w:type="paragraph" w:customStyle="1" w:styleId="3BF812584C074465A38779038489EA30">
    <w:name w:val="3BF812584C074465A38779038489EA30"/>
  </w:style>
  <w:style w:type="paragraph" w:customStyle="1" w:styleId="5FAEFBA245C84040A8E9E321ABA0384A">
    <w:name w:val="5FAEFBA245C84040A8E9E321ABA0384A"/>
  </w:style>
  <w:style w:type="paragraph" w:customStyle="1" w:styleId="62A851425BDF4D63A8B9A408C85A60E5">
    <w:name w:val="62A851425BDF4D63A8B9A408C85A60E5"/>
  </w:style>
  <w:style w:type="paragraph" w:customStyle="1" w:styleId="3998CD38C6904F07B94089AC3C771DD2">
    <w:name w:val="3998CD38C6904F07B94089AC3C771DD2"/>
  </w:style>
  <w:style w:type="paragraph" w:customStyle="1" w:styleId="4C77578820414263A4591EAE84601192">
    <w:name w:val="4C77578820414263A4591EAE84601192"/>
  </w:style>
  <w:style w:type="paragraph" w:customStyle="1" w:styleId="D784CE3AF69D46D9A928C554CFB26D10">
    <w:name w:val="D784CE3AF69D46D9A928C554CFB26D10"/>
  </w:style>
  <w:style w:type="paragraph" w:customStyle="1" w:styleId="AB5D91C1CF66490CB7E6D75498947FE8">
    <w:name w:val="AB5D91C1CF66490CB7E6D75498947FE8"/>
  </w:style>
  <w:style w:type="paragraph" w:customStyle="1" w:styleId="0DA6E6A1300C46E8BBE8BEE2F53BF28A">
    <w:name w:val="0DA6E6A1300C46E8BBE8BEE2F53BF28A"/>
  </w:style>
  <w:style w:type="paragraph" w:customStyle="1" w:styleId="A2FB3DB9970748469CC874680C4AD0F6">
    <w:name w:val="A2FB3DB9970748469CC874680C4AD0F6"/>
    <w:rsid w:val="00176EAE"/>
  </w:style>
  <w:style w:type="paragraph" w:customStyle="1" w:styleId="AE164FF7A7ED4E05A0A7742A1C127836">
    <w:name w:val="AE164FF7A7ED4E05A0A7742A1C127836"/>
    <w:rsid w:val="00176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2.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7" ma:contentTypeDescription="Vytvoří nový dokument" ma:contentTypeScope="" ma:versionID="ac9f507721b520b5014780526db486ed">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9db40eeeb9aa35b6c0b2d67e042a5980"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A1668-7143-4DCF-B6FB-536B28195E15}">
  <ds:schemaRefs>
    <ds:schemaRef ds:uri="http://schemas.openxmlformats.org/officeDocument/2006/bibliography"/>
  </ds:schemaRefs>
</ds:datastoreItem>
</file>

<file path=customXml/itemProps2.xml><?xml version="1.0" encoding="utf-8"?>
<ds:datastoreItem xmlns:ds="http://schemas.openxmlformats.org/officeDocument/2006/customXml" ds:itemID="{674B6DE1-1359-4F9D-9333-5EF34851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4.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sablonaDP-MUNI-LAW-dis</Template>
  <TotalTime>3336</TotalTime>
  <Pages>188</Pages>
  <Words>41738</Words>
  <Characters>246258</Characters>
  <Application>Microsoft Office Word</Application>
  <DocSecurity>0</DocSecurity>
  <Lines>2052</Lines>
  <Paragraphs>574</Paragraphs>
  <ScaleCrop>false</ScaleCrop>
  <HeadingPairs>
    <vt:vector size="2" baseType="variant">
      <vt:variant>
        <vt:lpstr>Název</vt:lpstr>
      </vt:variant>
      <vt:variant>
        <vt:i4>1</vt:i4>
      </vt:variant>
    </vt:vector>
  </HeadingPairs>
  <TitlesOfParts>
    <vt:vector size="1" baseType="lpstr">
      <vt:lpstr>Síťová analýza v právu</vt:lpstr>
    </vt:vector>
  </TitlesOfParts>
  <Manager>JUDr. Mgr. Jakub Harašta, Ph.D.</Manager>
  <Company>Ústav práva a technologií</Company>
  <LinksUpToDate>false</LinksUpToDate>
  <CharactersWithSpaces>287422</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Síťová analýza v právu</dc:title>
  <dc:subject/>
  <dc:creator>Tereza Novotná</dc:creator>
  <cp:keywords/>
  <cp:lastModifiedBy>Tereza Novotná</cp:lastModifiedBy>
  <cp:revision>618</cp:revision>
  <cp:lastPrinted>2016-12-09T09:46:00Z</cp:lastPrinted>
  <dcterms:created xsi:type="dcterms:W3CDTF">2023-02-05T07:04:00Z</dcterms:created>
  <dcterms:modified xsi:type="dcterms:W3CDTF">2023-02-10T13:00:00Z</dcterms:modified>
  <cp:category>Napište akademický rok odevzdání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1">
    <vt:lpwstr>&lt;data data-version="3" zotero-version="5.0.74"&gt;&lt;session id="lwrhwz85"/&gt;&lt;style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y fmtid="{D5CDD505-2E9C-101B-9397-08002B2CF9AE}" pid="5" name="MU_SABLONA">
    <vt:lpwstr>LAW-dis</vt:lpwstr>
  </property>
  <property fmtid="{D5CDD505-2E9C-101B-9397-08002B2CF9AE}" pid="6" name="MU_VYGENEROVANO">
    <vt:filetime>2022-11-09T23:00:00Z</vt:filetime>
  </property>
  <property fmtid="{D5CDD505-2E9C-101B-9397-08002B2CF9AE}" pid="7" name="MU_LOGO">
    <vt:lpwstr>NOVE</vt:lpwstr>
  </property>
  <property fmtid="{D5CDD505-2E9C-101B-9397-08002B2CF9AE}" pid="8" name="MU_VERZE">
    <vt:lpwstr>3.4.1</vt:lpwstr>
  </property>
</Properties>
</file>