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C17D4" w14:textId="77777777" w:rsidR="00832CB3" w:rsidRPr="00152A7A" w:rsidRDefault="00832CB3" w:rsidP="00D83E7E">
      <w:pPr>
        <w:pStyle w:val="ZPTitulkafakulta"/>
        <w:spacing w:before="0" w:after="0" w:line="240" w:lineRule="auto"/>
      </w:pPr>
      <w:r w:rsidRPr="00152A7A">
        <w:rPr>
          <w:noProof/>
        </w:rPr>
        <mc:AlternateContent>
          <mc:Choice Requires="wps">
            <w:drawing>
              <wp:inline distT="0" distB="0" distL="0" distR="0" wp14:anchorId="7BA44DF4" wp14:editId="694F7B01">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69528FAF" w14:textId="77777777" w:rsidR="0072007C" w:rsidRDefault="0072007C" w:rsidP="00832CB3">
                            <w:pPr>
                              <w:pStyle w:val="ZPZhlavtitulnlist"/>
                              <w:pBdr>
                                <w:bottom w:val="none" w:sz="0" w:space="0" w:color="auto"/>
                              </w:pBdr>
                              <w:spacing w:after="0"/>
                              <w:rPr>
                                <w:rStyle w:val="ZP-NadpisyzkladChar"/>
                              </w:rPr>
                            </w:pPr>
                            <w:r>
                              <w:rPr>
                                <w:noProof/>
                              </w:rPr>
                              <w:drawing>
                                <wp:inline distT="0" distB="0" distL="0" distR="0" wp14:anchorId="4D4CDD64" wp14:editId="18D61342">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8">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1F5F2570" w14:textId="77777777" w:rsidR="0072007C" w:rsidRDefault="0072007C" w:rsidP="00832CB3">
                            <w:pPr>
                              <w:pStyle w:val="ZPTitulkafakulta"/>
                            </w:pPr>
                            <w:r w:rsidRPr="00DD5A2A">
                              <w:t>Právnická fakulta</w:t>
                            </w:r>
                          </w:p>
                          <w:p w14:paraId="202BECA4" w14:textId="77777777" w:rsidR="0072007C" w:rsidRDefault="0072007C"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t>Zdanění hazardu</w:t>
                                </w:r>
                              </w:sdtContent>
                            </w:sdt>
                          </w:p>
                        </w:txbxContent>
                      </wps:txbx>
                      <wps:bodyPr rot="0" vert="horz" wrap="square" lIns="91440" tIns="45720" rIns="91440" bIns="45720" anchor="t" anchorCtr="0">
                        <a:spAutoFit/>
                      </wps:bodyPr>
                    </wps:wsp>
                  </a:graphicData>
                </a:graphic>
              </wp:inline>
            </w:drawing>
          </mc:Choice>
          <mc:Fallback>
            <w:pict>
              <v:shapetype w14:anchorId="7BA44DF4"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" stroked="f">
                <v:textbox style="mso-fit-shape-to-text:t">
                  <w:txbxContent>
                    <w:p w14:paraId="69528FAF" w14:textId="77777777" w:rsidR="0072007C" w:rsidRDefault="0072007C" w:rsidP="00832CB3">
                      <w:pPr>
                        <w:pStyle w:val="ZPZhlavtitulnlist"/>
                        <w:pBdr>
                          <w:bottom w:val="none" w:sz="0" w:space="0" w:color="auto"/>
                        </w:pBdr>
                        <w:spacing w:after="0"/>
                        <w:rPr>
                          <w:rStyle w:val="ZP-NadpisyzkladChar"/>
                        </w:rPr>
                      </w:pPr>
                      <w:r>
                        <w:rPr>
                          <w:noProof/>
                        </w:rPr>
                        <w:drawing>
                          <wp:inline distT="0" distB="0" distL="0" distR="0" wp14:anchorId="4D4CDD64" wp14:editId="18D61342">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8">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1F5F2570" w14:textId="77777777" w:rsidR="0072007C" w:rsidRDefault="0072007C" w:rsidP="00832CB3">
                      <w:pPr>
                        <w:pStyle w:val="ZPTitulkafakulta"/>
                      </w:pPr>
                      <w:r w:rsidRPr="00DD5A2A">
                        <w:t>Právnická fakulta</w:t>
                      </w:r>
                    </w:p>
                    <w:p w14:paraId="202BECA4" w14:textId="77777777" w:rsidR="0072007C" w:rsidRDefault="0072007C"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t>Zdanění hazardu</w:t>
                          </w:r>
                        </w:sdtContent>
                      </w:sdt>
                    </w:p>
                  </w:txbxContent>
                </v:textbox>
                <w10:anchorlock/>
              </v:shape>
            </w:pict>
          </mc:Fallback>
        </mc:AlternateContent>
      </w:r>
    </w:p>
    <w:p w14:paraId="1CCAEE51" w14:textId="77777777" w:rsidR="00832CB3" w:rsidRPr="00152A7A" w:rsidRDefault="00B437DC" w:rsidP="00832CB3">
      <w:pPr>
        <w:pStyle w:val="ZPTitulkahlavn"/>
      </w:pPr>
      <w:sdt>
        <w:sdtPr>
          <w:id w:val="995605782"/>
          <w:placeholder>
            <w:docPart w:val="26177AEBA48A4AD1824854B31AAB2182"/>
          </w:placeholder>
          <w:comboBox>
            <w:listItem w:displayText="Zvolte druh závěrečné práce" w:value=""/>
            <w:listItem w:displayText="Diplomová práce" w:value="Diplomová práce"/>
            <w:listItem w:displayText="Bakalářská práce" w:value="Bakalářská práce"/>
          </w:comboBox>
        </w:sdtPr>
        <w:sdtContent>
          <w:r w:rsidR="00A02C80">
            <w:t>Diplomová práce</w:t>
          </w:r>
        </w:sdtContent>
      </w:sdt>
    </w:p>
    <w:p w14:paraId="30256C26" w14:textId="77777777" w:rsidR="00832CB3" w:rsidRPr="00152A7A" w:rsidRDefault="00B437DC" w:rsidP="00832CB3">
      <w:pPr>
        <w:pStyle w:val="ZPTitulkaautor"/>
      </w:pPr>
      <w:sdt>
        <w:sdtPr>
          <w:alias w:val="Autor"/>
          <w:tag w:val=""/>
          <w:id w:val="678628427"/>
          <w:placeholder>
            <w:docPart w:val="7D046CA9E13A49B0A91C5413950F462B"/>
          </w:placeholder>
          <w:dataBinding w:prefixMappings="xmlns:ns0='http://purl.org/dc/elements/1.1/' xmlns:ns1='http://schemas.openxmlformats.org/package/2006/metadata/core-properties' " w:xpath="/ns1:coreProperties[1]/ns0:creator[1]" w:storeItemID="{6C3C8BC8-F283-45AE-878A-BAB7291924A1}"/>
          <w:text/>
        </w:sdtPr>
        <w:sdtContent>
          <w:r w:rsidR="00306395">
            <w:t>Simona Marie Zdeňková</w:t>
          </w:r>
        </w:sdtContent>
      </w:sdt>
    </w:p>
    <w:p w14:paraId="26B2B5AA" w14:textId="77777777" w:rsidR="00832CB3" w:rsidRPr="00152A7A" w:rsidRDefault="00832CB3" w:rsidP="00704143">
      <w:pPr>
        <w:pStyle w:val="ZPTitulkadra"/>
      </w:pPr>
    </w:p>
    <w:p w14:paraId="30EFF5A7" w14:textId="77777777" w:rsidR="00B75A1B" w:rsidRPr="00152A7A" w:rsidRDefault="00830CE4" w:rsidP="00704143">
      <w:pPr>
        <w:pStyle w:val="ZPPatatitulnstrnky"/>
        <w:keepNext w:val="0"/>
        <w:keepLines w:val="0"/>
        <w:widowControl w:val="0"/>
      </w:pPr>
      <w:r w:rsidRPr="00152A7A">
        <w:rPr>
          <w:noProof/>
        </w:rPr>
        <mc:AlternateContent>
          <mc:Choice Requires="wps">
            <w:drawing>
              <wp:inline distT="0" distB="0" distL="0" distR="0" wp14:anchorId="292ECED3" wp14:editId="03C138FE">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46D2DF9E" w14:textId="77777777" w:rsidR="0072007C" w:rsidRDefault="0072007C" w:rsidP="006E36ED">
                            <w:pPr>
                              <w:pStyle w:val="ZPTitulkahlavn"/>
                              <w:spacing w:after="340"/>
                            </w:pPr>
                            <w:r>
                              <w:t xml:space="preserve">Vedoucí práce: </w:t>
                            </w:r>
                            <w:sdt>
                              <w:sdtPr>
                                <w:alias w:val="Nadřízený"/>
                                <w:tag w:val=""/>
                                <w:id w:val="321477507"/>
                                <w:dataBinding w:prefixMappings="xmlns:ns0='http://schemas.openxmlformats.org/officeDocument/2006/extended-properties' " w:xpath="/ns0:Properties[1]/ns0:Manager[1]" w:storeItemID="{6668398D-A668-4E3E-A5EB-62B293D839F1}"/>
                                <w:text/>
                              </w:sdtPr>
                              <w:sdtContent>
                                <w:r>
                                  <w:t>doc. JUDr. Ing. Michal Radvan, Ph.D.</w:t>
                                </w:r>
                              </w:sdtContent>
                            </w:sdt>
                          </w:p>
                          <w:p w14:paraId="22D97C01" w14:textId="77777777" w:rsidR="0072007C" w:rsidRDefault="0072007C" w:rsidP="00DD5A2A">
                            <w:pPr>
                              <w:pStyle w:val="ZPTitulkahlavn"/>
                            </w:pPr>
                            <w:r>
                              <w:t xml:space="preserve"> </w:t>
                            </w:r>
                            <w:bookmarkStart w:id="0" w:name="KATEDRA"/>
                            <w:sdt>
                              <w:sdtPr>
                                <w:id w:val="1524597887"/>
                                <w:comboBox>
                                  <w:listItem w:displayText="Zvolte katedru nebo ústav" w:value=""/>
                                  <w:listItem w:displayText="Katedra právní teorie" w:value="Katedra právní teorie"/>
                                  <w:listItem w:displayText="Katedra ústavního práva a politologie " w:value="Katedra ústavního práva a politologie "/>
                                  <w:listItem w:displayText="Katedra dějin státu a práva" w:value="Katedra dějin státu a práva"/>
                                  <w:listItem w:displayText="Katedra správní vědy a správního práva" w:value="Katedra správní vědy a správního práva"/>
                                  <w:listItem w:displayText="Katedra občanského práva" w:value="Katedra občanského práva"/>
                                  <w:listItem w:displayText="Katedra trestního práva" w:value="Katedra trestního práva"/>
                                  <w:listItem w:displayText="Katedra mezinárodního a evropského práva" w:value="Katedra mezinárodního a evropského práva"/>
                                  <w:listItem w:displayText="Katedra obchodního práva" w:value="Katedra obchodního práva"/>
                                  <w:listItem w:displayText="Katedra finančního práva a národního hospodářství" w:value="Katedra finančního práva a národního hospodářství"/>
                                  <w:listItem w:displayText="Katedra pracovního práva a sociálního zabezpečení" w:value="Katedra pracovního práva a sociálního zabezpečení"/>
                                  <w:listItem w:displayText="Katedra práva životního prostředí a pozemkového práva " w:value="Katedra práva životního prostředí a pozemkového práva "/>
                                  <w:listItem w:displayText="Ústav práva a technologií" w:value="Ústav práva a technologií"/>
                                  <w:listItem w:displayText="Ústav pro otázky soudnictví" w:value="Ústav pro otázky soudnictví"/>
                                </w:comboBox>
                              </w:sdtPr>
                              <w:sdtContent>
                                <w:r>
                                  <w:t>Katedra finančního práva a národního hospodářství</w:t>
                                </w:r>
                              </w:sdtContent>
                            </w:sdt>
                            <w:r>
                              <w:t xml:space="preserve"> </w:t>
                            </w:r>
                            <w:bookmarkEnd w:id="0"/>
                          </w:p>
                          <w:p w14:paraId="0C76F068" w14:textId="77777777" w:rsidR="0072007C" w:rsidRDefault="0072007C" w:rsidP="00940EE8">
                            <w:pPr>
                              <w:pStyle w:val="ZPTitulkahlavn"/>
                            </w:pPr>
                            <w:r w:rsidRPr="00FB7AC5">
                              <w:t xml:space="preserve">obor </w:t>
                            </w:r>
                            <w:bookmarkStart w:id="1" w:name="OBOR"/>
                            <w:sdt>
                              <w:sdtPr>
                                <w:alias w:val="Studijní obor"/>
                                <w:tag w:val="OBOR"/>
                                <w:id w:val="-790127104"/>
                                <w:comboBox>
                                  <w:listItem w:displayText="Vyberte obor" w:value=""/>
                                  <w:listItem w:displayText="Právo" w:value="Právo"/>
                                  <w:listItem w:displayText="Veřejná správa" w:value="Veřejná správa"/>
                                  <w:listItem w:displayText="Obchodněprávní studia" w:value="Obchodněprávní studia"/>
                                  <w:listItem w:displayText="Mezinárodněprávní obchodní studia" w:value="Mezinárodněprávní obchodní studia"/>
                                  <w:listItem w:displayText="Teorie a praxe trestního a správního procesu" w:value="Teorie a praxe trestního a správního procesu"/>
                                  <w:listItem w:displayText="Informatika ve veřejné správě" w:value="Informatika ve veřejné správě"/>
                                  <w:listItem w:displayText="Finance a právo" w:value="Finance a právo"/>
                                </w:comboBox>
                              </w:sdtPr>
                              <w:sdtContent>
                                <w:r>
                                  <w:t>Právo</w:t>
                                </w:r>
                              </w:sdtContent>
                            </w:sdt>
                            <w:bookmarkEnd w:id="1"/>
                            <w:r>
                              <w:t xml:space="preserve"> </w:t>
                            </w:r>
                          </w:p>
                        </w:txbxContent>
                      </wps:txbx>
                      <wps:bodyPr rot="0" vert="horz" wrap="square" lIns="91440" tIns="45720" rIns="91440" bIns="45720" anchor="t" anchorCtr="0">
                        <a:spAutoFit/>
                      </wps:bodyPr>
                    </wps:wsp>
                  </a:graphicData>
                </a:graphic>
              </wp:inline>
            </w:drawing>
          </mc:Choice>
          <mc:Fallback>
            <w:pict>
              <v:shape w14:anchorId="292ECED3"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" stroked="f">
                <v:textbox style="mso-fit-shape-to-text:t">
                  <w:txbxContent>
                    <w:p w14:paraId="46D2DF9E" w14:textId="77777777" w:rsidR="0072007C" w:rsidRDefault="0072007C" w:rsidP="006E36ED">
                      <w:pPr>
                        <w:pStyle w:val="ZPTitulkahlavn"/>
                        <w:spacing w:after="340"/>
                      </w:pPr>
                      <w:r>
                        <w:t xml:space="preserve">Vedoucí práce: </w:t>
                      </w:r>
                      <w:sdt>
                        <w:sdtPr>
                          <w:alias w:val="Nadřízený"/>
                          <w:tag w:val=""/>
                          <w:id w:val="321477507"/>
                          <w:dataBinding w:prefixMappings="xmlns:ns0='http://schemas.openxmlformats.org/officeDocument/2006/extended-properties' " w:xpath="/ns0:Properties[1]/ns0:Manager[1]" w:storeItemID="{6668398D-A668-4E3E-A5EB-62B293D839F1}"/>
                          <w:text/>
                        </w:sdtPr>
                        <w:sdtContent>
                          <w:r>
                            <w:t>doc. JUDr. Ing. Michal Radvan, Ph.D.</w:t>
                          </w:r>
                        </w:sdtContent>
                      </w:sdt>
                    </w:p>
                    <w:p w14:paraId="22D97C01" w14:textId="77777777" w:rsidR="0072007C" w:rsidRDefault="0072007C" w:rsidP="00DD5A2A">
                      <w:pPr>
                        <w:pStyle w:val="ZPTitulkahlavn"/>
                      </w:pPr>
                      <w:r>
                        <w:t xml:space="preserve"> </w:t>
                      </w:r>
                      <w:bookmarkStart w:id="2" w:name="KATEDRA"/>
                      <w:sdt>
                        <w:sdtPr>
                          <w:id w:val="1524597887"/>
                          <w:comboBox>
                            <w:listItem w:displayText="Zvolte katedru nebo ústav" w:value=""/>
                            <w:listItem w:displayText="Katedra právní teorie" w:value="Katedra právní teorie"/>
                            <w:listItem w:displayText="Katedra ústavního práva a politologie " w:value="Katedra ústavního práva a politologie "/>
                            <w:listItem w:displayText="Katedra dějin státu a práva" w:value="Katedra dějin státu a práva"/>
                            <w:listItem w:displayText="Katedra správní vědy a správního práva" w:value="Katedra správní vědy a správního práva"/>
                            <w:listItem w:displayText="Katedra občanského práva" w:value="Katedra občanského práva"/>
                            <w:listItem w:displayText="Katedra trestního práva" w:value="Katedra trestního práva"/>
                            <w:listItem w:displayText="Katedra mezinárodního a evropského práva" w:value="Katedra mezinárodního a evropského práva"/>
                            <w:listItem w:displayText="Katedra obchodního práva" w:value="Katedra obchodního práva"/>
                            <w:listItem w:displayText="Katedra finančního práva a národního hospodářství" w:value="Katedra finančního práva a národního hospodářství"/>
                            <w:listItem w:displayText="Katedra pracovního práva a sociálního zabezpečení" w:value="Katedra pracovního práva a sociálního zabezpečení"/>
                            <w:listItem w:displayText="Katedra práva životního prostředí a pozemkového práva " w:value="Katedra práva životního prostředí a pozemkového práva "/>
                            <w:listItem w:displayText="Ústav práva a technologií" w:value="Ústav práva a technologií"/>
                            <w:listItem w:displayText="Ústav pro otázky soudnictví" w:value="Ústav pro otázky soudnictví"/>
                          </w:comboBox>
                        </w:sdtPr>
                        <w:sdtContent>
                          <w:r>
                            <w:t>Katedra finančního práva a národního hospodářství</w:t>
                          </w:r>
                        </w:sdtContent>
                      </w:sdt>
                      <w:r>
                        <w:t xml:space="preserve"> </w:t>
                      </w:r>
                      <w:bookmarkEnd w:id="2"/>
                    </w:p>
                    <w:p w14:paraId="0C76F068" w14:textId="77777777" w:rsidR="0072007C" w:rsidRDefault="0072007C" w:rsidP="00940EE8">
                      <w:pPr>
                        <w:pStyle w:val="ZPTitulkahlavn"/>
                      </w:pPr>
                      <w:r w:rsidRPr="00FB7AC5">
                        <w:t xml:space="preserve">obor </w:t>
                      </w:r>
                      <w:bookmarkStart w:id="3" w:name="OBOR"/>
                      <w:sdt>
                        <w:sdtPr>
                          <w:alias w:val="Studijní obor"/>
                          <w:tag w:val="OBOR"/>
                          <w:id w:val="-790127104"/>
                          <w:comboBox>
                            <w:listItem w:displayText="Vyberte obor" w:value=""/>
                            <w:listItem w:displayText="Právo" w:value="Právo"/>
                            <w:listItem w:displayText="Veřejná správa" w:value="Veřejná správa"/>
                            <w:listItem w:displayText="Obchodněprávní studia" w:value="Obchodněprávní studia"/>
                            <w:listItem w:displayText="Mezinárodněprávní obchodní studia" w:value="Mezinárodněprávní obchodní studia"/>
                            <w:listItem w:displayText="Teorie a praxe trestního a správního procesu" w:value="Teorie a praxe trestního a správního procesu"/>
                            <w:listItem w:displayText="Informatika ve veřejné správě" w:value="Informatika ve veřejné správě"/>
                            <w:listItem w:displayText="Finance a právo" w:value="Finance a právo"/>
                          </w:comboBox>
                        </w:sdtPr>
                        <w:sdtContent>
                          <w:r>
                            <w:t>Právo</w:t>
                          </w:r>
                        </w:sdtContent>
                      </w:sdt>
                      <w:bookmarkEnd w:id="3"/>
                      <w:r>
                        <w:t xml:space="preserve"> </w:t>
                      </w:r>
                    </w:p>
                  </w:txbxContent>
                </v:textbox>
                <w10:anchorlock/>
              </v:shape>
            </w:pict>
          </mc:Fallback>
        </mc:AlternateContent>
      </w:r>
    </w:p>
    <w:p w14:paraId="00AFD8AB" w14:textId="77777777" w:rsidR="00825B26" w:rsidRPr="00152A7A" w:rsidRDefault="00DD5A2A" w:rsidP="00832CB3">
      <w:pPr>
        <w:pStyle w:val="ZPTitulkarok"/>
        <w:sectPr w:rsidR="00825B26" w:rsidRPr="00152A7A" w:rsidSect="00E37130">
          <w:headerReference w:type="even" r:id="rId9"/>
          <w:footerReference w:type="even" r:id="rId10"/>
          <w:pgSz w:w="11906" w:h="16838" w:code="9"/>
          <w:pgMar w:top="2381" w:right="2019" w:bottom="2381" w:left="505" w:header="2019" w:footer="1276" w:gutter="2019"/>
          <w:cols w:space="708"/>
          <w:vAlign w:val="both"/>
          <w:titlePg/>
          <w:docGrid w:linePitch="360"/>
        </w:sectPr>
      </w:pPr>
      <w:r w:rsidRPr="00152A7A">
        <w:t>Brno</w:t>
      </w:r>
      <w:r w:rsidR="007468F6" w:rsidRPr="00152A7A">
        <w:t xml:space="preserve"> </w:t>
      </w:r>
      <w:sdt>
        <w:sdtPr>
          <w:alias w:val="Akademický rok"/>
          <w:tag w:val=""/>
          <w:id w:val="1601917966"/>
          <w:placeholder>
            <w:docPart w:val="ABD31EBB3A7D4506B472B733FCA8BD1E"/>
          </w:placeholder>
          <w:dataBinding w:prefixMappings="xmlns:ns0='http://purl.org/dc/elements/1.1/' xmlns:ns1='http://schemas.openxmlformats.org/package/2006/metadata/core-properties' " w:xpath="/ns1:coreProperties[1]/ns1:category[1]" w:storeItemID="{6C3C8BC8-F283-45AE-878A-BAB7291924A1}"/>
          <w:text/>
        </w:sdtPr>
        <w:sdtContent>
          <w:r w:rsidR="00F431BA">
            <w:t>2020</w:t>
          </w:r>
        </w:sdtContent>
      </w:sdt>
      <w:r w:rsidRPr="00152A7A">
        <w:t xml:space="preserve"> </w:t>
      </w:r>
    </w:p>
    <w:p w14:paraId="7517D928" w14:textId="77777777" w:rsidR="00E5465E" w:rsidRPr="00152A7A" w:rsidRDefault="00E5465E" w:rsidP="00F343E4">
      <w:pPr>
        <w:pStyle w:val="ZPTitulkadra"/>
      </w:pPr>
    </w:p>
    <w:p w14:paraId="2EF2C6D9" w14:textId="77822053" w:rsidR="00C35E32" w:rsidRPr="00152A7A" w:rsidRDefault="00BB6FEC" w:rsidP="00E5465E">
      <w:pPr>
        <w:pStyle w:val="inZPKlovslova"/>
        <w:jc w:val="center"/>
      </w:pPr>
      <w:r w:rsidRPr="00152A7A">
        <w:fldChar w:fldCharType="begin"/>
      </w:r>
      <w:r w:rsidRPr="00152A7A">
        <w:instrText xml:space="preserve"> IF  </w:instrText>
      </w:r>
      <w:fldSimple w:instr=" DOCPROPERTY  Logo  ">
        <w:r w:rsidR="00306395">
          <w:instrText>STARE</w:instrText>
        </w:r>
      </w:fldSimple>
      <w:r w:rsidRPr="00152A7A">
        <w:instrText xml:space="preserve"> = "STARE" </w:instrText>
      </w:r>
      <w:r w:rsidR="00315D3D">
        <w:rPr>
          <w:noProof/>
        </w:rPr>
        <w:drawing>
          <wp:inline distT="0" distB="0" distL="0" distR="0" wp14:anchorId="7FA4070C" wp14:editId="52AF5337">
            <wp:extent cx="2160000" cy="2161467"/>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nak_PF_cerny_RGB_pole.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2161467"/>
                    </a:xfrm>
                    <a:prstGeom prst="rect">
                      <a:avLst/>
                    </a:prstGeom>
                  </pic:spPr>
                </pic:pic>
              </a:graphicData>
            </a:graphic>
          </wp:inline>
        </w:drawing>
      </w:r>
      <w:r w:rsidRPr="00152A7A">
        <w:instrText xml:space="preserve"> </w:instrText>
      </w:r>
      <w:r w:rsidRPr="00152A7A">
        <w:rPr>
          <w:noProof/>
        </w:rPr>
        <w:drawing>
          <wp:inline distT="0" distB="0" distL="0" distR="0" wp14:anchorId="2B184890" wp14:editId="5DA47F26">
            <wp:extent cx="1277115" cy="881889"/>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w-lg-eng-black.png"/>
                    <pic:cNvPicPr/>
                  </pic:nvPicPr>
                  <pic:blipFill>
                    <a:blip r:embed="rId12">
                      <a:extLst>
                        <a:ext uri="{28A0092B-C50C-407E-A947-70E740481C1C}">
                          <a14:useLocalDpi xmlns:a14="http://schemas.microsoft.com/office/drawing/2010/main" val="0"/>
                        </a:ext>
                      </a:extLst>
                    </a:blip>
                    <a:stretch>
                      <a:fillRect/>
                    </a:stretch>
                  </pic:blipFill>
                  <pic:spPr>
                    <a:xfrm>
                      <a:off x="0" y="0"/>
                      <a:ext cx="1277115" cy="881889"/>
                    </a:xfrm>
                    <a:prstGeom prst="rect">
                      <a:avLst/>
                    </a:prstGeom>
                  </pic:spPr>
                </pic:pic>
              </a:graphicData>
            </a:graphic>
          </wp:inline>
        </w:drawing>
      </w:r>
      <w:r w:rsidRPr="00152A7A">
        <w:instrText xml:space="preserve">\* MERGEFORMAT </w:instrText>
      </w:r>
      <w:r w:rsidRPr="00152A7A">
        <w:fldChar w:fldCharType="separate"/>
      </w:r>
      <w:r w:rsidR="00465B0D" w:rsidRPr="00465B0D">
        <w:rPr>
          <w:b w:val="0"/>
          <w:bCs/>
          <w:noProof/>
        </w:rPr>
        <w:drawing>
          <wp:inline distT="0" distB="0" distL="0" distR="0" wp14:anchorId="396C435F" wp14:editId="09615EE5">
            <wp:extent cx="2160000" cy="2161467"/>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nak_PF_cerny_RGB_pole.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2161467"/>
                    </a:xfrm>
                    <a:prstGeom prst="rect">
                      <a:avLst/>
                    </a:prstGeom>
                  </pic:spPr>
                </pic:pic>
              </a:graphicData>
            </a:graphic>
          </wp:inline>
        </w:drawing>
      </w:r>
      <w:r w:rsidRPr="00152A7A">
        <w:fldChar w:fldCharType="end"/>
      </w:r>
    </w:p>
    <w:p w14:paraId="32C346D4" w14:textId="77777777" w:rsidR="00E5465E" w:rsidRPr="00152A7A" w:rsidRDefault="00E5465E" w:rsidP="00F343E4">
      <w:pPr>
        <w:pStyle w:val="ZPTitulkadra"/>
      </w:pPr>
    </w:p>
    <w:p w14:paraId="0880FE3F" w14:textId="77777777" w:rsidR="00C35E32" w:rsidRPr="00152A7A" w:rsidRDefault="00C35E32" w:rsidP="00F343E4">
      <w:pPr>
        <w:pStyle w:val="ZPTitulkadra"/>
      </w:pPr>
    </w:p>
    <w:p w14:paraId="57A67873" w14:textId="77777777" w:rsidR="00C35E32" w:rsidRPr="00152A7A" w:rsidRDefault="00C35E32" w:rsidP="007C294D">
      <w:pPr>
        <w:pStyle w:val="inZPKlovslova"/>
        <w:sectPr w:rsidR="00C35E32" w:rsidRPr="00152A7A" w:rsidSect="0052762D">
          <w:headerReference w:type="default" r:id="rId13"/>
          <w:headerReference w:type="first" r:id="rId14"/>
          <w:footerReference w:type="first" r:id="rId15"/>
          <w:type w:val="oddPage"/>
          <w:pgSz w:w="11906" w:h="16838" w:code="9"/>
          <w:pgMar w:top="2614" w:right="2019" w:bottom="2381" w:left="505" w:header="2019" w:footer="1276" w:gutter="2019"/>
          <w:pgNumType w:start="1"/>
          <w:cols w:space="708"/>
          <w:vAlign w:val="both"/>
          <w:docGrid w:linePitch="360"/>
        </w:sectPr>
      </w:pPr>
    </w:p>
    <w:p w14:paraId="2867AB25" w14:textId="77777777" w:rsidR="002C0686" w:rsidRPr="00152A7A" w:rsidRDefault="002C0686" w:rsidP="00A00BBC">
      <w:pPr>
        <w:pStyle w:val="ZPNadpis1vodn"/>
      </w:pPr>
      <w:r w:rsidRPr="00152A7A">
        <w:lastRenderedPageBreak/>
        <w:t>Bibliografický záznam</w:t>
      </w:r>
    </w:p>
    <w:p w14:paraId="2C1D7C57" w14:textId="45094150" w:rsidR="00BB6FEC" w:rsidRPr="00152A7A" w:rsidRDefault="00974A40" w:rsidP="00704143">
      <w:pPr>
        <w:pStyle w:val="ZPBibilografickzznam"/>
      </w:pPr>
      <w:r w:rsidRPr="00152A7A">
        <w:rPr>
          <w:rStyle w:val="ZPPKlbiblografie"/>
        </w:rPr>
        <w:t>Autor:</w:t>
      </w:r>
      <w:r w:rsidRPr="00152A7A">
        <w:tab/>
      </w:r>
      <w:sdt>
        <w:sdtPr>
          <w:alias w:val="Autor"/>
          <w:tag w:val=""/>
          <w:id w:val="-2076660119"/>
          <w:placeholder>
            <w:docPart w:val="C34B6FE31AC942A5AAF86A2FEC7F3EE7"/>
          </w:placeholder>
          <w:dataBinding w:prefixMappings="xmlns:ns0='http://purl.org/dc/elements/1.1/' xmlns:ns1='http://schemas.openxmlformats.org/package/2006/metadata/core-properties' " w:xpath="/ns1:coreProperties[1]/ns0:creator[1]" w:storeItemID="{6C3C8BC8-F283-45AE-878A-BAB7291924A1}"/>
          <w:text/>
        </w:sdtPr>
        <w:sdtContent>
          <w:r w:rsidR="00306395">
            <w:t>Simona Marie Zdeňková</w:t>
          </w:r>
        </w:sdtContent>
      </w:sdt>
      <w:r w:rsidRPr="00152A7A">
        <w:br/>
        <w:t>Právnická fakulta, Masarykova univerzita</w:t>
      </w:r>
      <w:r w:rsidRPr="00152A7A">
        <w:br/>
      </w:r>
      <w:r w:rsidRPr="00152A7A">
        <w:fldChar w:fldCharType="begin"/>
      </w:r>
      <w:r w:rsidRPr="00152A7A">
        <w:instrText xml:space="preserve"> REF KATEDRA \h  \* MERGEFORMAT </w:instrText>
      </w:r>
      <w:r w:rsidRPr="00152A7A">
        <w:fldChar w:fldCharType="separate"/>
      </w:r>
      <w:sdt>
        <w:sdtPr>
          <w:id w:val="1275138966"/>
          <w:comboBox>
            <w:listItem w:displayText="Zvolte katedru nebo ústav" w:value=""/>
            <w:listItem w:displayText="Katedra právní teorie" w:value="Katedra právní teorie"/>
            <w:listItem w:displayText="Katedra ústavního práva a politologie " w:value="Katedra ústavního práva a politologie "/>
            <w:listItem w:displayText="Katedra dějin státu a práva" w:value="Katedra dějin státu a práva"/>
            <w:listItem w:displayText="Katedra správní vědy a správního práva" w:value="Katedra správní vědy a správního práva"/>
            <w:listItem w:displayText="Katedra občanského práva" w:value="Katedra občanského práva"/>
            <w:listItem w:displayText="Katedra trestního práva" w:value="Katedra trestního práva"/>
            <w:listItem w:displayText="Katedra mezinárodního a evropského práva" w:value="Katedra mezinárodního a evropského práva"/>
            <w:listItem w:displayText="Katedra obchodního práva" w:value="Katedra obchodního práva"/>
            <w:listItem w:displayText="Katedra finančního práva a národního hospodářství" w:value="Katedra finančního práva a národního hospodářství"/>
            <w:listItem w:displayText="Katedra pracovního práva a sociálního zabezpečení" w:value="Katedra pracovního práva a sociálního zabezpečení"/>
            <w:listItem w:displayText="Katedra práva životního prostředí a pozemkového práva " w:value="Katedra práva životního prostředí a pozemkového práva "/>
            <w:listItem w:displayText="Ústav práva a technologií" w:value="Ústav práva a technologií"/>
            <w:listItem w:displayText="Ústav pro otázky soudnictví" w:value="Ústav pro otázky soudnictví"/>
          </w:comboBox>
        </w:sdtPr>
        <w:sdtContent>
          <w:r w:rsidR="00465B0D">
            <w:t>Katedra finančního práva a národního hospodářství</w:t>
          </w:r>
        </w:sdtContent>
      </w:sdt>
      <w:r w:rsidR="00465B0D">
        <w:t xml:space="preserve"> </w:t>
      </w:r>
      <w:r w:rsidRPr="00152A7A">
        <w:fldChar w:fldCharType="end"/>
      </w:r>
    </w:p>
    <w:p w14:paraId="0237DD8A" w14:textId="77777777" w:rsidR="00974A40" w:rsidRPr="00152A7A" w:rsidRDefault="00974A40" w:rsidP="00704143">
      <w:pPr>
        <w:pStyle w:val="ZPBibilografickzznam"/>
      </w:pPr>
      <w:r w:rsidRPr="00152A7A">
        <w:rPr>
          <w:rStyle w:val="ZPPKlbiblografie"/>
        </w:rPr>
        <w:t>Název práce:</w:t>
      </w:r>
      <w:r w:rsidRPr="00152A7A">
        <w:tab/>
      </w:r>
      <w:sdt>
        <w:sdtPr>
          <w:alias w:val="Název"/>
          <w:tag w:val=""/>
          <w:id w:val="1293642851"/>
          <w:placeholder>
            <w:docPart w:val="56CD46412E36458EA5DE3CB5A03C447D"/>
          </w:placeholder>
          <w:dataBinding w:prefixMappings="xmlns:ns0='http://purl.org/dc/elements/1.1/' xmlns:ns1='http://schemas.openxmlformats.org/package/2006/metadata/core-properties' " w:xpath="/ns1:coreProperties[1]/ns0:title[1]" w:storeItemID="{6C3C8BC8-F283-45AE-878A-BAB7291924A1}"/>
          <w:text/>
        </w:sdtPr>
        <w:sdtContent>
          <w:r w:rsidR="00306395">
            <w:t>Zdanění hazardu</w:t>
          </w:r>
        </w:sdtContent>
      </w:sdt>
    </w:p>
    <w:p w14:paraId="343AB8FF" w14:textId="77777777" w:rsidR="00974A40" w:rsidRPr="00152A7A" w:rsidRDefault="00974A40" w:rsidP="00704143">
      <w:pPr>
        <w:pStyle w:val="ZPBibilografickzznam"/>
        <w:rPr>
          <w:rStyle w:val="ZPPKlbiblografie"/>
        </w:rPr>
      </w:pPr>
      <w:r w:rsidRPr="00152A7A">
        <w:rPr>
          <w:rStyle w:val="ZPPKlbiblografie"/>
        </w:rPr>
        <w:t>Studijní program:</w:t>
      </w:r>
      <w:r w:rsidRPr="00152A7A">
        <w:rPr>
          <w:rStyle w:val="ZPPKlbiblografie"/>
        </w:rPr>
        <w:tab/>
      </w:r>
      <w:r w:rsidR="00FD3A08">
        <w:t>Právo a právní věda</w:t>
      </w:r>
    </w:p>
    <w:p w14:paraId="4BD7DB84" w14:textId="384074A9" w:rsidR="0091711B" w:rsidRPr="00152A7A" w:rsidRDefault="00974A40" w:rsidP="00704143">
      <w:pPr>
        <w:pStyle w:val="ZPBibilografickzznam"/>
      </w:pPr>
      <w:r w:rsidRPr="00152A7A">
        <w:rPr>
          <w:rStyle w:val="ZPPKlbiblografie"/>
        </w:rPr>
        <w:t>Studijní obor:</w:t>
      </w:r>
      <w:r w:rsidRPr="00152A7A">
        <w:tab/>
      </w:r>
      <w:r w:rsidRPr="00152A7A">
        <w:fldChar w:fldCharType="begin"/>
      </w:r>
      <w:r w:rsidRPr="00152A7A">
        <w:instrText xml:space="preserve"> REF OBOR \h  \* MERGEFORMAT </w:instrText>
      </w:r>
      <w:r w:rsidRPr="00152A7A">
        <w:fldChar w:fldCharType="separate"/>
      </w:r>
      <w:sdt>
        <w:sdtPr>
          <w:alias w:val="Studijní obor"/>
          <w:tag w:val="OBOR"/>
          <w:id w:val="1126045373"/>
          <w:comboBox>
            <w:listItem w:displayText="Vyberte obor" w:value=""/>
            <w:listItem w:displayText="Právo" w:value="Právo"/>
            <w:listItem w:displayText="Veřejná správa" w:value="Veřejná správa"/>
            <w:listItem w:displayText="Obchodněprávní studia" w:value="Obchodněprávní studia"/>
            <w:listItem w:displayText="Mezinárodněprávní obchodní studia" w:value="Mezinárodněprávní obchodní studia"/>
            <w:listItem w:displayText="Teorie a praxe trestního a správního procesu" w:value="Teorie a praxe trestního a správního procesu"/>
            <w:listItem w:displayText="Informatika ve veřejné správě" w:value="Informatika ve veřejné správě"/>
            <w:listItem w:displayText="Finance a právo" w:value="Finance a právo"/>
          </w:comboBox>
        </w:sdtPr>
        <w:sdtContent>
          <w:r w:rsidR="00465B0D">
            <w:t>Právo</w:t>
          </w:r>
        </w:sdtContent>
      </w:sdt>
      <w:r w:rsidRPr="00152A7A">
        <w:fldChar w:fldCharType="end"/>
      </w:r>
    </w:p>
    <w:p w14:paraId="330D2F5F" w14:textId="77777777" w:rsidR="00974A40" w:rsidRPr="00152A7A" w:rsidRDefault="00974A40" w:rsidP="00704143">
      <w:pPr>
        <w:pStyle w:val="ZPBibilografickzznam"/>
      </w:pPr>
      <w:r w:rsidRPr="00152A7A">
        <w:rPr>
          <w:rStyle w:val="ZPPKlbiblografie"/>
        </w:rPr>
        <w:t>Vedoucí práce:</w:t>
      </w:r>
      <w:r w:rsidRPr="00152A7A">
        <w:tab/>
      </w:r>
      <w:sdt>
        <w:sdtPr>
          <w:alias w:val="Nadřízený"/>
          <w:tag w:val=""/>
          <w:id w:val="1828940534"/>
          <w:placeholder>
            <w:docPart w:val="A559BE9BECD141B5A275CC4F7F59E6D8"/>
          </w:placeholder>
          <w:dataBinding w:prefixMappings="xmlns:ns0='http://schemas.openxmlformats.org/officeDocument/2006/extended-properties' " w:xpath="/ns0:Properties[1]/ns0:Manager[1]" w:storeItemID="{6668398D-A668-4E3E-A5EB-62B293D839F1}"/>
          <w:text/>
        </w:sdtPr>
        <w:sdtContent>
          <w:r w:rsidR="00C816CE">
            <w:t>doc. JUDr. Ing. Michal Radvan, Ph.D.</w:t>
          </w:r>
        </w:sdtContent>
      </w:sdt>
    </w:p>
    <w:p w14:paraId="1BDF0FE1" w14:textId="77777777" w:rsidR="00974A40" w:rsidRPr="00152A7A" w:rsidRDefault="00974A40" w:rsidP="00704143">
      <w:pPr>
        <w:pStyle w:val="ZPBibilografickzznam"/>
      </w:pPr>
      <w:r w:rsidRPr="00152A7A">
        <w:rPr>
          <w:rStyle w:val="ZPPKlbiblografie"/>
        </w:rPr>
        <w:t>Akademický rok</w:t>
      </w:r>
      <w:r w:rsidR="00D21BED" w:rsidRPr="00152A7A">
        <w:rPr>
          <w:rStyle w:val="ZPPKlbiblografie"/>
        </w:rPr>
        <w:t>:</w:t>
      </w:r>
      <w:r w:rsidRPr="00152A7A">
        <w:tab/>
      </w:r>
      <w:sdt>
        <w:sdtPr>
          <w:alias w:val="Akademický rok"/>
          <w:tag w:val=""/>
          <w:id w:val="-2134781469"/>
          <w:placeholder>
            <w:docPart w:val="2CB0C7F3736048498953F028805D5847"/>
          </w:placeholder>
          <w:dataBinding w:prefixMappings="xmlns:ns0='http://purl.org/dc/elements/1.1/' xmlns:ns1='http://schemas.openxmlformats.org/package/2006/metadata/core-properties' " w:xpath="/ns1:coreProperties[1]/ns1:category[1]" w:storeItemID="{6C3C8BC8-F283-45AE-878A-BAB7291924A1}"/>
          <w:text/>
        </w:sdtPr>
        <w:sdtContent>
          <w:r w:rsidR="00F431BA">
            <w:t>2020</w:t>
          </w:r>
        </w:sdtContent>
      </w:sdt>
    </w:p>
    <w:p w14:paraId="5770DF56" w14:textId="18829878" w:rsidR="00974A40" w:rsidRPr="00152A7A" w:rsidRDefault="00974A40" w:rsidP="00704143">
      <w:pPr>
        <w:pStyle w:val="ZPBibilografickzznam"/>
      </w:pPr>
      <w:r w:rsidRPr="00152A7A">
        <w:rPr>
          <w:rStyle w:val="ZPPKlbiblografie"/>
        </w:rPr>
        <w:t>Počet stran:</w:t>
      </w:r>
      <w:r w:rsidRPr="00152A7A">
        <w:tab/>
      </w:r>
      <w:r w:rsidR="00EB0084">
        <w:rPr>
          <w:noProof/>
        </w:rPr>
        <w:t>81</w:t>
      </w:r>
    </w:p>
    <w:p w14:paraId="2034D3B7" w14:textId="77777777" w:rsidR="000E1807" w:rsidRPr="00152A7A" w:rsidRDefault="00974A40" w:rsidP="00704143">
      <w:pPr>
        <w:pStyle w:val="ZPBibilografickzznam"/>
      </w:pPr>
      <w:r w:rsidRPr="00152A7A">
        <w:rPr>
          <w:rStyle w:val="ZPPKlbiblografie"/>
        </w:rPr>
        <w:t>Klíčová slova:</w:t>
      </w:r>
      <w:r w:rsidRPr="00152A7A">
        <w:tab/>
      </w:r>
      <w:sdt>
        <w:sdtPr>
          <w:id w:val="2087726934"/>
          <w:placeholder>
            <w:docPart w:val="441BEFA8113D45D2A00C8CD237F9AC45"/>
          </w:placeholder>
          <w:text/>
        </w:sdtPr>
        <w:sdtContent>
          <w:r w:rsidR="00306395">
            <w:t>Zdanění hazard</w:t>
          </w:r>
          <w:r w:rsidR="00FD3A08">
            <w:t>u, daň, zdanění</w:t>
          </w:r>
          <w:r w:rsidR="006726E5">
            <w:t xml:space="preserve">, </w:t>
          </w:r>
          <w:r w:rsidR="00273822">
            <w:t xml:space="preserve">správa daní, </w:t>
          </w:r>
          <w:r w:rsidR="006726E5">
            <w:t>odvod z loterií a jiných podobných her, Česká republika</w:t>
          </w:r>
          <w:r w:rsidR="00893C60">
            <w:t>, poplatník</w:t>
          </w:r>
        </w:sdtContent>
      </w:sdt>
      <w:r w:rsidR="000E1807" w:rsidRPr="00152A7A">
        <w:br w:type="page"/>
      </w:r>
    </w:p>
    <w:p w14:paraId="25AAD56B" w14:textId="77777777" w:rsidR="000E1807" w:rsidRPr="00152A7A" w:rsidRDefault="00152A7A" w:rsidP="00A00BBC">
      <w:pPr>
        <w:pStyle w:val="ZPNadpis1vodn"/>
        <w:rPr>
          <w:lang w:val="en-GB"/>
        </w:rPr>
      </w:pPr>
      <w:r w:rsidRPr="00152A7A">
        <w:rPr>
          <w:lang w:val="en-GB"/>
        </w:rPr>
        <w:lastRenderedPageBreak/>
        <w:t>Bibliographic</w:t>
      </w:r>
      <w:r w:rsidR="000E1807" w:rsidRPr="00152A7A">
        <w:rPr>
          <w:lang w:val="en-GB"/>
        </w:rPr>
        <w:t xml:space="preserve"> record</w:t>
      </w:r>
    </w:p>
    <w:p w14:paraId="25CA3DB8" w14:textId="77777777" w:rsidR="00BB6FEC" w:rsidRPr="00152A7A" w:rsidRDefault="000E1807" w:rsidP="00704143">
      <w:pPr>
        <w:pStyle w:val="ZPBibilografickzznam"/>
        <w:rPr>
          <w:lang w:val="en-GB"/>
        </w:rPr>
      </w:pPr>
      <w:r w:rsidRPr="00152A7A">
        <w:rPr>
          <w:rStyle w:val="ZPPKlbiblografie"/>
          <w:lang w:val="en-GB"/>
        </w:rPr>
        <w:t>Author:</w:t>
      </w:r>
      <w:r w:rsidRPr="00152A7A">
        <w:rPr>
          <w:lang w:val="en-GB"/>
        </w:rPr>
        <w:tab/>
      </w:r>
      <w:sdt>
        <w:sdtPr>
          <w:rPr>
            <w:lang w:val="en-GB"/>
          </w:rPr>
          <w:alias w:val="Autor"/>
          <w:tag w:val=""/>
          <w:id w:val="-1160154958"/>
          <w:placeholder>
            <w:docPart w:val="DF19A9A5792846C6BE604AFE3DE92B38"/>
          </w:placeholder>
          <w:dataBinding w:prefixMappings="xmlns:ns0='http://purl.org/dc/elements/1.1/' xmlns:ns1='http://schemas.openxmlformats.org/package/2006/metadata/core-properties' " w:xpath="/ns1:coreProperties[1]/ns0:creator[1]" w:storeItemID="{6C3C8BC8-F283-45AE-878A-BAB7291924A1}"/>
          <w:text/>
        </w:sdtPr>
        <w:sdtContent>
          <w:r w:rsidR="00306395">
            <w:rPr>
              <w:lang w:val="en-GB"/>
            </w:rPr>
            <w:t>Simona Marie Zdeňková</w:t>
          </w:r>
        </w:sdtContent>
      </w:sdt>
      <w:r w:rsidRPr="00152A7A">
        <w:rPr>
          <w:lang w:val="en-GB"/>
        </w:rPr>
        <w:br/>
        <w:t>Faculty of Law, Masaryk University</w:t>
      </w:r>
      <w:r w:rsidRPr="00152A7A">
        <w:rPr>
          <w:lang w:val="en-GB"/>
        </w:rPr>
        <w:br/>
      </w:r>
      <w:sdt>
        <w:sdtPr>
          <w:rPr>
            <w:lang w:val="en-GB"/>
          </w:rPr>
          <w:id w:val="630366867"/>
          <w:placeholder>
            <w:docPart w:val="5678768282724818BE49CAB708A7C58B"/>
          </w:placeholder>
          <w:comboBox>
            <w:listItem w:value="Zvolte položku."/>
            <w:listItem w:displayText="Department of Legal Theory" w:value="Department of Legal Theory"/>
            <w:listItem w:displayText="Department of Constitutional Law and Political Science" w:value="Department of Constitutional Law and Political Science"/>
            <w:listItem w:displayText="Department of the History of the State and Law" w:value="Department of the History of the State and Law"/>
            <w:listItem w:displayText="Department of Administrative Studies and Administrative Law" w:value="Department of Administrative Studies and Administrative Law"/>
            <w:listItem w:displayText="Department of Civil Law" w:value="Department of Civil Law"/>
            <w:listItem w:displayText="Department of Criminal Law" w:value="Department of Criminal Law"/>
            <w:listItem w:displayText="Department of International and European Law" w:value="Department of International and European Law"/>
            <w:listItem w:displayText="Department of Commercial Law" w:value="Department of Commercial Law"/>
            <w:listItem w:displayText="Department of Financial Law and Economics" w:value="Department of Financial Law and Economics"/>
            <w:listItem w:displayText="Department of Labour Law and Social Security Law" w:value="Department of Labour Law and Social Security Law"/>
            <w:listItem w:displayText="Department of Environmental Law and Land Law" w:value="Department of Environmental Law and Land Law"/>
            <w:listItem w:displayText="Department of Civil Procedure" w:value="Department of Civil Procedure"/>
            <w:listItem w:displayText="Institute of Law and Technology" w:value="Institute of Law and Technology"/>
            <w:listItem w:displayText="Judicial Studies Institute" w:value="Judicial Studies Institute"/>
          </w:comboBox>
        </w:sdtPr>
        <w:sdtContent>
          <w:r w:rsidR="00306395">
            <w:rPr>
              <w:lang w:val="en-GB"/>
            </w:rPr>
            <w:t>Department of Financial Law and Economics</w:t>
          </w:r>
        </w:sdtContent>
      </w:sdt>
    </w:p>
    <w:p w14:paraId="5AAE7922" w14:textId="77777777" w:rsidR="000E1807" w:rsidRPr="00152A7A" w:rsidRDefault="000E1807" w:rsidP="00704143">
      <w:pPr>
        <w:pStyle w:val="ZPBibilografickzznam"/>
        <w:rPr>
          <w:lang w:val="en-GB"/>
        </w:rPr>
      </w:pPr>
      <w:r w:rsidRPr="00152A7A">
        <w:rPr>
          <w:rStyle w:val="ZPPKlbiblografie"/>
          <w:lang w:val="en-GB"/>
        </w:rPr>
        <w:t>Title of Thesis:</w:t>
      </w:r>
      <w:r w:rsidRPr="00152A7A">
        <w:rPr>
          <w:lang w:val="en-GB"/>
        </w:rPr>
        <w:tab/>
      </w:r>
      <w:sdt>
        <w:sdtPr>
          <w:rPr>
            <w:lang w:val="en-GB"/>
          </w:rPr>
          <w:id w:val="-469832108"/>
          <w:placeholder>
            <w:docPart w:val="DF62F78CC84348C8BDC8F2120C2F525F"/>
          </w:placeholder>
          <w:text/>
        </w:sdtPr>
        <w:sdtContent>
          <w:r w:rsidR="00306395">
            <w:rPr>
              <w:lang w:val="en-GB"/>
            </w:rPr>
            <w:t>Gambling taxation</w:t>
          </w:r>
        </w:sdtContent>
      </w:sdt>
    </w:p>
    <w:p w14:paraId="7269FD84" w14:textId="77777777" w:rsidR="000E1807" w:rsidRPr="00152A7A" w:rsidRDefault="00D21BED" w:rsidP="00704143">
      <w:pPr>
        <w:pStyle w:val="ZPBibilografickzznam"/>
        <w:rPr>
          <w:rStyle w:val="ZPPKlbiblografie"/>
          <w:lang w:val="en-GB"/>
        </w:rPr>
      </w:pPr>
      <w:r w:rsidRPr="00152A7A">
        <w:rPr>
          <w:rStyle w:val="ZPPKlbiblografie"/>
          <w:lang w:val="en-GB"/>
        </w:rPr>
        <w:t>Degree Programme</w:t>
      </w:r>
      <w:r w:rsidR="000E1807" w:rsidRPr="00152A7A">
        <w:rPr>
          <w:rStyle w:val="ZPPKlbiblografie"/>
          <w:lang w:val="en-GB"/>
        </w:rPr>
        <w:t>:</w:t>
      </w:r>
      <w:r w:rsidR="000E1807" w:rsidRPr="00152A7A">
        <w:rPr>
          <w:rStyle w:val="ZPPKlbiblografie"/>
          <w:lang w:val="en-GB"/>
        </w:rPr>
        <w:tab/>
      </w:r>
      <w:r w:rsidR="00FD3A08">
        <w:t>Law and legal science</w:t>
      </w:r>
    </w:p>
    <w:p w14:paraId="672FADEE" w14:textId="77777777" w:rsidR="0091711B" w:rsidRPr="00152A7A" w:rsidRDefault="00D21BED" w:rsidP="00704143">
      <w:pPr>
        <w:pStyle w:val="ZPBibilografickzznam"/>
        <w:rPr>
          <w:lang w:val="en-GB"/>
        </w:rPr>
      </w:pPr>
      <w:r w:rsidRPr="00152A7A">
        <w:rPr>
          <w:rStyle w:val="ZPPKlbiblografie"/>
          <w:lang w:val="en-GB"/>
        </w:rPr>
        <w:t>Field of Study</w:t>
      </w:r>
      <w:r w:rsidR="000E1807" w:rsidRPr="00152A7A">
        <w:rPr>
          <w:rStyle w:val="ZPPKlbiblografie"/>
          <w:lang w:val="en-GB"/>
        </w:rPr>
        <w:t>:</w:t>
      </w:r>
      <w:r w:rsidR="000E1807" w:rsidRPr="00152A7A">
        <w:rPr>
          <w:lang w:val="en-GB"/>
        </w:rPr>
        <w:tab/>
      </w:r>
      <w:sdt>
        <w:sdtPr>
          <w:rPr>
            <w:lang w:val="en-GB"/>
          </w:rPr>
          <w:alias w:val="Studijní obor anglicky"/>
          <w:tag w:val="Studijní obor anglicky"/>
          <w:id w:val="-1606884705"/>
          <w:placeholder>
            <w:docPart w:val="2CBDDB9C47A345189AA88412DA888590"/>
          </w:placeholder>
          <w:comboBox>
            <w:listItem w:value="Zvolte položku."/>
            <w:listItem w:displayText="Law" w:value="Law"/>
            <w:listItem w:displayText="Public Administration" w:value="Public Administration"/>
            <w:listItem w:displayText="Senior Officer of Justice" w:value="Senior Officer of Justice"/>
            <w:listItem w:displayText="International Commercial Law Studies" w:value="International Commercial Law Studies"/>
            <w:listItem w:displayText="Commercial Law Studies" w:value="Commercial Law Studies"/>
            <w:listItem w:displayText="Theory and Practice of Criminal and Administrative Procedure" w:value="Theory and Practice of Criminal and Administrative Procedure"/>
          </w:comboBox>
        </w:sdtPr>
        <w:sdtContent>
          <w:r w:rsidR="00306395">
            <w:rPr>
              <w:lang w:val="en-GB"/>
            </w:rPr>
            <w:t>Law</w:t>
          </w:r>
        </w:sdtContent>
      </w:sdt>
    </w:p>
    <w:p w14:paraId="2B3082C4" w14:textId="77777777" w:rsidR="000E1807" w:rsidRPr="00152A7A" w:rsidRDefault="00D21BED" w:rsidP="00704143">
      <w:pPr>
        <w:pStyle w:val="ZPBibilografickzznam"/>
        <w:rPr>
          <w:lang w:val="en-GB"/>
        </w:rPr>
      </w:pPr>
      <w:r w:rsidRPr="00152A7A">
        <w:rPr>
          <w:rStyle w:val="ZPPKlbiblografie"/>
          <w:lang w:val="en-GB"/>
        </w:rPr>
        <w:t>Supervisor</w:t>
      </w:r>
      <w:r w:rsidR="000E1807" w:rsidRPr="00152A7A">
        <w:rPr>
          <w:rStyle w:val="ZPPKlbiblografie"/>
          <w:lang w:val="en-GB"/>
        </w:rPr>
        <w:t>:</w:t>
      </w:r>
      <w:r w:rsidR="000E1807" w:rsidRPr="00152A7A">
        <w:rPr>
          <w:lang w:val="en-GB"/>
        </w:rPr>
        <w:tab/>
      </w:r>
      <w:sdt>
        <w:sdtPr>
          <w:rPr>
            <w:lang w:val="en-GB"/>
          </w:rPr>
          <w:alias w:val="Nadřízený"/>
          <w:tag w:val=""/>
          <w:id w:val="-1442070207"/>
          <w:placeholder>
            <w:docPart w:val="9C5D2FC0C02D40C1831B2C72DCED637F"/>
          </w:placeholder>
          <w:dataBinding w:prefixMappings="xmlns:ns0='http://schemas.openxmlformats.org/officeDocument/2006/extended-properties' " w:xpath="/ns0:Properties[1]/ns0:Manager[1]" w:storeItemID="{6668398D-A668-4E3E-A5EB-62B293D839F1}"/>
          <w:text/>
        </w:sdtPr>
        <w:sdtContent>
          <w:r w:rsidR="00C816CE">
            <w:rPr>
              <w:lang w:val="en-GB"/>
            </w:rPr>
            <w:t>doc. JUDr. Ing. Michal Radvan, Ph.D.</w:t>
          </w:r>
        </w:sdtContent>
      </w:sdt>
    </w:p>
    <w:p w14:paraId="7F1563FA" w14:textId="77777777" w:rsidR="000E1807" w:rsidRPr="00152A7A" w:rsidRDefault="000E1807" w:rsidP="00704143">
      <w:pPr>
        <w:pStyle w:val="ZPBibilografickzznam"/>
        <w:rPr>
          <w:lang w:val="en-GB"/>
        </w:rPr>
      </w:pPr>
      <w:r w:rsidRPr="00152A7A">
        <w:rPr>
          <w:rStyle w:val="ZPPKlbiblografie"/>
          <w:lang w:val="en-GB"/>
        </w:rPr>
        <w:t>A</w:t>
      </w:r>
      <w:r w:rsidR="00D21BED" w:rsidRPr="00152A7A">
        <w:rPr>
          <w:rStyle w:val="ZPPKlbiblografie"/>
          <w:lang w:val="en-GB"/>
        </w:rPr>
        <w:t>cademic Year:</w:t>
      </w:r>
      <w:r w:rsidRPr="00152A7A">
        <w:rPr>
          <w:lang w:val="en-GB"/>
        </w:rPr>
        <w:tab/>
      </w:r>
      <w:sdt>
        <w:sdtPr>
          <w:rPr>
            <w:lang w:val="en-GB"/>
          </w:rPr>
          <w:alias w:val="Akademický rok"/>
          <w:tag w:val=""/>
          <w:id w:val="-947466026"/>
          <w:placeholder>
            <w:docPart w:val="47EDBDA198B6456084DED743A2589A26"/>
          </w:placeholder>
          <w:dataBinding w:prefixMappings="xmlns:ns0='http://purl.org/dc/elements/1.1/' xmlns:ns1='http://schemas.openxmlformats.org/package/2006/metadata/core-properties' " w:xpath="/ns1:coreProperties[1]/ns1:category[1]" w:storeItemID="{6C3C8BC8-F283-45AE-878A-BAB7291924A1}"/>
          <w:text/>
        </w:sdtPr>
        <w:sdtContent>
          <w:r w:rsidR="00F431BA">
            <w:rPr>
              <w:lang w:val="en-GB"/>
            </w:rPr>
            <w:t>2020</w:t>
          </w:r>
        </w:sdtContent>
      </w:sdt>
    </w:p>
    <w:p w14:paraId="72A978A9" w14:textId="0B31C249" w:rsidR="000E1807" w:rsidRPr="00152A7A" w:rsidRDefault="00D21BED" w:rsidP="00704143">
      <w:pPr>
        <w:pStyle w:val="ZPBibilografickzznam"/>
        <w:rPr>
          <w:lang w:val="en-GB"/>
        </w:rPr>
      </w:pPr>
      <w:r w:rsidRPr="00152A7A">
        <w:rPr>
          <w:rStyle w:val="ZPPKlbiblografie"/>
          <w:lang w:val="en-GB"/>
        </w:rPr>
        <w:t>Number of Pages</w:t>
      </w:r>
      <w:r w:rsidR="000E1807" w:rsidRPr="00152A7A">
        <w:rPr>
          <w:rStyle w:val="ZPPKlbiblografie"/>
          <w:lang w:val="en-GB"/>
        </w:rPr>
        <w:t>:</w:t>
      </w:r>
      <w:r w:rsidR="000E1807" w:rsidRPr="00152A7A">
        <w:rPr>
          <w:lang w:val="en-GB"/>
        </w:rPr>
        <w:tab/>
      </w:r>
      <w:r w:rsidR="00EB0084">
        <w:rPr>
          <w:lang w:val="en-GB"/>
        </w:rPr>
        <w:t>81</w:t>
      </w:r>
    </w:p>
    <w:p w14:paraId="6A86DB8F" w14:textId="77777777" w:rsidR="000E1807" w:rsidRPr="006726E5" w:rsidRDefault="000E1807" w:rsidP="006726E5">
      <w:pPr>
        <w:pStyle w:val="ZPBibilografickzznam"/>
        <w:rPr>
          <w:lang w:val="en-GB"/>
        </w:rPr>
        <w:sectPr w:rsidR="000E1807" w:rsidRPr="006726E5" w:rsidSect="00533A95">
          <w:headerReference w:type="default" r:id="rId16"/>
          <w:footerReference w:type="even" r:id="rId17"/>
          <w:footerReference w:type="default" r:id="rId18"/>
          <w:type w:val="evenPage"/>
          <w:pgSz w:w="11906" w:h="16838" w:code="9"/>
          <w:pgMar w:top="2614" w:right="2019" w:bottom="2381" w:left="505" w:header="2019" w:footer="1276" w:gutter="2019"/>
          <w:cols w:space="708"/>
          <w:docGrid w:linePitch="360"/>
        </w:sectPr>
      </w:pPr>
      <w:r w:rsidRPr="00152A7A">
        <w:rPr>
          <w:rStyle w:val="ZPPKlbiblografie"/>
          <w:lang w:val="en-GB"/>
        </w:rPr>
        <w:t>K</w:t>
      </w:r>
      <w:r w:rsidR="00D21BED" w:rsidRPr="00152A7A">
        <w:rPr>
          <w:rStyle w:val="ZPPKlbiblografie"/>
          <w:lang w:val="en-GB"/>
        </w:rPr>
        <w:t>eywords</w:t>
      </w:r>
      <w:r w:rsidRPr="00152A7A">
        <w:rPr>
          <w:rStyle w:val="ZPPKlbiblografie"/>
          <w:lang w:val="en-GB"/>
        </w:rPr>
        <w:t>:</w:t>
      </w:r>
      <w:r w:rsidRPr="00152A7A">
        <w:rPr>
          <w:lang w:val="en-GB"/>
        </w:rPr>
        <w:tab/>
      </w:r>
      <w:sdt>
        <w:sdtPr>
          <w:rPr>
            <w:lang w:val="en-GB"/>
          </w:rPr>
          <w:id w:val="112340290"/>
          <w:placeholder>
            <w:docPart w:val="5E0D472DECF34CD6AF60D210152141F0"/>
          </w:placeholder>
          <w:text/>
        </w:sdtPr>
        <w:sdtContent>
          <w:r w:rsidR="00306395">
            <w:rPr>
              <w:lang w:val="en-GB"/>
            </w:rPr>
            <w:t>Gambling taxation</w:t>
          </w:r>
          <w:r w:rsidR="00FD3A08">
            <w:rPr>
              <w:lang w:val="en-GB"/>
            </w:rPr>
            <w:t>, tax, taxation,</w:t>
          </w:r>
        </w:sdtContent>
      </w:sdt>
      <w:r w:rsidR="006726E5">
        <w:rPr>
          <w:lang w:val="en-GB"/>
        </w:rPr>
        <w:t xml:space="preserve"> </w:t>
      </w:r>
      <w:r w:rsidR="00273822">
        <w:rPr>
          <w:lang w:val="en-GB"/>
        </w:rPr>
        <w:t xml:space="preserve">tax administration, </w:t>
      </w:r>
      <w:r w:rsidR="006726E5">
        <w:rPr>
          <w:lang w:val="en-GB"/>
        </w:rPr>
        <w:t>levy on lotteries and other similar games, Czech Republic</w:t>
      </w:r>
      <w:r w:rsidR="00893C60">
        <w:rPr>
          <w:lang w:val="en-GB"/>
        </w:rPr>
        <w:t>, taxpayer</w:t>
      </w:r>
    </w:p>
    <w:p w14:paraId="52A1FA01" w14:textId="77777777" w:rsidR="0077567B" w:rsidRPr="00152A7A" w:rsidRDefault="0077567B" w:rsidP="00A00BBC">
      <w:pPr>
        <w:pStyle w:val="ZPNadpis1vodn"/>
      </w:pPr>
      <w:r w:rsidRPr="00152A7A">
        <w:lastRenderedPageBreak/>
        <w:t>Abstrakt</w:t>
      </w:r>
    </w:p>
    <w:p w14:paraId="2B00D846" w14:textId="77777777" w:rsidR="00FF726E" w:rsidRPr="00FF726E" w:rsidRDefault="00C816CE" w:rsidP="00FF726E">
      <w:pPr>
        <w:pStyle w:val="Dalodstavce"/>
      </w:pPr>
      <w:r>
        <w:t xml:space="preserve">Tato diplomová práce </w:t>
      </w:r>
      <w:r w:rsidR="00332DFE">
        <w:t>se zabývá</w:t>
      </w:r>
      <w:r>
        <w:t xml:space="preserve"> zdaněním hazardních her na území České republiky.</w:t>
      </w:r>
      <w:r w:rsidR="00A82F15">
        <w:t xml:space="preserve"> </w:t>
      </w:r>
      <w:r w:rsidR="00696126">
        <w:t>Hlavním cílem</w:t>
      </w:r>
      <w:r w:rsidR="00A82F15">
        <w:t xml:space="preserve"> diplomové práce</w:t>
      </w:r>
      <w:r w:rsidR="00696126">
        <w:t xml:space="preserve"> je potvrzení nebo vyvrácení hypotézy</w:t>
      </w:r>
      <w:r w:rsidR="00A82F15">
        <w:t>, že</w:t>
      </w:r>
      <w:r w:rsidR="00A82F15" w:rsidRPr="00A82F15">
        <w:t xml:space="preserve"> </w:t>
      </w:r>
      <w:r w:rsidR="00A82F15" w:rsidRPr="00976A97">
        <w:t>regulace zdanění hazardu v České republice účinná od 1. ledna 2017 je dostatečná a není potřeba dalších změn</w:t>
      </w:r>
      <w:r w:rsidR="00A82F15">
        <w:t xml:space="preserve">. </w:t>
      </w:r>
      <w:r w:rsidR="00FF726E">
        <w:t xml:space="preserve">K dosažení tohoto cíle jsem z vědeckých metod využila zejména deskripce, analýzy, syntézy a také komparaci s právní úpravou účinnou do konce roku 2016. </w:t>
      </w:r>
    </w:p>
    <w:p w14:paraId="5A75BC16" w14:textId="77777777" w:rsidR="00C96B30" w:rsidRDefault="00C60B30" w:rsidP="001F421E">
      <w:pPr>
        <w:pStyle w:val="Odstavec1"/>
      </w:pPr>
      <w:r>
        <w:t>První část je věnována analýze jednotlivých</w:t>
      </w:r>
      <w:r w:rsidR="001C3B35">
        <w:t xml:space="preserve"> konstrukční</w:t>
      </w:r>
      <w:r>
        <w:t>ch prvků</w:t>
      </w:r>
      <w:r w:rsidR="001C3B35">
        <w:t xml:space="preserve"> daně z hazardních her</w:t>
      </w:r>
      <w:r>
        <w:t xml:space="preserve">. </w:t>
      </w:r>
      <w:r w:rsidR="00FF726E">
        <w:t xml:space="preserve">Další část práce </w:t>
      </w:r>
      <w:r>
        <w:t>se zaměřuje</w:t>
      </w:r>
      <w:r w:rsidR="00FF726E">
        <w:t xml:space="preserve"> na </w:t>
      </w:r>
      <w:r>
        <w:t>specifika správy</w:t>
      </w:r>
      <w:r w:rsidR="00FF726E">
        <w:t xml:space="preserve"> daně z hazardních her.</w:t>
      </w:r>
      <w:r w:rsidR="00A82F15">
        <w:t xml:space="preserve"> V závěru práce dochází k zhodnoc</w:t>
      </w:r>
      <w:r w:rsidR="008C135A">
        <w:t>ení</w:t>
      </w:r>
      <w:r w:rsidR="00A82F15">
        <w:t xml:space="preserve"> právn</w:t>
      </w:r>
      <w:r w:rsidR="00C749A0">
        <w:t xml:space="preserve">í úpravy zdanění hazardních her. Nedílnou součástí závěru jsou </w:t>
      </w:r>
      <w:r w:rsidR="00A82F15">
        <w:t xml:space="preserve">možné </w:t>
      </w:r>
      <w:r w:rsidR="00FF726E">
        <w:t>úvahy</w:t>
      </w:r>
      <w:r w:rsidR="006B214A">
        <w:t xml:space="preserve"> </w:t>
      </w:r>
      <w:r w:rsidR="00A82F15">
        <w:t>de lege ferenda.</w:t>
      </w:r>
    </w:p>
    <w:p w14:paraId="71BD7CD8" w14:textId="77777777" w:rsidR="00C96B30" w:rsidRPr="009E3D12" w:rsidRDefault="00C96B30" w:rsidP="00A00BBC">
      <w:pPr>
        <w:pStyle w:val="ZPNadpis1vodn"/>
      </w:pPr>
      <w:r w:rsidRPr="009E3D12">
        <w:lastRenderedPageBreak/>
        <w:t>Abstract</w:t>
      </w:r>
    </w:p>
    <w:p w14:paraId="0D6B570B" w14:textId="77777777" w:rsidR="00047912" w:rsidRPr="00047912" w:rsidRDefault="00E52D08" w:rsidP="00047912">
      <w:pPr>
        <w:pStyle w:val="Odstavec1EN"/>
        <w:rPr>
          <w:rFonts w:asciiTheme="minorHAnsi" w:hAnsiTheme="minorHAnsi"/>
        </w:rPr>
      </w:pPr>
      <w:r>
        <w:rPr>
          <w:rFonts w:asciiTheme="minorHAnsi" w:hAnsiTheme="minorHAnsi"/>
          <w:lang w:val="cs-CZ"/>
        </w:rPr>
        <w:t>This diploma</w:t>
      </w:r>
      <w:r w:rsidR="00142886" w:rsidRPr="00047912">
        <w:rPr>
          <w:rFonts w:asciiTheme="minorHAnsi" w:hAnsiTheme="minorHAnsi"/>
          <w:lang w:val="cs-CZ"/>
        </w:rPr>
        <w:t xml:space="preserve"> </w:t>
      </w:r>
      <w:r w:rsidR="00332DFE" w:rsidRPr="00047912">
        <w:rPr>
          <w:rFonts w:asciiTheme="minorHAnsi" w:hAnsiTheme="minorHAnsi"/>
          <w:lang w:val="cs-CZ"/>
        </w:rPr>
        <w:t>thesis</w:t>
      </w:r>
      <w:r w:rsidR="00142886" w:rsidRPr="00047912">
        <w:rPr>
          <w:rFonts w:asciiTheme="minorHAnsi" w:hAnsiTheme="minorHAnsi"/>
          <w:lang w:val="cs-CZ"/>
        </w:rPr>
        <w:t xml:space="preserve"> </w:t>
      </w:r>
      <w:r w:rsidR="00C816CE" w:rsidRPr="00047912">
        <w:rPr>
          <w:rFonts w:asciiTheme="minorHAnsi" w:hAnsiTheme="minorHAnsi"/>
          <w:lang w:val="cs-CZ"/>
        </w:rPr>
        <w:t>deal</w:t>
      </w:r>
      <w:r w:rsidR="00332DFE" w:rsidRPr="00047912">
        <w:rPr>
          <w:rFonts w:asciiTheme="minorHAnsi" w:hAnsiTheme="minorHAnsi"/>
          <w:lang w:val="cs-CZ"/>
        </w:rPr>
        <w:t>s</w:t>
      </w:r>
      <w:r w:rsidR="00C816CE" w:rsidRPr="00047912">
        <w:rPr>
          <w:rFonts w:asciiTheme="minorHAnsi" w:hAnsiTheme="minorHAnsi"/>
          <w:lang w:val="cs-CZ"/>
        </w:rPr>
        <w:t xml:space="preserve"> with gambling taxation in the </w:t>
      </w:r>
      <w:r w:rsidR="00142886" w:rsidRPr="00047912">
        <w:rPr>
          <w:rFonts w:asciiTheme="minorHAnsi" w:hAnsiTheme="minorHAnsi"/>
          <w:lang w:val="cs-CZ"/>
        </w:rPr>
        <w:t xml:space="preserve">Czech Republic. </w:t>
      </w:r>
      <w:r w:rsidR="00C749A0" w:rsidRPr="00047912">
        <w:rPr>
          <w:rFonts w:asciiTheme="minorHAnsi" w:hAnsiTheme="minorHAnsi"/>
          <w:lang w:val="cs-CZ"/>
        </w:rPr>
        <w:t>The main goal o</w:t>
      </w:r>
      <w:r w:rsidR="00C749A0" w:rsidRPr="00047912">
        <w:rPr>
          <w:rFonts w:asciiTheme="minorHAnsi" w:hAnsiTheme="minorHAnsi"/>
        </w:rPr>
        <w:t>f this diploma thesis is to confirm or refute the hypothesis that gambling ta</w:t>
      </w:r>
      <w:r w:rsidR="00696126" w:rsidRPr="00047912">
        <w:rPr>
          <w:rFonts w:asciiTheme="minorHAnsi" w:hAnsiTheme="minorHAnsi"/>
        </w:rPr>
        <w:t>xation regulation in the Czech R</w:t>
      </w:r>
      <w:r w:rsidR="00C749A0" w:rsidRPr="00047912">
        <w:rPr>
          <w:rFonts w:asciiTheme="minorHAnsi" w:hAnsiTheme="minorHAnsi"/>
        </w:rPr>
        <w:t>epublic, which came into force on 1 January 2017</w:t>
      </w:r>
      <w:r w:rsidR="00696126" w:rsidRPr="00047912">
        <w:rPr>
          <w:rFonts w:asciiTheme="minorHAnsi" w:hAnsiTheme="minorHAnsi"/>
        </w:rPr>
        <w:t xml:space="preserve">, is </w:t>
      </w:r>
      <w:r w:rsidR="00047912" w:rsidRPr="00047912">
        <w:rPr>
          <w:rFonts w:asciiTheme="minorHAnsi" w:hAnsiTheme="minorHAnsi"/>
        </w:rPr>
        <w:t>sufficient,</w:t>
      </w:r>
      <w:r w:rsidR="00696126" w:rsidRPr="00047912">
        <w:rPr>
          <w:rFonts w:asciiTheme="minorHAnsi" w:hAnsiTheme="minorHAnsi"/>
        </w:rPr>
        <w:t xml:space="preserve"> and there is no need of </w:t>
      </w:r>
      <w:r w:rsidR="00047912" w:rsidRPr="00047912">
        <w:rPr>
          <w:rFonts w:asciiTheme="minorHAnsi" w:hAnsiTheme="minorHAnsi"/>
        </w:rPr>
        <w:t>other legislative</w:t>
      </w:r>
      <w:r w:rsidR="00696126" w:rsidRPr="00047912">
        <w:rPr>
          <w:rFonts w:asciiTheme="minorHAnsi" w:hAnsiTheme="minorHAnsi"/>
        </w:rPr>
        <w:t xml:space="preserve"> changes. To achieve this goal,</w:t>
      </w:r>
      <w:r w:rsidR="0062174C" w:rsidRPr="00047912">
        <w:rPr>
          <w:rFonts w:asciiTheme="minorHAnsi" w:hAnsiTheme="minorHAnsi"/>
        </w:rPr>
        <w:t xml:space="preserve"> </w:t>
      </w:r>
      <w:r w:rsidR="00047912" w:rsidRPr="00047912">
        <w:rPr>
          <w:rFonts w:asciiTheme="minorHAnsi" w:hAnsiTheme="minorHAnsi"/>
        </w:rPr>
        <w:t xml:space="preserve">the author used </w:t>
      </w:r>
      <w:r w:rsidR="00F864FB" w:rsidRPr="00047912">
        <w:rPr>
          <w:rFonts w:asciiTheme="minorHAnsi" w:hAnsiTheme="minorHAnsi"/>
        </w:rPr>
        <w:t>scientific methods</w:t>
      </w:r>
      <w:r w:rsidR="00047912" w:rsidRPr="00047912">
        <w:rPr>
          <w:rFonts w:asciiTheme="minorHAnsi" w:hAnsiTheme="minorHAnsi"/>
        </w:rPr>
        <w:t>, namely description, analysis</w:t>
      </w:r>
      <w:r w:rsidR="00F864FB" w:rsidRPr="00047912">
        <w:rPr>
          <w:rFonts w:asciiTheme="minorHAnsi" w:hAnsiTheme="minorHAnsi"/>
        </w:rPr>
        <w:t xml:space="preserve"> </w:t>
      </w:r>
      <w:r w:rsidR="00047912" w:rsidRPr="00047912">
        <w:rPr>
          <w:rFonts w:asciiTheme="minorHAnsi" w:hAnsiTheme="minorHAnsi"/>
        </w:rPr>
        <w:t>and</w:t>
      </w:r>
      <w:r w:rsidR="0062174C" w:rsidRPr="00047912">
        <w:rPr>
          <w:rFonts w:asciiTheme="minorHAnsi" w:hAnsiTheme="minorHAnsi"/>
        </w:rPr>
        <w:t xml:space="preserve"> </w:t>
      </w:r>
      <w:r w:rsidR="00047912" w:rsidRPr="00047912">
        <w:rPr>
          <w:rFonts w:asciiTheme="minorHAnsi" w:hAnsiTheme="minorHAnsi"/>
        </w:rPr>
        <w:t>comparison with</w:t>
      </w:r>
      <w:r w:rsidR="0062174C" w:rsidRPr="00047912">
        <w:rPr>
          <w:rFonts w:asciiTheme="minorHAnsi" w:hAnsiTheme="minorHAnsi"/>
        </w:rPr>
        <w:t xml:space="preserve"> gambling taxation valid un</w:t>
      </w:r>
      <w:r w:rsidR="00F864FB" w:rsidRPr="00047912">
        <w:rPr>
          <w:rFonts w:asciiTheme="minorHAnsi" w:hAnsiTheme="minorHAnsi"/>
        </w:rPr>
        <w:t xml:space="preserve">til </w:t>
      </w:r>
      <w:r w:rsidR="0062174C" w:rsidRPr="00047912">
        <w:rPr>
          <w:rFonts w:asciiTheme="minorHAnsi" w:hAnsiTheme="minorHAnsi"/>
        </w:rPr>
        <w:t xml:space="preserve">the end of 2016. </w:t>
      </w:r>
      <w:r w:rsidR="00047912" w:rsidRPr="00047912">
        <w:rPr>
          <w:rFonts w:asciiTheme="minorHAnsi" w:hAnsiTheme="minorHAnsi" w:cs="Calibri"/>
          <w:color w:val="000000"/>
          <w:lang w:val="en-US"/>
        </w:rPr>
        <w:t xml:space="preserve">The first part of the thesis works with the analysis of individual constitutive elements of gambling taxes. The second part focuses on the specifics of </w:t>
      </w:r>
      <w:r w:rsidR="00047912">
        <w:rPr>
          <w:rFonts w:asciiTheme="minorHAnsi" w:hAnsiTheme="minorHAnsi" w:cs="Calibri"/>
          <w:color w:val="000000"/>
          <w:lang w:val="en-US"/>
        </w:rPr>
        <w:t>gambling tax administration</w:t>
      </w:r>
      <w:r w:rsidR="00047912" w:rsidRPr="00047912">
        <w:rPr>
          <w:rFonts w:asciiTheme="minorHAnsi" w:hAnsiTheme="minorHAnsi" w:cs="Calibri"/>
          <w:color w:val="000000"/>
          <w:lang w:val="en-US"/>
        </w:rPr>
        <w:t>. The conclusion aims to evaluate the regulation on gambling taxation, alongside considerations de lege ferenda.</w:t>
      </w:r>
    </w:p>
    <w:p w14:paraId="69F6FC1D" w14:textId="77777777" w:rsidR="00047912" w:rsidRPr="00047912" w:rsidRDefault="00047912" w:rsidP="00047912">
      <w:pPr>
        <w:pStyle w:val="DalodstavceEN"/>
        <w:rPr>
          <w:lang w:val="cs-CZ"/>
        </w:rPr>
        <w:sectPr w:rsidR="00047912" w:rsidRPr="00047912" w:rsidSect="00533A95">
          <w:type w:val="evenPage"/>
          <w:pgSz w:w="11906" w:h="16838" w:code="9"/>
          <w:pgMar w:top="2614" w:right="2019" w:bottom="2381" w:left="505" w:header="2019" w:footer="1276" w:gutter="2019"/>
          <w:cols w:space="708"/>
          <w:docGrid w:linePitch="360"/>
        </w:sectPr>
      </w:pPr>
    </w:p>
    <w:p w14:paraId="4332CA70" w14:textId="77777777" w:rsidR="006613D4" w:rsidRPr="00152A7A" w:rsidRDefault="006613D4" w:rsidP="00CE1A04">
      <w:pPr>
        <w:pStyle w:val="ZPNadpis1vodn"/>
      </w:pPr>
      <w:r w:rsidRPr="00152A7A">
        <w:lastRenderedPageBreak/>
        <w:t>Čestné prohlášení</w:t>
      </w:r>
    </w:p>
    <w:p w14:paraId="0E8D05BB" w14:textId="77777777" w:rsidR="006613D4" w:rsidRPr="00152A7A" w:rsidRDefault="006613D4" w:rsidP="00ED1B1E">
      <w:pPr>
        <w:pStyle w:val="ZPZklad"/>
      </w:pPr>
      <w:r w:rsidRPr="00152A7A">
        <w:t xml:space="preserve">Prohlašuji, že jsem </w:t>
      </w:r>
      <w:sdt>
        <w:sdtPr>
          <w:id w:val="-1048443409"/>
          <w:placeholder>
            <w:docPart w:val="5F32D0FF0289496193EA5AFD789CCE63"/>
          </w:placeholder>
          <w:comboBox>
            <w:listItem w:value="[vyberte druh práce]"/>
            <w:listItem w:displayText="diplomovou" w:value="diplomovou"/>
            <w:listItem w:displayText="bakalářskou" w:value="bakalářskou"/>
          </w:comboBox>
        </w:sdtPr>
        <w:sdtContent>
          <w:r w:rsidR="00306395">
            <w:t>diplomovou</w:t>
          </w:r>
        </w:sdtContent>
      </w:sdt>
      <w:r w:rsidR="00A9666B" w:rsidRPr="00152A7A">
        <w:t xml:space="preserve"> </w:t>
      </w:r>
      <w:r w:rsidRPr="00152A7A">
        <w:t>práci</w:t>
      </w:r>
      <w:r w:rsidR="00ED1B1E" w:rsidRPr="00152A7A">
        <w:t xml:space="preserve"> na téma</w:t>
      </w:r>
      <w:r w:rsidRPr="00152A7A">
        <w:rPr>
          <w:rStyle w:val="ZPSilnvyznaen"/>
        </w:rPr>
        <w:t xml:space="preserve"> </w:t>
      </w:r>
      <w:sdt>
        <w:sdtPr>
          <w:rPr>
            <w:rStyle w:val="ZPSilnvyznaen"/>
          </w:rPr>
          <w:alias w:val="Název"/>
          <w:tag w:val=""/>
          <w:id w:val="418843204"/>
          <w:placeholder>
            <w:docPart w:val="936B9E0907C4426DB7E7104A11D08E13"/>
          </w:placeholder>
          <w:dataBinding w:prefixMappings="xmlns:ns0='http://purl.org/dc/elements/1.1/' xmlns:ns1='http://schemas.openxmlformats.org/package/2006/metadata/core-properties' " w:xpath="/ns1:coreProperties[1]/ns0:title[1]" w:storeItemID="{6C3C8BC8-F283-45AE-878A-BAB7291924A1}"/>
          <w:text/>
        </w:sdtPr>
        <w:sdtContent>
          <w:r w:rsidR="00306395">
            <w:rPr>
              <w:rStyle w:val="ZPSilnvyznaen"/>
            </w:rPr>
            <w:t>Zdanění hazardu</w:t>
          </w:r>
        </w:sdtContent>
      </w:sdt>
      <w:r w:rsidR="00A9666B" w:rsidRPr="00152A7A">
        <w:rPr>
          <w:rStyle w:val="ZPSilnvyznaen"/>
        </w:rPr>
        <w:t xml:space="preserve"> </w:t>
      </w:r>
      <w:sdt>
        <w:sdtPr>
          <w:rPr>
            <w:rStyle w:val="ZPSilnvyznaen"/>
            <w:b w:val="0"/>
          </w:rPr>
          <w:id w:val="1031064272"/>
          <w:placeholder>
            <w:docPart w:val="5F32D0FF0289496193EA5AFD789CCE63"/>
          </w:placeholder>
          <w:comboBox>
            <w:listItem w:value="Zvolte položku."/>
            <w:listItem w:displayText="zpracovala sama" w:value="zpracovala sama"/>
            <w:listItem w:displayText="zpracoval sám" w:value="zpracoval sám"/>
          </w:comboBox>
        </w:sdtPr>
        <w:sdtContent>
          <w:r w:rsidR="00306395">
            <w:rPr>
              <w:rStyle w:val="ZPSilnvyznaen"/>
              <w:b w:val="0"/>
            </w:rPr>
            <w:t>zpracovala sama</w:t>
          </w:r>
        </w:sdtContent>
      </w:sdt>
      <w:r w:rsidR="00ED1B1E" w:rsidRPr="00152A7A">
        <w:t>. V</w:t>
      </w:r>
      <w:r w:rsidRPr="00152A7A">
        <w:t>eškeré prameny a </w:t>
      </w:r>
      <w:r w:rsidR="00ED1B1E" w:rsidRPr="00152A7A">
        <w:t xml:space="preserve">zdroje </w:t>
      </w:r>
      <w:r w:rsidRPr="00152A7A">
        <w:t>informac</w:t>
      </w:r>
      <w:r w:rsidR="00ED1B1E" w:rsidRPr="00152A7A">
        <w:t xml:space="preserve">í, které jsem </w:t>
      </w:r>
      <w:sdt>
        <w:sdtPr>
          <w:id w:val="-1571889777"/>
          <w:placeholder>
            <w:docPart w:val="6BCF541AAE9347C7A8022A0A63418E19"/>
          </w:placeholder>
          <w:comboBox>
            <w:listItem w:value="Zvolte položku."/>
            <w:listItem w:displayText="použil" w:value="použil"/>
            <w:listItem w:displayText="použila" w:value="použila"/>
          </w:comboBox>
        </w:sdtPr>
        <w:sdtContent>
          <w:r w:rsidR="00306395">
            <w:t>použila</w:t>
          </w:r>
        </w:sdtContent>
      </w:sdt>
      <w:r w:rsidR="00417009" w:rsidRPr="00152A7A">
        <w:t xml:space="preserve"> </w:t>
      </w:r>
      <w:r w:rsidR="00ED1B1E" w:rsidRPr="00152A7A">
        <w:t xml:space="preserve">k sepsání této práce, byly citovány v poznámkách pod čarou a jsou uvedeny v seznamu použitých pramenů </w:t>
      </w:r>
      <w:r w:rsidR="00141984" w:rsidRPr="00152A7A">
        <w:t>a </w:t>
      </w:r>
      <w:r w:rsidR="00ED1B1E" w:rsidRPr="00152A7A">
        <w:t>literatury.</w:t>
      </w:r>
    </w:p>
    <w:p w14:paraId="53217EA5" w14:textId="77B7FAD9" w:rsidR="00581933" w:rsidRPr="00152A7A" w:rsidRDefault="00F40517" w:rsidP="00FF3438">
      <w:pPr>
        <w:pStyle w:val="inZPPodpisprohlen"/>
        <w:spacing w:before="600"/>
      </w:pPr>
      <w:r w:rsidRPr="00152A7A">
        <w:t xml:space="preserve">V Brně </w:t>
      </w:r>
      <w:sdt>
        <w:sdtPr>
          <w:id w:val="541563648"/>
          <w:placeholder>
            <w:docPart w:val="7A4FC56F678F4FA9B1FC8CADF62FC5E2"/>
          </w:placeholder>
          <w:date w:fullDate="2020-06-30T00:00:00Z">
            <w:dateFormat w:val="d. MMMM yyyy"/>
            <w:lid w:val="cs-CZ"/>
            <w:storeMappedDataAs w:val="dateTime"/>
            <w:calendar w:val="gregorian"/>
          </w:date>
        </w:sdtPr>
        <w:sdtContent>
          <w:r w:rsidR="008A3BB4">
            <w:t>30. června 2020</w:t>
          </w:r>
        </w:sdtContent>
      </w:sdt>
      <w:r w:rsidR="00581933" w:rsidRPr="00152A7A">
        <w:tab/>
      </w:r>
      <w:r w:rsidR="00FF3438" w:rsidRPr="00152A7A">
        <w:t>.......................................</w:t>
      </w:r>
      <w:r w:rsidR="00581933" w:rsidRPr="00152A7A">
        <w:tab/>
      </w:r>
      <w:sdt>
        <w:sdtPr>
          <w:alias w:val="Autor"/>
          <w:tag w:val=""/>
          <w:id w:val="-1420636599"/>
          <w:placeholder>
            <w:docPart w:val="23984711C9D847EDA1529F4C7D23C3AB"/>
          </w:placeholder>
          <w:dataBinding w:prefixMappings="xmlns:ns0='http://purl.org/dc/elements/1.1/' xmlns:ns1='http://schemas.openxmlformats.org/package/2006/metadata/core-properties' " w:xpath="/ns1:coreProperties[1]/ns0:creator[1]" w:storeItemID="{6C3C8BC8-F283-45AE-878A-BAB7291924A1}"/>
          <w:text/>
        </w:sdtPr>
        <w:sdtContent>
          <w:r w:rsidR="00306395">
            <w:t>Simona Marie Zdeňková</w:t>
          </w:r>
        </w:sdtContent>
      </w:sdt>
    </w:p>
    <w:p w14:paraId="4704641F" w14:textId="77777777" w:rsidR="00920AB6" w:rsidRPr="00152A7A" w:rsidRDefault="00920AB6" w:rsidP="00581933">
      <w:pPr>
        <w:pStyle w:val="inZPPodpisprohlen"/>
      </w:pPr>
    </w:p>
    <w:p w14:paraId="0E81CD7C" w14:textId="77777777" w:rsidR="00FF3438" w:rsidRPr="00152A7A" w:rsidRDefault="00FF3438" w:rsidP="00581933">
      <w:pPr>
        <w:pStyle w:val="inZPPodpisprohlen"/>
        <w:sectPr w:rsidR="00FF3438" w:rsidRPr="00152A7A" w:rsidSect="00533A95">
          <w:type w:val="oddPage"/>
          <w:pgSz w:w="11906" w:h="16838" w:code="9"/>
          <w:pgMar w:top="2614" w:right="2019" w:bottom="2381" w:left="505" w:header="2019" w:footer="1276" w:gutter="2019"/>
          <w:cols w:space="708"/>
          <w:vAlign w:val="bottom"/>
          <w:docGrid w:linePitch="360"/>
        </w:sectPr>
      </w:pPr>
    </w:p>
    <w:p w14:paraId="24B4C7D2" w14:textId="77777777" w:rsidR="00F40517" w:rsidRPr="00152A7A" w:rsidRDefault="00210C1C" w:rsidP="00CE1A04">
      <w:pPr>
        <w:pStyle w:val="ZPNadpis1vodn"/>
      </w:pPr>
      <w:r w:rsidRPr="00152A7A">
        <w:lastRenderedPageBreak/>
        <w:t>Poděkování</w:t>
      </w:r>
    </w:p>
    <w:p w14:paraId="4662787D" w14:textId="77777777" w:rsidR="009951BF" w:rsidRPr="00152A7A" w:rsidRDefault="00C816CE" w:rsidP="00DF738D">
      <w:pPr>
        <w:pStyle w:val="Odstavec1"/>
        <w:sectPr w:rsidR="009951BF" w:rsidRPr="00152A7A" w:rsidSect="0077320E">
          <w:footerReference w:type="default" r:id="rId19"/>
          <w:footerReference w:type="first" r:id="rId20"/>
          <w:type w:val="oddPage"/>
          <w:pgSz w:w="11906" w:h="16838" w:code="9"/>
          <w:pgMar w:top="2614" w:right="2019" w:bottom="2381" w:left="505" w:header="2019" w:footer="1276" w:gutter="2019"/>
          <w:cols w:space="708"/>
          <w:docGrid w:linePitch="360"/>
        </w:sectPr>
      </w:pPr>
      <w:r>
        <w:t>Na tomto místě bych ráda poděkovala do</w:t>
      </w:r>
      <w:r w:rsidR="00113FF8">
        <w:t>c. JUDr. Michalu Radvanovi, Ph.</w:t>
      </w:r>
      <w:r>
        <w:t>D. za vstřícný přístup a cenné rady. Dále mé poděkování patří zejména mojí rodině za podporu během celého studia.</w:t>
      </w:r>
    </w:p>
    <w:p w14:paraId="4AB52BE6" w14:textId="77777777" w:rsidR="00E76694" w:rsidRPr="00152A7A" w:rsidRDefault="00F44C00" w:rsidP="002E640F">
      <w:pPr>
        <w:pStyle w:val="ZPNadpis1vodn"/>
      </w:pPr>
      <w:r w:rsidRPr="00152A7A">
        <w:lastRenderedPageBreak/>
        <w:t>Obsah</w:t>
      </w:r>
    </w:p>
    <w:p w14:paraId="10CD364E" w14:textId="097BBBDA" w:rsidR="001530BB" w:rsidRDefault="00834EF4">
      <w:pPr>
        <w:pStyle w:val="Obsah1"/>
        <w:rPr>
          <w:rFonts w:asciiTheme="minorHAnsi" w:eastAsiaTheme="minorEastAsia" w:hAnsiTheme="minorHAnsi" w:cstheme="minorBidi"/>
          <w:b w:val="0"/>
          <w:color w:val="auto"/>
          <w:sz w:val="22"/>
          <w:szCs w:val="22"/>
        </w:rPr>
      </w:pPr>
      <w:r>
        <w:rPr>
          <w:b w:val="0"/>
          <w:bCs/>
        </w:rPr>
        <w:fldChar w:fldCharType="begin"/>
      </w:r>
      <w:r>
        <w:rPr>
          <w:b w:val="0"/>
          <w:bCs/>
        </w:rPr>
        <w:instrText xml:space="preserve"> TOC \o "1-2" </w:instrText>
      </w:r>
      <w:r>
        <w:rPr>
          <w:b w:val="0"/>
          <w:bCs/>
        </w:rPr>
        <w:fldChar w:fldCharType="separate"/>
      </w:r>
      <w:r w:rsidR="001530BB">
        <w:t>Úvod</w:t>
      </w:r>
      <w:r w:rsidR="001530BB">
        <w:tab/>
      </w:r>
      <w:r w:rsidR="001530BB">
        <w:fldChar w:fldCharType="begin"/>
      </w:r>
      <w:r w:rsidR="001530BB">
        <w:instrText xml:space="preserve"> PAGEREF _Toc44451444 \h </w:instrText>
      </w:r>
      <w:r w:rsidR="001530BB">
        <w:fldChar w:fldCharType="separate"/>
      </w:r>
      <w:r w:rsidR="00465B0D">
        <w:t>13</w:t>
      </w:r>
      <w:r w:rsidR="001530BB">
        <w:fldChar w:fldCharType="end"/>
      </w:r>
    </w:p>
    <w:p w14:paraId="2BA90B8E" w14:textId="0959F3AC" w:rsidR="001530BB" w:rsidRDefault="001530BB">
      <w:pPr>
        <w:pStyle w:val="Obsah1"/>
        <w:rPr>
          <w:rFonts w:asciiTheme="minorHAnsi" w:eastAsiaTheme="minorEastAsia" w:hAnsiTheme="minorHAnsi" w:cstheme="minorBidi"/>
          <w:b w:val="0"/>
          <w:color w:val="auto"/>
          <w:sz w:val="22"/>
          <w:szCs w:val="22"/>
        </w:rPr>
      </w:pPr>
      <w:r>
        <w:t>1</w:t>
      </w:r>
      <w:r>
        <w:rPr>
          <w:rFonts w:asciiTheme="minorHAnsi" w:eastAsiaTheme="minorEastAsia" w:hAnsiTheme="minorHAnsi" w:cstheme="minorBidi"/>
          <w:b w:val="0"/>
          <w:color w:val="auto"/>
          <w:sz w:val="22"/>
          <w:szCs w:val="22"/>
        </w:rPr>
        <w:tab/>
      </w:r>
      <w:r>
        <w:t>Zásadní důvody přijetí nové právní úpravy hazardních her</w:t>
      </w:r>
      <w:r>
        <w:tab/>
      </w:r>
      <w:r>
        <w:fldChar w:fldCharType="begin"/>
      </w:r>
      <w:r>
        <w:instrText xml:space="preserve"> PAGEREF _Toc44451445 \h </w:instrText>
      </w:r>
      <w:r>
        <w:fldChar w:fldCharType="separate"/>
      </w:r>
      <w:r w:rsidR="00465B0D">
        <w:t>16</w:t>
      </w:r>
      <w:r>
        <w:fldChar w:fldCharType="end"/>
      </w:r>
    </w:p>
    <w:p w14:paraId="0F2D096D" w14:textId="3E084DEF" w:rsidR="001530BB" w:rsidRDefault="001530BB">
      <w:pPr>
        <w:pStyle w:val="Obsah1"/>
        <w:rPr>
          <w:rFonts w:asciiTheme="minorHAnsi" w:eastAsiaTheme="minorEastAsia" w:hAnsiTheme="minorHAnsi" w:cstheme="minorBidi"/>
          <w:b w:val="0"/>
          <w:color w:val="auto"/>
          <w:sz w:val="22"/>
          <w:szCs w:val="22"/>
        </w:rPr>
      </w:pPr>
      <w:r>
        <w:t>2</w:t>
      </w:r>
      <w:r>
        <w:rPr>
          <w:rFonts w:asciiTheme="minorHAnsi" w:eastAsiaTheme="minorEastAsia" w:hAnsiTheme="minorHAnsi" w:cstheme="minorBidi"/>
          <w:b w:val="0"/>
          <w:color w:val="auto"/>
          <w:sz w:val="22"/>
          <w:szCs w:val="22"/>
        </w:rPr>
        <w:tab/>
      </w:r>
      <w:r>
        <w:t>Daň z hazardních her v systému daní</w:t>
      </w:r>
      <w:r>
        <w:tab/>
      </w:r>
      <w:r>
        <w:fldChar w:fldCharType="begin"/>
      </w:r>
      <w:r>
        <w:instrText xml:space="preserve"> PAGEREF _Toc44451446 \h </w:instrText>
      </w:r>
      <w:r>
        <w:fldChar w:fldCharType="separate"/>
      </w:r>
      <w:r w:rsidR="00465B0D">
        <w:t>20</w:t>
      </w:r>
      <w:r>
        <w:fldChar w:fldCharType="end"/>
      </w:r>
    </w:p>
    <w:p w14:paraId="4DCF4EF9" w14:textId="7A7C644F" w:rsidR="001530BB" w:rsidRDefault="001530BB">
      <w:pPr>
        <w:pStyle w:val="Obsah1"/>
        <w:rPr>
          <w:rFonts w:asciiTheme="minorHAnsi" w:eastAsiaTheme="minorEastAsia" w:hAnsiTheme="minorHAnsi" w:cstheme="minorBidi"/>
          <w:b w:val="0"/>
          <w:color w:val="auto"/>
          <w:sz w:val="22"/>
          <w:szCs w:val="22"/>
        </w:rPr>
      </w:pPr>
      <w:r>
        <w:t>3</w:t>
      </w:r>
      <w:r>
        <w:rPr>
          <w:rFonts w:asciiTheme="minorHAnsi" w:eastAsiaTheme="minorEastAsia" w:hAnsiTheme="minorHAnsi" w:cstheme="minorBidi"/>
          <w:b w:val="0"/>
          <w:color w:val="auto"/>
          <w:sz w:val="22"/>
          <w:szCs w:val="22"/>
        </w:rPr>
        <w:tab/>
      </w:r>
      <w:r>
        <w:t>Konstrukční prvky daně z hazardních her</w:t>
      </w:r>
      <w:r>
        <w:tab/>
      </w:r>
      <w:r>
        <w:fldChar w:fldCharType="begin"/>
      </w:r>
      <w:r>
        <w:instrText xml:space="preserve"> PAGEREF _Toc44451447 \h </w:instrText>
      </w:r>
      <w:r>
        <w:fldChar w:fldCharType="separate"/>
      </w:r>
      <w:r w:rsidR="00465B0D">
        <w:t>25</w:t>
      </w:r>
      <w:r>
        <w:fldChar w:fldCharType="end"/>
      </w:r>
    </w:p>
    <w:p w14:paraId="25157F06" w14:textId="413B28DF" w:rsidR="001530BB" w:rsidRDefault="001530BB">
      <w:pPr>
        <w:pStyle w:val="Obsah2"/>
        <w:rPr>
          <w:rFonts w:asciiTheme="minorHAnsi" w:eastAsiaTheme="minorEastAsia" w:hAnsiTheme="minorHAnsi" w:cstheme="minorBidi"/>
          <w:iCs w:val="0"/>
          <w:sz w:val="22"/>
          <w:szCs w:val="22"/>
        </w:rPr>
      </w:pPr>
      <w:r>
        <w:t>3.1</w:t>
      </w:r>
      <w:r>
        <w:rPr>
          <w:rFonts w:asciiTheme="minorHAnsi" w:eastAsiaTheme="minorEastAsia" w:hAnsiTheme="minorHAnsi" w:cstheme="minorBidi"/>
          <w:iCs w:val="0"/>
          <w:sz w:val="22"/>
          <w:szCs w:val="22"/>
        </w:rPr>
        <w:tab/>
      </w:r>
      <w:r>
        <w:t>Subjekt daně z hazardních her</w:t>
      </w:r>
      <w:r>
        <w:tab/>
      </w:r>
      <w:r>
        <w:fldChar w:fldCharType="begin"/>
      </w:r>
      <w:r>
        <w:instrText xml:space="preserve"> PAGEREF _Toc44451448 \h </w:instrText>
      </w:r>
      <w:r>
        <w:fldChar w:fldCharType="separate"/>
      </w:r>
      <w:r w:rsidR="00465B0D">
        <w:t>26</w:t>
      </w:r>
      <w:r>
        <w:fldChar w:fldCharType="end"/>
      </w:r>
    </w:p>
    <w:p w14:paraId="44B6D77B" w14:textId="144841CB" w:rsidR="001530BB" w:rsidRDefault="001530BB">
      <w:pPr>
        <w:pStyle w:val="Obsah2"/>
        <w:rPr>
          <w:rFonts w:asciiTheme="minorHAnsi" w:eastAsiaTheme="minorEastAsia" w:hAnsiTheme="minorHAnsi" w:cstheme="minorBidi"/>
          <w:iCs w:val="0"/>
          <w:sz w:val="22"/>
          <w:szCs w:val="22"/>
        </w:rPr>
      </w:pPr>
      <w:r>
        <w:t>3.2</w:t>
      </w:r>
      <w:r>
        <w:rPr>
          <w:rFonts w:asciiTheme="minorHAnsi" w:eastAsiaTheme="minorEastAsia" w:hAnsiTheme="minorHAnsi" w:cstheme="minorBidi"/>
          <w:iCs w:val="0"/>
          <w:sz w:val="22"/>
          <w:szCs w:val="22"/>
        </w:rPr>
        <w:tab/>
      </w:r>
      <w:r>
        <w:t>Předmět daně z hazardních her</w:t>
      </w:r>
      <w:r>
        <w:tab/>
      </w:r>
      <w:r>
        <w:fldChar w:fldCharType="begin"/>
      </w:r>
      <w:r>
        <w:instrText xml:space="preserve"> PAGEREF _Toc44451449 \h </w:instrText>
      </w:r>
      <w:r>
        <w:fldChar w:fldCharType="separate"/>
      </w:r>
      <w:r w:rsidR="00465B0D">
        <w:t>31</w:t>
      </w:r>
      <w:r>
        <w:fldChar w:fldCharType="end"/>
      </w:r>
    </w:p>
    <w:p w14:paraId="35755C68" w14:textId="265EEDDE" w:rsidR="001530BB" w:rsidRDefault="001530BB">
      <w:pPr>
        <w:pStyle w:val="Obsah2"/>
        <w:rPr>
          <w:rFonts w:asciiTheme="minorHAnsi" w:eastAsiaTheme="minorEastAsia" w:hAnsiTheme="minorHAnsi" w:cstheme="minorBidi"/>
          <w:iCs w:val="0"/>
          <w:sz w:val="22"/>
          <w:szCs w:val="22"/>
        </w:rPr>
      </w:pPr>
      <w:r>
        <w:t>3.3</w:t>
      </w:r>
      <w:r>
        <w:rPr>
          <w:rFonts w:asciiTheme="minorHAnsi" w:eastAsiaTheme="minorEastAsia" w:hAnsiTheme="minorHAnsi" w:cstheme="minorBidi"/>
          <w:iCs w:val="0"/>
          <w:sz w:val="22"/>
          <w:szCs w:val="22"/>
        </w:rPr>
        <w:tab/>
      </w:r>
      <w:r>
        <w:t>Základ daně z hazardních her</w:t>
      </w:r>
      <w:r>
        <w:tab/>
      </w:r>
      <w:r>
        <w:fldChar w:fldCharType="begin"/>
      </w:r>
      <w:r>
        <w:instrText xml:space="preserve"> PAGEREF _Toc44451450 \h </w:instrText>
      </w:r>
      <w:r>
        <w:fldChar w:fldCharType="separate"/>
      </w:r>
      <w:r w:rsidR="00465B0D">
        <w:t>37</w:t>
      </w:r>
      <w:r>
        <w:fldChar w:fldCharType="end"/>
      </w:r>
    </w:p>
    <w:p w14:paraId="7266C9A2" w14:textId="5BA4AA47" w:rsidR="001530BB" w:rsidRDefault="001530BB">
      <w:pPr>
        <w:pStyle w:val="Obsah2"/>
        <w:rPr>
          <w:rFonts w:asciiTheme="minorHAnsi" w:eastAsiaTheme="minorEastAsia" w:hAnsiTheme="minorHAnsi" w:cstheme="minorBidi"/>
          <w:iCs w:val="0"/>
          <w:sz w:val="22"/>
          <w:szCs w:val="22"/>
        </w:rPr>
      </w:pPr>
      <w:r>
        <w:t>3.4</w:t>
      </w:r>
      <w:r>
        <w:rPr>
          <w:rFonts w:asciiTheme="minorHAnsi" w:eastAsiaTheme="minorEastAsia" w:hAnsiTheme="minorHAnsi" w:cstheme="minorBidi"/>
          <w:iCs w:val="0"/>
          <w:sz w:val="22"/>
          <w:szCs w:val="22"/>
        </w:rPr>
        <w:tab/>
      </w:r>
      <w:r>
        <w:t>Sazba daně z hazardních her</w:t>
      </w:r>
      <w:r>
        <w:tab/>
      </w:r>
      <w:r>
        <w:fldChar w:fldCharType="begin"/>
      </w:r>
      <w:r>
        <w:instrText xml:space="preserve"> PAGEREF _Toc44451451 \h </w:instrText>
      </w:r>
      <w:r>
        <w:fldChar w:fldCharType="separate"/>
      </w:r>
      <w:r w:rsidR="00465B0D">
        <w:t>42</w:t>
      </w:r>
      <w:r>
        <w:fldChar w:fldCharType="end"/>
      </w:r>
    </w:p>
    <w:p w14:paraId="6C525378" w14:textId="4FB5A598" w:rsidR="001530BB" w:rsidRDefault="001530BB">
      <w:pPr>
        <w:pStyle w:val="Obsah2"/>
        <w:rPr>
          <w:rFonts w:asciiTheme="minorHAnsi" w:eastAsiaTheme="minorEastAsia" w:hAnsiTheme="minorHAnsi" w:cstheme="minorBidi"/>
          <w:iCs w:val="0"/>
          <w:sz w:val="22"/>
          <w:szCs w:val="22"/>
        </w:rPr>
      </w:pPr>
      <w:r>
        <w:t>3.5</w:t>
      </w:r>
      <w:r>
        <w:rPr>
          <w:rFonts w:asciiTheme="minorHAnsi" w:eastAsiaTheme="minorEastAsia" w:hAnsiTheme="minorHAnsi" w:cstheme="minorBidi"/>
          <w:iCs w:val="0"/>
          <w:sz w:val="22"/>
          <w:szCs w:val="22"/>
        </w:rPr>
        <w:tab/>
      </w:r>
      <w:r>
        <w:t>Výpočet daně z hazardních her</w:t>
      </w:r>
      <w:r>
        <w:tab/>
      </w:r>
      <w:r>
        <w:fldChar w:fldCharType="begin"/>
      </w:r>
      <w:r>
        <w:instrText xml:space="preserve"> PAGEREF _Toc44451452 \h </w:instrText>
      </w:r>
      <w:r>
        <w:fldChar w:fldCharType="separate"/>
      </w:r>
      <w:r w:rsidR="00465B0D">
        <w:t>45</w:t>
      </w:r>
      <w:r>
        <w:fldChar w:fldCharType="end"/>
      </w:r>
    </w:p>
    <w:p w14:paraId="2D591A1B" w14:textId="0D72AE52" w:rsidR="001530BB" w:rsidRDefault="001530BB">
      <w:pPr>
        <w:pStyle w:val="Obsah2"/>
        <w:rPr>
          <w:rFonts w:asciiTheme="minorHAnsi" w:eastAsiaTheme="minorEastAsia" w:hAnsiTheme="minorHAnsi" w:cstheme="minorBidi"/>
          <w:iCs w:val="0"/>
          <w:sz w:val="22"/>
          <w:szCs w:val="22"/>
        </w:rPr>
      </w:pPr>
      <w:r>
        <w:t>3.6</w:t>
      </w:r>
      <w:r>
        <w:rPr>
          <w:rFonts w:asciiTheme="minorHAnsi" w:eastAsiaTheme="minorEastAsia" w:hAnsiTheme="minorHAnsi" w:cstheme="minorBidi"/>
          <w:iCs w:val="0"/>
          <w:sz w:val="22"/>
          <w:szCs w:val="22"/>
        </w:rPr>
        <w:tab/>
      </w:r>
      <w:r>
        <w:t>Zdaňovací období daně z hazardních her</w:t>
      </w:r>
      <w:r>
        <w:tab/>
      </w:r>
      <w:r>
        <w:fldChar w:fldCharType="begin"/>
      </w:r>
      <w:r>
        <w:instrText xml:space="preserve"> PAGEREF _Toc44451453 \h </w:instrText>
      </w:r>
      <w:r>
        <w:fldChar w:fldCharType="separate"/>
      </w:r>
      <w:r w:rsidR="00465B0D">
        <w:t>46</w:t>
      </w:r>
      <w:r>
        <w:fldChar w:fldCharType="end"/>
      </w:r>
    </w:p>
    <w:p w14:paraId="4E4B4CDB" w14:textId="3641D1F8" w:rsidR="001530BB" w:rsidRDefault="001530BB">
      <w:pPr>
        <w:pStyle w:val="Obsah2"/>
        <w:rPr>
          <w:rFonts w:asciiTheme="minorHAnsi" w:eastAsiaTheme="minorEastAsia" w:hAnsiTheme="minorHAnsi" w:cstheme="minorBidi"/>
          <w:iCs w:val="0"/>
          <w:sz w:val="22"/>
          <w:szCs w:val="22"/>
        </w:rPr>
      </w:pPr>
      <w:r>
        <w:t>3.7</w:t>
      </w:r>
      <w:r>
        <w:rPr>
          <w:rFonts w:asciiTheme="minorHAnsi" w:eastAsiaTheme="minorEastAsia" w:hAnsiTheme="minorHAnsi" w:cstheme="minorBidi"/>
          <w:iCs w:val="0"/>
          <w:sz w:val="22"/>
          <w:szCs w:val="22"/>
        </w:rPr>
        <w:tab/>
      </w:r>
      <w:r>
        <w:t>Rozpočtové určení daně z hazardních her</w:t>
      </w:r>
      <w:r>
        <w:tab/>
      </w:r>
      <w:r>
        <w:fldChar w:fldCharType="begin"/>
      </w:r>
      <w:r>
        <w:instrText xml:space="preserve"> PAGEREF _Toc44451454 \h </w:instrText>
      </w:r>
      <w:r>
        <w:fldChar w:fldCharType="separate"/>
      </w:r>
      <w:r w:rsidR="00465B0D">
        <w:t>47</w:t>
      </w:r>
      <w:r>
        <w:fldChar w:fldCharType="end"/>
      </w:r>
    </w:p>
    <w:p w14:paraId="39D05F9A" w14:textId="062A10A2" w:rsidR="001530BB" w:rsidRDefault="001530BB">
      <w:pPr>
        <w:pStyle w:val="Obsah1"/>
        <w:rPr>
          <w:rFonts w:asciiTheme="minorHAnsi" w:eastAsiaTheme="minorEastAsia" w:hAnsiTheme="minorHAnsi" w:cstheme="minorBidi"/>
          <w:b w:val="0"/>
          <w:color w:val="auto"/>
          <w:sz w:val="22"/>
          <w:szCs w:val="22"/>
        </w:rPr>
      </w:pPr>
      <w:r>
        <w:t>4</w:t>
      </w:r>
      <w:r>
        <w:rPr>
          <w:rFonts w:asciiTheme="minorHAnsi" w:eastAsiaTheme="minorEastAsia" w:hAnsiTheme="minorHAnsi" w:cstheme="minorBidi"/>
          <w:b w:val="0"/>
          <w:color w:val="auto"/>
          <w:sz w:val="22"/>
          <w:szCs w:val="22"/>
        </w:rPr>
        <w:tab/>
      </w:r>
      <w:r>
        <w:t>Správa daně z hazardních her</w:t>
      </w:r>
      <w:r>
        <w:tab/>
      </w:r>
      <w:r>
        <w:fldChar w:fldCharType="begin"/>
      </w:r>
      <w:r>
        <w:instrText xml:space="preserve"> PAGEREF _Toc44451455 \h </w:instrText>
      </w:r>
      <w:r>
        <w:fldChar w:fldCharType="separate"/>
      </w:r>
      <w:r w:rsidR="00465B0D">
        <w:t>53</w:t>
      </w:r>
      <w:r>
        <w:fldChar w:fldCharType="end"/>
      </w:r>
    </w:p>
    <w:p w14:paraId="09F05BF5" w14:textId="4994A906" w:rsidR="001530BB" w:rsidRDefault="001530BB">
      <w:pPr>
        <w:pStyle w:val="Obsah1"/>
        <w:rPr>
          <w:rFonts w:asciiTheme="minorHAnsi" w:eastAsiaTheme="minorEastAsia" w:hAnsiTheme="minorHAnsi" w:cstheme="minorBidi"/>
          <w:b w:val="0"/>
          <w:color w:val="auto"/>
          <w:sz w:val="22"/>
          <w:szCs w:val="22"/>
        </w:rPr>
      </w:pPr>
      <w:r>
        <w:t>Závěr</w:t>
      </w:r>
      <w:r>
        <w:tab/>
      </w:r>
      <w:r>
        <w:fldChar w:fldCharType="begin"/>
      </w:r>
      <w:r>
        <w:instrText xml:space="preserve"> PAGEREF _Toc44451456 \h </w:instrText>
      </w:r>
      <w:r>
        <w:fldChar w:fldCharType="separate"/>
      </w:r>
      <w:r w:rsidR="00465B0D">
        <w:t>67</w:t>
      </w:r>
      <w:r>
        <w:fldChar w:fldCharType="end"/>
      </w:r>
    </w:p>
    <w:p w14:paraId="650484A4" w14:textId="1729A112" w:rsidR="001530BB" w:rsidRDefault="001530BB">
      <w:pPr>
        <w:pStyle w:val="Obsah1"/>
        <w:rPr>
          <w:rFonts w:asciiTheme="minorHAnsi" w:eastAsiaTheme="minorEastAsia" w:hAnsiTheme="minorHAnsi" w:cstheme="minorBidi"/>
          <w:b w:val="0"/>
          <w:color w:val="auto"/>
          <w:sz w:val="22"/>
          <w:szCs w:val="22"/>
        </w:rPr>
      </w:pPr>
      <w:r>
        <w:t>Použité zdroje</w:t>
      </w:r>
      <w:r>
        <w:tab/>
      </w:r>
      <w:r>
        <w:fldChar w:fldCharType="begin"/>
      </w:r>
      <w:r>
        <w:instrText xml:space="preserve"> PAGEREF _Toc44451457 \h </w:instrText>
      </w:r>
      <w:r>
        <w:fldChar w:fldCharType="separate"/>
      </w:r>
      <w:r w:rsidR="00465B0D">
        <w:t>73</w:t>
      </w:r>
      <w:r>
        <w:fldChar w:fldCharType="end"/>
      </w:r>
    </w:p>
    <w:p w14:paraId="79618215" w14:textId="42394EEE" w:rsidR="001530BB" w:rsidRDefault="001530BB">
      <w:pPr>
        <w:pStyle w:val="Obsah2"/>
        <w:rPr>
          <w:rFonts w:asciiTheme="minorHAnsi" w:eastAsiaTheme="minorEastAsia" w:hAnsiTheme="minorHAnsi" w:cstheme="minorBidi"/>
          <w:iCs w:val="0"/>
          <w:sz w:val="22"/>
          <w:szCs w:val="22"/>
        </w:rPr>
      </w:pPr>
      <w:r>
        <w:t>Monografie</w:t>
      </w:r>
      <w:r>
        <w:tab/>
      </w:r>
      <w:r>
        <w:fldChar w:fldCharType="begin"/>
      </w:r>
      <w:r>
        <w:instrText xml:space="preserve"> PAGEREF _Toc44451458 \h </w:instrText>
      </w:r>
      <w:r>
        <w:fldChar w:fldCharType="separate"/>
      </w:r>
      <w:r w:rsidR="00465B0D">
        <w:t>73</w:t>
      </w:r>
      <w:r>
        <w:fldChar w:fldCharType="end"/>
      </w:r>
    </w:p>
    <w:p w14:paraId="2CC85F29" w14:textId="2CB9C69B" w:rsidR="001530BB" w:rsidRDefault="001530BB">
      <w:pPr>
        <w:pStyle w:val="Obsah2"/>
        <w:rPr>
          <w:rFonts w:asciiTheme="minorHAnsi" w:eastAsiaTheme="minorEastAsia" w:hAnsiTheme="minorHAnsi" w:cstheme="minorBidi"/>
          <w:iCs w:val="0"/>
          <w:sz w:val="22"/>
          <w:szCs w:val="22"/>
        </w:rPr>
      </w:pPr>
      <w:r>
        <w:t>Odborné články</w:t>
      </w:r>
      <w:r>
        <w:tab/>
      </w:r>
      <w:r>
        <w:fldChar w:fldCharType="begin"/>
      </w:r>
      <w:r>
        <w:instrText xml:space="preserve"> PAGEREF _Toc44451459 \h </w:instrText>
      </w:r>
      <w:r>
        <w:fldChar w:fldCharType="separate"/>
      </w:r>
      <w:r w:rsidR="00465B0D">
        <w:t>74</w:t>
      </w:r>
      <w:r>
        <w:fldChar w:fldCharType="end"/>
      </w:r>
    </w:p>
    <w:p w14:paraId="1DF7615E" w14:textId="4F952FF8" w:rsidR="001530BB" w:rsidRDefault="001530BB">
      <w:pPr>
        <w:pStyle w:val="Obsah2"/>
        <w:rPr>
          <w:rFonts w:asciiTheme="minorHAnsi" w:eastAsiaTheme="minorEastAsia" w:hAnsiTheme="minorHAnsi" w:cstheme="minorBidi"/>
          <w:iCs w:val="0"/>
          <w:sz w:val="22"/>
          <w:szCs w:val="22"/>
        </w:rPr>
      </w:pPr>
      <w:r>
        <w:t>Judikatura</w:t>
      </w:r>
      <w:r>
        <w:tab/>
      </w:r>
      <w:r>
        <w:fldChar w:fldCharType="begin"/>
      </w:r>
      <w:r>
        <w:instrText xml:space="preserve"> PAGEREF _Toc44451460 \h </w:instrText>
      </w:r>
      <w:r>
        <w:fldChar w:fldCharType="separate"/>
      </w:r>
      <w:r w:rsidR="00465B0D">
        <w:t>76</w:t>
      </w:r>
      <w:r>
        <w:fldChar w:fldCharType="end"/>
      </w:r>
    </w:p>
    <w:p w14:paraId="365F12D7" w14:textId="1BA80938" w:rsidR="001530BB" w:rsidRDefault="001530BB">
      <w:pPr>
        <w:pStyle w:val="Obsah2"/>
        <w:rPr>
          <w:rFonts w:asciiTheme="minorHAnsi" w:eastAsiaTheme="minorEastAsia" w:hAnsiTheme="minorHAnsi" w:cstheme="minorBidi"/>
          <w:iCs w:val="0"/>
          <w:sz w:val="22"/>
          <w:szCs w:val="22"/>
        </w:rPr>
      </w:pPr>
      <w:r>
        <w:t>Právní předpisy</w:t>
      </w:r>
      <w:r>
        <w:tab/>
      </w:r>
      <w:r>
        <w:fldChar w:fldCharType="begin"/>
      </w:r>
      <w:r>
        <w:instrText xml:space="preserve"> PAGEREF _Toc44451461 \h </w:instrText>
      </w:r>
      <w:r>
        <w:fldChar w:fldCharType="separate"/>
      </w:r>
      <w:r w:rsidR="00465B0D">
        <w:t>77</w:t>
      </w:r>
      <w:r>
        <w:fldChar w:fldCharType="end"/>
      </w:r>
    </w:p>
    <w:p w14:paraId="786284B7" w14:textId="1393CAC5" w:rsidR="001530BB" w:rsidRDefault="001530BB">
      <w:pPr>
        <w:pStyle w:val="Obsah2"/>
        <w:rPr>
          <w:rFonts w:asciiTheme="minorHAnsi" w:eastAsiaTheme="minorEastAsia" w:hAnsiTheme="minorHAnsi" w:cstheme="minorBidi"/>
          <w:iCs w:val="0"/>
          <w:sz w:val="22"/>
          <w:szCs w:val="22"/>
        </w:rPr>
      </w:pPr>
      <w:r>
        <w:t>Ostatní</w:t>
      </w:r>
      <w:r>
        <w:tab/>
      </w:r>
      <w:r>
        <w:fldChar w:fldCharType="begin"/>
      </w:r>
      <w:r>
        <w:instrText xml:space="preserve"> PAGEREF _Toc44451462 \h </w:instrText>
      </w:r>
      <w:r>
        <w:fldChar w:fldCharType="separate"/>
      </w:r>
      <w:r w:rsidR="00465B0D">
        <w:t>79</w:t>
      </w:r>
      <w:r>
        <w:fldChar w:fldCharType="end"/>
      </w:r>
    </w:p>
    <w:p w14:paraId="4A163091" w14:textId="768A4CAD" w:rsidR="00A639A6" w:rsidRPr="00152A7A" w:rsidRDefault="00834EF4" w:rsidP="00A2558D">
      <w:pPr>
        <w:pStyle w:val="Dalodstavce"/>
      </w:pPr>
      <w:r>
        <w:rPr>
          <w:rFonts w:ascii="Arial" w:hAnsi="Arial" w:cs="Arial"/>
          <w:b/>
          <w:bCs/>
          <w:color w:val="0000DC"/>
        </w:rPr>
        <w:fldChar w:fldCharType="end"/>
      </w:r>
    </w:p>
    <w:p w14:paraId="5051F66D" w14:textId="77777777" w:rsidR="00A639A6" w:rsidRPr="00152A7A" w:rsidRDefault="00A639A6" w:rsidP="00FB5AD7">
      <w:pPr>
        <w:pStyle w:val="Dalodstavce"/>
        <w:ind w:firstLine="0"/>
        <w:sectPr w:rsidR="00A639A6" w:rsidRPr="00152A7A" w:rsidSect="0052762D">
          <w:headerReference w:type="even" r:id="rId21"/>
          <w:headerReference w:type="default" r:id="rId22"/>
          <w:footerReference w:type="default" r:id="rId23"/>
          <w:type w:val="oddPage"/>
          <w:pgSz w:w="11906" w:h="16838" w:code="9"/>
          <w:pgMar w:top="2614" w:right="2019" w:bottom="2381" w:left="505" w:header="2019" w:footer="1276" w:gutter="2019"/>
          <w:cols w:space="708"/>
          <w:docGrid w:linePitch="360"/>
        </w:sectPr>
      </w:pPr>
    </w:p>
    <w:p w14:paraId="7367A5EF" w14:textId="77777777" w:rsidR="00F44C00" w:rsidRPr="00152A7A" w:rsidRDefault="00F0276F" w:rsidP="00FA5CFD">
      <w:pPr>
        <w:pStyle w:val="Nadpis1"/>
        <w:numPr>
          <w:ilvl w:val="0"/>
          <w:numId w:val="0"/>
        </w:numPr>
        <w:ind w:left="360"/>
      </w:pPr>
      <w:bookmarkStart w:id="4" w:name="_Toc381564257"/>
      <w:bookmarkStart w:id="5" w:name="_Toc2781033"/>
      <w:bookmarkStart w:id="6" w:name="_Toc44451444"/>
      <w:r w:rsidRPr="00152A7A">
        <w:lastRenderedPageBreak/>
        <w:t>Úvod</w:t>
      </w:r>
      <w:bookmarkEnd w:id="4"/>
      <w:bookmarkEnd w:id="5"/>
      <w:bookmarkEnd w:id="6"/>
      <w:r w:rsidR="00821611">
        <w:t xml:space="preserve"> </w:t>
      </w:r>
    </w:p>
    <w:p w14:paraId="6A55C911" w14:textId="77777777" w:rsidR="00306395" w:rsidRDefault="00306395" w:rsidP="00306395">
      <w:pPr>
        <w:pStyle w:val="Odstavec1"/>
      </w:pPr>
      <w:r>
        <w:t>Hazardní</w:t>
      </w:r>
      <w:r w:rsidRPr="00976A97">
        <w:t xml:space="preserve"> hry byly ve společnosti pravděpodobně vždy jedním z nejoblíbenějších způsobů jak rychle a snadno zbohatnout. Nicméně oblast hazardních her s sebou nese vedle pozitivních externalit, jako je možnost snadné a neočekávané výhry pro účastníky hry a nemalé obohacení na straně provozovatelů, také řadu nezanedbatelných negativních externalit, které se především projevují v existenci sociálně patologických jevů. Jedná se zejména o vznik závislosti na hazardních hrách, zvýšení kriminality, vyšší míra zadluženosti hráčů a s tím spojené narušené rodinné vztahy apod.</w:t>
      </w:r>
    </w:p>
    <w:p w14:paraId="780F8C21" w14:textId="77777777" w:rsidR="00306395" w:rsidRPr="00976A97" w:rsidRDefault="00306395" w:rsidP="00306395">
      <w:pPr>
        <w:pStyle w:val="Dalodstavce"/>
      </w:pPr>
      <w:r w:rsidRPr="00976A97">
        <w:t>S ohledem na tyto nežádoucí jevy je vhodné, aby stát danou oblast efektivně reguloval. Ačkoliv hazardní hry nejsou jednou z oblastí, které jsou harmonizovány evropským právem, je tak vlastně věcí každého státu, jak si parametry regulace nastaví. Nicméně veškerá tato opatření musí být učiněna v rámci mantinelů primárního práva Evropské unie (dále jen „EU“).</w:t>
      </w:r>
      <w:r w:rsidRPr="00976A97">
        <w:rPr>
          <w:rStyle w:val="Znakapoznpodarou"/>
          <w:rFonts w:ascii="Times New Roman" w:hAnsi="Times New Roman"/>
        </w:rPr>
        <w:footnoteReference w:id="2"/>
      </w:r>
      <w:r w:rsidRPr="00976A97">
        <w:t xml:space="preserve"> Jednotlivé státy tak mohou upřednostnit svobodu podnikání jednotlivce, nebo naopak ochranu společnosti před dopadem negativních externalit plynoucích z tohoto průmyslu.</w:t>
      </w:r>
    </w:p>
    <w:p w14:paraId="077FD0F7" w14:textId="77777777" w:rsidR="00306395" w:rsidRPr="00976A97" w:rsidRDefault="00306395" w:rsidP="00306395">
      <w:pPr>
        <w:pStyle w:val="Dalodstavce"/>
      </w:pPr>
      <w:r w:rsidRPr="00976A97">
        <w:t>Možná i kvůli morální spornosti hazardních her byla vždy právní regulace v této oblasti hojně diskutovaným tématem. A to jak ze strany veřejnosti, tak ze strany státu. Ve vztahu k hazardním hrám se objevují různé názory. Od absolutní prohibice hazardních her, která na druhou stranu může vyústit ve vznik nelegálních heren a ztráty možnosti jakékoli kontroly státem. Nemluvě o tom, že se stát připraví o nezanedbatelný přínos do veřejného rozpočtu plynoucího ze zdanění této oblasti, přičemž náklady spojené s vynucováním práva budou jen narůstat, až po značně liberální politiku v této oblasti, kdy by stát do provozování hazardních her neměl až příliš zasahovat.</w:t>
      </w:r>
    </w:p>
    <w:p w14:paraId="4D805AB0" w14:textId="77777777" w:rsidR="00306395" w:rsidRPr="00976A97" w:rsidRDefault="00306395" w:rsidP="00306395">
      <w:pPr>
        <w:pStyle w:val="Dalodstavce"/>
      </w:pPr>
      <w:r w:rsidRPr="00976A97">
        <w:t xml:space="preserve">V České republice se rozpoutala </w:t>
      </w:r>
      <w:r w:rsidRPr="00306395">
        <w:rPr>
          <w:rStyle w:val="DalodstavceChar"/>
        </w:rPr>
        <w:t>debata</w:t>
      </w:r>
      <w:r w:rsidRPr="00976A97">
        <w:t xml:space="preserve"> v souvislosti s přijetím nové komplexní právní úpravy hazardních her - zákona č. 187/2016 Sb., o dani z hazardních her, ve znění pozdějších předpisů (dále jen „ Zákon o dani z hazardních her“),  zákona č. 186/2016 Sb., zákona o hazardních hrách, ve znění pozdějších předpisů (dále jen „Zákon o hazardních hrách“) a zákona č. 188/2016 Sb., kterým se mění některé zákony v souvislosti s přijetím zákona o hazardních hrách a zákona o dani z hazardních her. Tato </w:t>
      </w:r>
      <w:r w:rsidRPr="00976A97">
        <w:lastRenderedPageBreak/>
        <w:t xml:space="preserve">právní úprava plně nahradila zcela nedostačující regulaci hazardních her v zákoně č. 202/1990 Sb., České národní rady o loteriích a jiných podobných hrách, ve znění pozdějších předpisů (dále jen „loterní zákon“). Loterní zákon vedle obecné veřejnoprávní úpravy </w:t>
      </w:r>
      <w:r w:rsidR="00F26B56">
        <w:t xml:space="preserve">provozování </w:t>
      </w:r>
      <w:r w:rsidRPr="00976A97">
        <w:t>hazardních her obsahoval mimo jiné i právní úpravu odvodu, který nicméně i přes rozdílné označení svým charakterem naplňoval znaky daně.</w:t>
      </w:r>
      <w:r w:rsidRPr="00976A97">
        <w:rPr>
          <w:rStyle w:val="Znakapoznpodarou"/>
          <w:rFonts w:ascii="Times New Roman" w:hAnsi="Times New Roman"/>
        </w:rPr>
        <w:footnoteReference w:id="3"/>
      </w:r>
      <w:r w:rsidRPr="00976A97">
        <w:t xml:space="preserve"> V českém prostředí takové řešení není příliš tradiční. V rámci daňové soustavy se upřednostňuje, aby daň byla upravena zvlášť v samostatném zákoně.</w:t>
      </w:r>
      <w:r w:rsidRPr="00976A97">
        <w:rPr>
          <w:rStyle w:val="Znakapoznpodarou"/>
          <w:rFonts w:ascii="Times New Roman" w:hAnsi="Times New Roman"/>
        </w:rPr>
        <w:footnoteReference w:id="4"/>
      </w:r>
      <w:r w:rsidRPr="00976A97">
        <w:t xml:space="preserve"> Přijetím dvou zákonů, které spolu nesporně tvoří jeden celek, namísto jednoho, se tedy určitě jeví jako mnohem příznivější řešení.</w:t>
      </w:r>
    </w:p>
    <w:p w14:paraId="5023EC4D" w14:textId="77777777" w:rsidR="00306395" w:rsidRPr="00976A97" w:rsidRDefault="00306395" w:rsidP="00306395">
      <w:pPr>
        <w:pStyle w:val="Dalodstavce"/>
      </w:pPr>
      <w:r w:rsidRPr="00976A97">
        <w:t>Nicméně v rámci této diplomové práce se zaměřím hlavně na daňové aspekty hazardních her. Hlavním cílem diplomové práce bude potvrzení nebo vyvrácení hypotézy, že současná regulace zdanění hazardu v České republice účinná od 1. ledna 2017 je dostatečná a není potřeba dalších změn.</w:t>
      </w:r>
    </w:p>
    <w:p w14:paraId="0D2D2210" w14:textId="77777777" w:rsidR="00306395" w:rsidRPr="00976A97" w:rsidRDefault="00306395" w:rsidP="00FB5AD7">
      <w:pPr>
        <w:pStyle w:val="Dalodstavce"/>
      </w:pPr>
      <w:r w:rsidRPr="00976A97">
        <w:t xml:space="preserve">Diplomovou práci jsem rozdělila do čtyř hlavních kapitol. </w:t>
      </w:r>
      <w:r w:rsidR="002F10E3">
        <w:t>První část stručně pojednává o</w:t>
      </w:r>
      <w:r w:rsidR="00DF765F">
        <w:t xml:space="preserve"> </w:t>
      </w:r>
      <w:r w:rsidRPr="00976A97">
        <w:t>zásadní</w:t>
      </w:r>
      <w:r w:rsidR="002F10E3">
        <w:t>ch</w:t>
      </w:r>
      <w:r w:rsidRPr="00976A97">
        <w:t xml:space="preserve"> nedostat</w:t>
      </w:r>
      <w:r w:rsidR="002F10E3">
        <w:t>cích</w:t>
      </w:r>
      <w:r w:rsidRPr="00976A97">
        <w:t xml:space="preserve"> předchozí právní úpravy, které vyústily k přijetí nové komplexní právní úpravy hazardních her. V druhé části této práce </w:t>
      </w:r>
      <w:r w:rsidR="002A65D5">
        <w:t>dochází k vymezení</w:t>
      </w:r>
      <w:r w:rsidRPr="00976A97">
        <w:t xml:space="preserve"> postavení daně z hazardních her v systému daní České republiky. Třetí část práce </w:t>
      </w:r>
      <w:r w:rsidR="002A65D5">
        <w:t xml:space="preserve">je </w:t>
      </w:r>
      <w:r w:rsidRPr="00976A97">
        <w:t xml:space="preserve">již </w:t>
      </w:r>
      <w:r w:rsidR="002A65D5">
        <w:t>věnována</w:t>
      </w:r>
      <w:r w:rsidRPr="00976A97">
        <w:t xml:space="preserve"> analýze jednotlivých konstrukčních prvků </w:t>
      </w:r>
      <w:r w:rsidR="002A65D5">
        <w:t xml:space="preserve">tvořících </w:t>
      </w:r>
      <w:r w:rsidRPr="00976A97">
        <w:t>da</w:t>
      </w:r>
      <w:r w:rsidR="002A65D5">
        <w:t>ň</w:t>
      </w:r>
      <w:r w:rsidRPr="00976A97">
        <w:t xml:space="preserve"> z hazardních her, které průběžně kompar</w:t>
      </w:r>
      <w:r w:rsidR="002A65D5">
        <w:t>uji</w:t>
      </w:r>
      <w:r w:rsidRPr="00976A97">
        <w:t xml:space="preserve"> i s právní úpravou obsaženou v loterním zákoně. V neposlední části práce </w:t>
      </w:r>
      <w:r w:rsidR="00DF765F">
        <w:t>se věnuji</w:t>
      </w:r>
      <w:r w:rsidRPr="00976A97">
        <w:t xml:space="preserve"> správ</w:t>
      </w:r>
      <w:r w:rsidR="00DF765F">
        <w:t>ě</w:t>
      </w:r>
      <w:r w:rsidRPr="00976A97">
        <w:t xml:space="preserve"> daně z hazardních her, kde se zejména </w:t>
      </w:r>
      <w:r w:rsidR="00FB5AD7">
        <w:t>zaměřím na</w:t>
      </w:r>
      <w:r w:rsidRPr="00976A97">
        <w:t xml:space="preserve"> nov</w:t>
      </w:r>
      <w:r w:rsidR="00FB5AD7">
        <w:t>ý</w:t>
      </w:r>
      <w:r w:rsidRPr="00976A97">
        <w:t xml:space="preserve"> institut samovyměření. V této kapitole se pokusím zamyslet i nad možnou aplikací </w:t>
      </w:r>
      <w:r w:rsidR="00F20889">
        <w:t>institutu samovyměření</w:t>
      </w:r>
      <w:r w:rsidRPr="00976A97">
        <w:t xml:space="preserve"> na další daně. V závěru práce vyhodnotím stav současné právní úpravy zdanění hazardních her a v souvislosti s tím se pokusím navrhnout možné změny</w:t>
      </w:r>
      <w:r w:rsidR="007E057E">
        <w:t xml:space="preserve"> </w:t>
      </w:r>
      <w:r w:rsidR="00AC6466">
        <w:t>předmětné</w:t>
      </w:r>
      <w:r w:rsidR="007E057E">
        <w:t xml:space="preserve"> právní úpravy.</w:t>
      </w:r>
    </w:p>
    <w:p w14:paraId="17807C5B" w14:textId="77777777" w:rsidR="00D566F3" w:rsidRDefault="00306395" w:rsidP="002A65D5">
      <w:pPr>
        <w:pStyle w:val="Dalodstavce"/>
      </w:pPr>
      <w:r w:rsidRPr="00976A97">
        <w:t xml:space="preserve">I přestože </w:t>
      </w:r>
      <w:r w:rsidR="003744D4">
        <w:t>hazardní hry nezřídka zastávají hlavní témata</w:t>
      </w:r>
      <w:r w:rsidR="00F66E99">
        <w:t xml:space="preserve"> konverzace u široké veřejnosti i</w:t>
      </w:r>
      <w:r w:rsidR="003744D4">
        <w:t xml:space="preserve"> </w:t>
      </w:r>
      <w:r w:rsidR="00F66E99">
        <w:t xml:space="preserve">politiků, </w:t>
      </w:r>
      <w:r w:rsidR="003744D4">
        <w:t>odborné právní publikace o tuto oblast nejeví příliš velký zájem.</w:t>
      </w:r>
      <w:r w:rsidR="002A65D5">
        <w:t xml:space="preserve"> </w:t>
      </w:r>
      <w:r w:rsidRPr="00976A97">
        <w:t>Vyjma dvou hlavních monografií zabývajících se problematikou současné právní úpravy,</w:t>
      </w:r>
      <w:r w:rsidRPr="00976A97">
        <w:rPr>
          <w:rStyle w:val="Znakapoznpodarou"/>
          <w:rFonts w:ascii="Times New Roman" w:hAnsi="Times New Roman"/>
        </w:rPr>
        <w:footnoteReference w:id="5"/>
      </w:r>
      <w:r w:rsidRPr="00976A97">
        <w:t xml:space="preserve"> jsem ve své práci čerpala </w:t>
      </w:r>
      <w:r w:rsidRPr="00976A97">
        <w:lastRenderedPageBreak/>
        <w:t>zejména z</w:t>
      </w:r>
      <w:r w:rsidR="002A65D5">
        <w:t>e samotného znění</w:t>
      </w:r>
      <w:r w:rsidRPr="00976A97">
        <w:t xml:space="preserve"> právních předpisů a důvodových zpráv k těmto předpisům.</w:t>
      </w:r>
    </w:p>
    <w:p w14:paraId="372F7FE8" w14:textId="6F7E74BF" w:rsidR="00EA0434" w:rsidRPr="00152A7A" w:rsidRDefault="00EA0434" w:rsidP="002A65D5">
      <w:pPr>
        <w:pStyle w:val="Dalodstavce"/>
      </w:pPr>
      <w:r>
        <w:t xml:space="preserve">Diplomová práce je zpracována k právnímu stavu ke dni </w:t>
      </w:r>
      <w:r w:rsidR="008D15C1">
        <w:t>31. 12. 2019.</w:t>
      </w:r>
    </w:p>
    <w:p w14:paraId="344AC0BF" w14:textId="77777777" w:rsidR="00493755" w:rsidRPr="00152A7A" w:rsidRDefault="00B4078A" w:rsidP="0006632C">
      <w:pPr>
        <w:pStyle w:val="Nadpis1"/>
      </w:pPr>
      <w:bookmarkStart w:id="8" w:name="_Toc44451445"/>
      <w:r>
        <w:lastRenderedPageBreak/>
        <w:t>Zásadní důvody přijetí nové právní úpravy hazardních her</w:t>
      </w:r>
      <w:bookmarkEnd w:id="8"/>
    </w:p>
    <w:p w14:paraId="32D13495" w14:textId="77777777" w:rsidR="00B4078A" w:rsidRPr="00976A97" w:rsidRDefault="00B4078A" w:rsidP="00B4078A">
      <w:pPr>
        <w:pStyle w:val="Odstavec1"/>
      </w:pPr>
      <w:r w:rsidRPr="00976A97">
        <w:t>Důvodů k přijetí nové právní úpravy bylo nespočet. Právní úprava obsažená v loterním zákoně byla více než čtvrt století stará. K přijetí zákona došlo v důsledku událostí listopadu 1989, kdy se doposud hazardní hry nepovažovaly za slučitelné s tehdejší perspektivou společenského rozvoje</w:t>
      </w:r>
      <w:r w:rsidR="00627D1D">
        <w:t xml:space="preserve">, </w:t>
      </w:r>
      <w:r w:rsidRPr="00976A97">
        <w:t>a soukromým subjektům bylo v dané oblasti podnikání zapovězeno. Na vypracování kvalitního legislativního řešení hazardních her příliš prostoru nebylo, což se zejména projevilo v terminologické roztříštěnosti a nelogické systematice tohoto značně liberálního zákona.</w:t>
      </w:r>
      <w:r w:rsidRPr="00976A97">
        <w:rPr>
          <w:rStyle w:val="Znakapoznpodarou"/>
          <w:rFonts w:ascii="Times New Roman" w:hAnsi="Times New Roman"/>
        </w:rPr>
        <w:footnoteReference w:id="6"/>
      </w:r>
      <w:r w:rsidRPr="00976A97">
        <w:t xml:space="preserve">  V průběhu následujících let sice došlo k nesčetným novelizacím, většinou se ale jednalo pouze o dílčí změny, které systematicky neřešily nedostatky právní úpravy jako celku, nýbrž se zaměřily pouze na určitou aktuální společenskou potřebu, případně jen reflektovaly změny v jiných právních předpisech.</w:t>
      </w:r>
      <w:r w:rsidRPr="00976A97">
        <w:rPr>
          <w:rStyle w:val="Znakapoznpodarou"/>
          <w:rFonts w:ascii="Times New Roman" w:hAnsi="Times New Roman"/>
        </w:rPr>
        <w:footnoteReference w:id="7"/>
      </w:r>
      <w:r w:rsidRPr="00976A97">
        <w:t xml:space="preserve"> </w:t>
      </w:r>
    </w:p>
    <w:p w14:paraId="1EDAFFC3" w14:textId="65F942D9" w:rsidR="00B4078A" w:rsidRPr="00976A97" w:rsidRDefault="00B4078A" w:rsidP="00B4078A">
      <w:pPr>
        <w:pStyle w:val="Dalodstavce"/>
      </w:pPr>
      <w:r w:rsidRPr="00976A97">
        <w:t>S ohledem na vývoj herního průmyslu se loterní zákon postupně stával zcela nevyhovujícím. Jeho hlavní nedostatky ve vztahu ke zdanění hazardních her obzvláště spočívaly v nesouladu s primárním právem EU, v nedostačující regulaci pololegálních a nelegálních provozovatelů a v neposlední řadě loterní zákon nepostačoval technickému vývoji, a to především v oblasti hazardních her provozovaných prostřednictvím internetu</w:t>
      </w:r>
      <w:r w:rsidR="00FD0744">
        <w:t>,</w:t>
      </w:r>
      <w:r w:rsidRPr="00976A97">
        <w:rPr>
          <w:rStyle w:val="Znakapoznpodarou"/>
          <w:rFonts w:ascii="Times New Roman" w:hAnsi="Times New Roman"/>
        </w:rPr>
        <w:footnoteReference w:id="8"/>
      </w:r>
      <w:r w:rsidR="00FD0744">
        <w:t xml:space="preserve"> které se v posledních letech těší stále větší oblibě.</w:t>
      </w:r>
      <w:r w:rsidRPr="00976A97">
        <w:t xml:space="preserve"> </w:t>
      </w:r>
      <w:r w:rsidR="00627D1D">
        <w:t xml:space="preserve">A předpokládám, že s největší pravděpodobností v brzké budoucnosti </w:t>
      </w:r>
      <w:r w:rsidR="00D3691B">
        <w:t>to budou právě online hry, které</w:t>
      </w:r>
      <w:r w:rsidR="00627D1D">
        <w:t xml:space="preserve"> ovládnou herní průmysl. </w:t>
      </w:r>
      <w:r w:rsidRPr="00976A97">
        <w:t xml:space="preserve">Ačkoliv </w:t>
      </w:r>
      <w:r w:rsidR="009C783C">
        <w:t>loterní zákon obsahoval ustanovení,</w:t>
      </w:r>
      <w:r w:rsidR="006A505A" w:rsidRPr="00976A97">
        <w:rPr>
          <w:rStyle w:val="Znakapoznpodarou"/>
          <w:rFonts w:ascii="Times New Roman" w:hAnsi="Times New Roman"/>
        </w:rPr>
        <w:footnoteReference w:id="9"/>
      </w:r>
      <w:r w:rsidR="009C783C">
        <w:t xml:space="preserve"> díky kterému </w:t>
      </w:r>
      <w:r w:rsidR="006A505A">
        <w:t xml:space="preserve">mohlo Ministerstvo financí (dále jen „MF“) </w:t>
      </w:r>
      <w:r w:rsidRPr="00976A97">
        <w:t xml:space="preserve">reagovat na </w:t>
      </w:r>
      <w:r w:rsidR="00F20889">
        <w:t xml:space="preserve">technologický </w:t>
      </w:r>
      <w:r w:rsidRPr="00976A97">
        <w:t>vývoj v herním průmyslu</w:t>
      </w:r>
      <w:r w:rsidR="006A505A">
        <w:t>, mohlo tedy povolit i loterie</w:t>
      </w:r>
      <w:r w:rsidR="00AB73CE">
        <w:t xml:space="preserve"> a jiné podobné hry</w:t>
      </w:r>
      <w:r w:rsidR="006A505A">
        <w:t>, které předmětný zákon neznal. Nicméně</w:t>
      </w:r>
      <w:r w:rsidR="00AB73CE">
        <w:t xml:space="preserve"> takto vydaná</w:t>
      </w:r>
      <w:r w:rsidR="006A505A">
        <w:t xml:space="preserve"> povolení </w:t>
      </w:r>
      <w:r w:rsidR="00AB73CE">
        <w:t>musela mimo jiné obsahovat i</w:t>
      </w:r>
      <w:r w:rsidR="002C3083">
        <w:t xml:space="preserve"> podrobně vymezené</w:t>
      </w:r>
      <w:r w:rsidR="00AB73CE">
        <w:t xml:space="preserve"> individuální podmínky provozování této konkrétní hry, neboť logicky k těmto hrám jakákoliv právní úprava podmínek provozování absentovala. </w:t>
      </w:r>
      <w:r w:rsidR="002C3083">
        <w:t xml:space="preserve"> Předmětné ustanovení tak ponechávalo na MF značnou míru správní diskrece</w:t>
      </w:r>
      <w:r w:rsidR="009971EB">
        <w:t>, což nemusí být vždy žádoucí.</w:t>
      </w:r>
      <w:r w:rsidRPr="00976A97">
        <w:rPr>
          <w:rStyle w:val="Znakapoznpodarou"/>
          <w:rFonts w:ascii="Times New Roman" w:hAnsi="Times New Roman"/>
        </w:rPr>
        <w:footnoteReference w:id="10"/>
      </w:r>
      <w:r w:rsidR="0045004C">
        <w:t xml:space="preserve"> </w:t>
      </w:r>
      <w:r w:rsidR="00B10832">
        <w:t>Nespornou</w:t>
      </w:r>
      <w:r w:rsidR="00C575BC">
        <w:t xml:space="preserve"> výhodou </w:t>
      </w:r>
      <w:r w:rsidR="00C575BC">
        <w:lastRenderedPageBreak/>
        <w:t xml:space="preserve">správního uvážení je </w:t>
      </w:r>
      <w:r w:rsidR="009971EB">
        <w:t xml:space="preserve">sice </w:t>
      </w:r>
      <w:r w:rsidR="00C575BC">
        <w:t xml:space="preserve">možnost reagovat relativně pružně na nastalé nevyzpytatelné situace. </w:t>
      </w:r>
      <w:r w:rsidR="00EE5F8A">
        <w:t>Ale n</w:t>
      </w:r>
      <w:r w:rsidR="00C575BC">
        <w:t>a druhou stranu může být správní diskrece zdrojem korupčních příležitostí.</w:t>
      </w:r>
      <w:r w:rsidR="00D3691B">
        <w:t xml:space="preserve"> Zákonodárce by měl </w:t>
      </w:r>
      <w:r w:rsidR="00C901A6">
        <w:t xml:space="preserve">proto </w:t>
      </w:r>
      <w:r w:rsidR="00D3691B">
        <w:t xml:space="preserve">důkladně zvážit nutnost správní diskrece veřejné správy v konkrétní situaci, eventuálně jakou míru správní diskrece ji ponechá. </w:t>
      </w:r>
    </w:p>
    <w:p w14:paraId="5292A831" w14:textId="77777777" w:rsidR="00B4078A" w:rsidRPr="00976A97" w:rsidRDefault="00B4078A" w:rsidP="00B4078A">
      <w:pPr>
        <w:pStyle w:val="Dalodstavce"/>
      </w:pPr>
      <w:r w:rsidRPr="00976A97">
        <w:t>Nejzásadnější nedostatek loterního zákona tedy spočíval v nesouladu s unijním právem. Regulace oblasti hazardních her je sice ponechána v pravomoci členských států, ty však musejí postupovat v souladu s ust</w:t>
      </w:r>
      <w:r w:rsidR="00BB3C4F">
        <w:t>anoveními o vnitřním trhu, která</w:t>
      </w:r>
      <w:r w:rsidRPr="00976A97">
        <w:t xml:space="preserve"> se na přeshraniční provozování hazardních her, jak lze dovodit z ustálené rozhodovací praxe Soudního dvora Evropské Unie</w:t>
      </w:r>
      <w:r w:rsidRPr="00976A97">
        <w:rPr>
          <w:rStyle w:val="Znakapoznpodarou"/>
          <w:rFonts w:ascii="Times New Roman" w:hAnsi="Times New Roman"/>
        </w:rPr>
        <w:footnoteReference w:id="11"/>
      </w:r>
      <w:r w:rsidRPr="00976A97">
        <w:t xml:space="preserve"> (dále jen „SDEU“), také vztahují. V tomto aspektu loterní zákon selhával, když subjektem kompetentním k provozování loterií a jiných podobných her mohla být jen právnická osoba sídlící na území České republiky, které bylo oprávněným orgánem České republiky vydáno oprávnění k provozování této hry.</w:t>
      </w:r>
      <w:r w:rsidRPr="00976A97">
        <w:rPr>
          <w:rStyle w:val="Znakapoznpodarou"/>
          <w:rFonts w:ascii="Times New Roman" w:hAnsi="Times New Roman"/>
        </w:rPr>
        <w:footnoteReference w:id="12"/>
      </w:r>
      <w:r w:rsidRPr="00976A97">
        <w:t xml:space="preserve"> Z takto vymezeného okruhu osob, které mohly být provozovateli, byly dále vyňaty </w:t>
      </w:r>
      <w:r w:rsidR="00B1196B">
        <w:t xml:space="preserve">i </w:t>
      </w:r>
      <w:r w:rsidRPr="00976A97">
        <w:rPr>
          <w:color w:val="000000"/>
        </w:rPr>
        <w:t>tuzemské právnické osoby se zahraniční majetkovou účastí</w:t>
      </w:r>
      <w:r w:rsidRPr="00976A97">
        <w:t>.</w:t>
      </w:r>
      <w:r w:rsidRPr="00976A97">
        <w:rPr>
          <w:rStyle w:val="Znakapoznpodarou"/>
          <w:rFonts w:ascii="Times New Roman" w:hAnsi="Times New Roman"/>
        </w:rPr>
        <w:footnoteReference w:id="13"/>
      </w:r>
      <w:r w:rsidRPr="00976A97">
        <w:t xml:space="preserve"> Takové </w:t>
      </w:r>
      <w:r w:rsidR="000E3FAE">
        <w:t xml:space="preserve">zjevně diskriminační </w:t>
      </w:r>
      <w:r w:rsidRPr="00976A97">
        <w:t>omezení bylo v</w:t>
      </w:r>
      <w:r w:rsidR="00FC6F10">
        <w:t> </w:t>
      </w:r>
      <w:r w:rsidRPr="00976A97">
        <w:t>rozporu s volným pohybem služeb</w:t>
      </w:r>
      <w:r w:rsidRPr="00976A97">
        <w:rPr>
          <w:rStyle w:val="Znakapoznpodarou"/>
          <w:rFonts w:ascii="Times New Roman" w:hAnsi="Times New Roman"/>
        </w:rPr>
        <w:footnoteReference w:id="14"/>
      </w:r>
      <w:r w:rsidRPr="00976A97">
        <w:t xml:space="preserve"> a s volným pohybem kapitálu.</w:t>
      </w:r>
      <w:r w:rsidRPr="00976A97">
        <w:rPr>
          <w:rStyle w:val="Znakapoznpodarou"/>
          <w:rFonts w:ascii="Times New Roman" w:hAnsi="Times New Roman"/>
        </w:rPr>
        <w:footnoteReference w:id="15"/>
      </w:r>
      <w:r w:rsidRPr="00976A97">
        <w:t xml:space="preserve"> </w:t>
      </w:r>
      <w:r w:rsidR="000E3FAE">
        <w:t>Tudíž i přestože se jednalo o nezákonnou činnost,</w:t>
      </w:r>
      <w:r w:rsidRPr="00976A97">
        <w:t xml:space="preserve"> mohli </w:t>
      </w:r>
      <w:r w:rsidR="000E3FAE">
        <w:t xml:space="preserve">ji </w:t>
      </w:r>
      <w:r w:rsidRPr="00976A97">
        <w:t>tito provozovatelé vykonávat</w:t>
      </w:r>
      <w:r w:rsidR="000E3FAE">
        <w:t xml:space="preserve"> </w:t>
      </w:r>
      <w:r w:rsidRPr="00976A97">
        <w:t>na území České republiky na základě primárního práva EU</w:t>
      </w:r>
      <w:r w:rsidR="000E3FAE">
        <w:t>,</w:t>
      </w:r>
      <w:r w:rsidRPr="00976A97">
        <w:rPr>
          <w:rStyle w:val="Znakapoznpodarou"/>
          <w:rFonts w:ascii="Times New Roman" w:hAnsi="Times New Roman"/>
        </w:rPr>
        <w:footnoteReference w:id="16"/>
      </w:r>
      <w:r w:rsidR="00DA7011">
        <w:t xml:space="preserve"> aniž by jim hrozil nějaký postih ze strany státu.</w:t>
      </w:r>
      <w:r w:rsidR="000954D9">
        <w:t xml:space="preserve"> Takové řešení není dlouhodobě přijatelné</w:t>
      </w:r>
      <w:r w:rsidR="001223B6">
        <w:t>,</w:t>
      </w:r>
      <w:r w:rsidR="000954D9">
        <w:t xml:space="preserve"> a pokud by zákonodárce nepřikročil k</w:t>
      </w:r>
      <w:r w:rsidR="004C0A0E">
        <w:t>e</w:t>
      </w:r>
      <w:r w:rsidR="000954D9">
        <w:t> změně právní úpravy, s největší pravděpodobností by byla Česká republika sankciována ze strany EU.</w:t>
      </w:r>
    </w:p>
    <w:p w14:paraId="5F4B3D29" w14:textId="77777777" w:rsidR="00B4078A" w:rsidRPr="00976A97" w:rsidRDefault="00B4078A" w:rsidP="00B4078A">
      <w:pPr>
        <w:pStyle w:val="Dalodstavce"/>
      </w:pPr>
      <w:r w:rsidRPr="00976A97">
        <w:t>Výše uvedená skutečnost tak zapříčinila další zásadní nedostatek loterního zákona.  A to nemožnost zdanění p</w:t>
      </w:r>
      <w:r w:rsidR="001223B6">
        <w:t>rovozovatelů s oprávněním vydaný</w:t>
      </w:r>
      <w:r w:rsidRPr="00976A97">
        <w:t xml:space="preserve">m jiným členským státem EU, popřípadě smluvním státem Dohody o Evropském hospodářském prostoru. Jednou ze základních zásad daňového práva je zásada nullum tributum sine </w:t>
      </w:r>
      <w:r w:rsidR="007330BD" w:rsidRPr="00976A97">
        <w:t>lege</w:t>
      </w:r>
      <w:r w:rsidRPr="00976A97">
        <w:t xml:space="preserve"> neboli není daně bez </w:t>
      </w:r>
      <w:r w:rsidRPr="00976A97">
        <w:lastRenderedPageBreak/>
        <w:t>zákona. Což znamená, že daně mohou být vybírány jedině na základě zákona.</w:t>
      </w:r>
      <w:r w:rsidRPr="00976A97">
        <w:rPr>
          <w:rStyle w:val="Znakapoznpodarou"/>
          <w:rFonts w:ascii="Times New Roman" w:hAnsi="Times New Roman"/>
        </w:rPr>
        <w:footnoteReference w:id="17"/>
      </w:r>
      <w:r w:rsidRPr="00976A97">
        <w:t xml:space="preserve"> Jelikož dle loterního zákona byly subjektem odvodu jen provozovate</w:t>
      </w:r>
      <w:r w:rsidR="004775AB">
        <w:t>lé disponující oprávněním vydaný</w:t>
      </w:r>
      <w:r w:rsidRPr="00976A97">
        <w:t xml:space="preserve">m na základě </w:t>
      </w:r>
      <w:r w:rsidR="00B44567">
        <w:t xml:space="preserve">citovaného </w:t>
      </w:r>
      <w:r w:rsidRPr="00976A97">
        <w:t>předpisu,</w:t>
      </w:r>
      <w:r w:rsidRPr="00976A97">
        <w:rPr>
          <w:rStyle w:val="Znakapoznpodarou"/>
          <w:rFonts w:ascii="Times New Roman" w:hAnsi="Times New Roman"/>
        </w:rPr>
        <w:footnoteReference w:id="18"/>
      </w:r>
      <w:r w:rsidRPr="00976A97">
        <w:t xml:space="preserve"> dostávali se tak provozovatelé z jiných členských států EU do určitého právního vakua, kde jim bylo sice na základě českého práva zakázáno provozovat hazardní hry na území České republiky, avšak jelikož byla tato skutečnost v rozporu s ustanoveními o vnitřním trhu, mohli tuto činnost vykonávat</w:t>
      </w:r>
      <w:r w:rsidR="004775AB">
        <w:t xml:space="preserve"> s odkazem na primární právo EU. N</w:t>
      </w:r>
      <w:r w:rsidRPr="00976A97">
        <w:t xml:space="preserve">icméně už nebyli subjekty odvodu z loterií a jiných podobných her, tudíž nemohli být na území České republiky zdaněni. Díky čemuž vlastně požívali jakousi nespravedlivou konkurenční výhodu oproti legálním provozovatelům, čímž došlo ke značné deformaci hospodářské soutěže. </w:t>
      </w:r>
    </w:p>
    <w:p w14:paraId="6476342B" w14:textId="77777777" w:rsidR="00B4078A" w:rsidRPr="00976A97" w:rsidRDefault="008765D0" w:rsidP="00B4078A">
      <w:pPr>
        <w:pStyle w:val="Dalodstavce"/>
      </w:pPr>
      <w:r>
        <w:t xml:space="preserve">Další problematickou množinou </w:t>
      </w:r>
      <w:r w:rsidR="00B4078A" w:rsidRPr="00976A97">
        <w:t>subjektů, která dle dikce loterního zákona nepodléhala dani, byli nelegální provozovatelé. Tedy ty subjekty, které neprovozovaly hazardní hry na základě primárního práva EU, ani nedisponovaly oprávněním dle českého práva.</w:t>
      </w:r>
    </w:p>
    <w:p w14:paraId="25BC5381" w14:textId="77777777" w:rsidR="00B4078A" w:rsidRPr="00976A97" w:rsidRDefault="00B4078A" w:rsidP="00B4078A">
      <w:pPr>
        <w:pStyle w:val="Dalodstavce"/>
      </w:pPr>
      <w:r w:rsidRPr="00976A97">
        <w:t>V neposlední řadě legislativní úprava této oblasti významně zaostávala za technologickým vývojem. Zvláště, co se týkalo úpravy v oblasti hazardních her provozovaných prostřednictvím internetu.</w:t>
      </w:r>
      <w:r w:rsidRPr="00976A97">
        <w:rPr>
          <w:rStyle w:val="Znakapoznpodarou"/>
          <w:rFonts w:ascii="Times New Roman" w:hAnsi="Times New Roman"/>
        </w:rPr>
        <w:footnoteReference w:id="19"/>
      </w:r>
      <w:r w:rsidRPr="00976A97">
        <w:t xml:space="preserve"> V prvotním znění loterního zákona jakákoliv úprava internetu jako platformy pro provozování hazardních her zcela absentovala. Což je naprosto logické s ohledem na dobu, kdy byl zákon přij</w:t>
      </w:r>
      <w:r w:rsidR="008765D0">
        <w:t>at. V rámci četných novelizací</w:t>
      </w:r>
      <w:r w:rsidRPr="00976A97">
        <w:t xml:space="preserve"> se sice internet objevil v několika ustanoveních loterního zákona, nicméně se nejednalo o ucelené zakotvení této platformy. Obzvláště chyběly jasně vymezená pravidla pro určení, kdy je hra provozovaná prostřednictvím internetu považována za hru provozovanou na území České republiky, za účelem jejich zdanění. Z toho důvodu docházelo ke zdanění jen těch internetových hazardních her, které byly provozovány </w:t>
      </w:r>
      <w:r w:rsidR="00B00D2E">
        <w:t xml:space="preserve">právě </w:t>
      </w:r>
      <w:r w:rsidRPr="00976A97">
        <w:t>na základě povolení s individuálně nas</w:t>
      </w:r>
      <w:r w:rsidR="00B00D2E">
        <w:t>tavenými podmínkami vydaného MF,</w:t>
      </w:r>
      <w:r w:rsidRPr="00976A97">
        <w:rPr>
          <w:rStyle w:val="Znakapoznpodarou"/>
          <w:rFonts w:ascii="Times New Roman" w:hAnsi="Times New Roman"/>
        </w:rPr>
        <w:footnoteReference w:id="20"/>
      </w:r>
      <w:r w:rsidR="00B00D2E">
        <w:t xml:space="preserve"> o kterém bylo pojednáno výše.</w:t>
      </w:r>
    </w:p>
    <w:p w14:paraId="44DC3555" w14:textId="00A1B8A1" w:rsidR="00B4078A" w:rsidRPr="00976A97" w:rsidRDefault="00B4078A" w:rsidP="00B4078A">
      <w:pPr>
        <w:pStyle w:val="Dalodstavce"/>
      </w:pPr>
      <w:r w:rsidRPr="00976A97">
        <w:t xml:space="preserve">Výše zmíněné nedostatky bylo potřebné promítnout do nové legislativní koncepce hazardních her. Jak již je zřejmé z hojného počtu novelizací, bylo jistě smysluplnější vydat se jinou cestou – vytvořit nový </w:t>
      </w:r>
      <w:r w:rsidRPr="00976A97">
        <w:lastRenderedPageBreak/>
        <w:t>právní předpis nežli neustále novelizovat dílčí nedostatky loterního zákona. Při tvorbě nové právní úpravy si zákonodárce stanovil jako primární cíle zejména zefektivnění správy daní, zavedení komplexní úpravy provozování hazardních her prostřednictvím internetu, zvýšení ochrany sázejících a v neposlední řadě otevření českého trhu provozovatelům se sídlem v rámci EU a Evropského hospodářského prostoru.</w:t>
      </w:r>
      <w:r w:rsidRPr="00976A97">
        <w:rPr>
          <w:rStyle w:val="Znakapoznpodarou"/>
          <w:rFonts w:ascii="Times New Roman" w:hAnsi="Times New Roman"/>
        </w:rPr>
        <w:footnoteReference w:id="21"/>
      </w:r>
    </w:p>
    <w:p w14:paraId="4EF6E3EE" w14:textId="77777777" w:rsidR="00834EF4" w:rsidRDefault="00B4078A" w:rsidP="00B4078A">
      <w:pPr>
        <w:pStyle w:val="Nadpis1"/>
      </w:pPr>
      <w:bookmarkStart w:id="12" w:name="_Toc44451446"/>
      <w:r>
        <w:lastRenderedPageBreak/>
        <w:t>Daň z hazardních her v systému daní</w:t>
      </w:r>
      <w:bookmarkEnd w:id="12"/>
    </w:p>
    <w:p w14:paraId="70930A6F" w14:textId="77777777" w:rsidR="00B4078A" w:rsidRPr="00976A97" w:rsidRDefault="00B4078A" w:rsidP="00B4078A">
      <w:pPr>
        <w:pStyle w:val="Odstavec1"/>
      </w:pPr>
      <w:r w:rsidRPr="00976A97">
        <w:t>Daňový systém se skládá jak ze soustavy daní, tak i systému institucí zabývající se správou daní a systému nástrojů, pracovních postupů a metod, které se v rámci správy daně využívají.</w:t>
      </w:r>
      <w:r w:rsidRPr="00976A97">
        <w:rPr>
          <w:rStyle w:val="Znakapoznpodarou"/>
          <w:rFonts w:ascii="Times New Roman" w:hAnsi="Times New Roman"/>
        </w:rPr>
        <w:footnoteReference w:id="22"/>
      </w:r>
      <w:r w:rsidRPr="00976A97">
        <w:t xml:space="preserve"> </w:t>
      </w:r>
      <w:r w:rsidR="00185281">
        <w:t xml:space="preserve">Nezřídka dochází k záměně daňového systému s daňovou soustavou. </w:t>
      </w:r>
      <w:r w:rsidRPr="00976A97">
        <w:t xml:space="preserve">Daňová soustava je </w:t>
      </w:r>
      <w:r w:rsidR="00185281">
        <w:t xml:space="preserve">ale </w:t>
      </w:r>
      <w:r w:rsidRPr="00976A97">
        <w:t>užší pojem nežli daňový systém. Součástí daňové soustavy jsou veškeré daně, které jsou na území České republiky vybírány.</w:t>
      </w:r>
      <w:r w:rsidRPr="00976A97">
        <w:rPr>
          <w:rStyle w:val="Znakapoznpodarou"/>
          <w:rFonts w:ascii="Times New Roman" w:hAnsi="Times New Roman"/>
        </w:rPr>
        <w:footnoteReference w:id="23"/>
      </w:r>
      <w:r w:rsidRPr="00976A97">
        <w:t xml:space="preserve"> Daně jsou zde chápány v širším slova smyslu. Vedle daní sensu stricto, tedy peněžitých plnění, která jsou </w:t>
      </w:r>
      <w:r w:rsidR="009512A9">
        <w:t>explicite zvláštním hmotněprávním předpisem o</w:t>
      </w:r>
      <w:r w:rsidRPr="00976A97">
        <w:t>značena jako daně a splňují teoretické znaky daně, patří do daňového systému i poplatky, cla a ostatní příjmy veřejných rozpočtů, které jsou svým charakterem daním a poplatkům podobné.</w:t>
      </w:r>
      <w:r w:rsidRPr="00976A97">
        <w:rPr>
          <w:rStyle w:val="Znakapoznpodarou"/>
          <w:rFonts w:ascii="Times New Roman" w:hAnsi="Times New Roman"/>
        </w:rPr>
        <w:footnoteReference w:id="24"/>
      </w:r>
      <w:r w:rsidRPr="00976A97">
        <w:t xml:space="preserve"> </w:t>
      </w:r>
    </w:p>
    <w:p w14:paraId="54043085" w14:textId="77777777" w:rsidR="00B4078A" w:rsidRPr="00976A97" w:rsidRDefault="00B4078A" w:rsidP="00C44E8E">
      <w:pPr>
        <w:pStyle w:val="Dalodstavce"/>
      </w:pPr>
      <w:r w:rsidRPr="00976A97">
        <w:t xml:space="preserve">Daň z hazardních her je nepochybně součástí </w:t>
      </w:r>
      <w:r w:rsidR="000954D9">
        <w:t xml:space="preserve">recentní </w:t>
      </w:r>
      <w:r w:rsidRPr="00976A97">
        <w:t xml:space="preserve">daňové soustavy České republiky, neboť ji lze považovat za daň sensu stricto, a to zejména </w:t>
      </w:r>
      <w:r w:rsidR="00686093">
        <w:t>se zřetelem</w:t>
      </w:r>
      <w:r w:rsidRPr="00976A97">
        <w:t xml:space="preserve"> na to, že je toto peněžité plnění </w:t>
      </w:r>
      <w:r w:rsidR="009512A9">
        <w:t xml:space="preserve">přímo zákonem o dani z hazardních her </w:t>
      </w:r>
      <w:r w:rsidRPr="00976A97">
        <w:t>označeno jako daň. Na rozdíl od odvodů z loterií a jiných podobných her, které svou povahou sice naplňovaly znaky daně, ale nebyly formálně jako daň zákonem označeny.</w:t>
      </w:r>
      <w:r w:rsidRPr="00976A97">
        <w:rPr>
          <w:rStyle w:val="Znakapoznpodarou"/>
          <w:rFonts w:ascii="Times New Roman" w:hAnsi="Times New Roman"/>
        </w:rPr>
        <w:footnoteReference w:id="25"/>
      </w:r>
      <w:r w:rsidR="00DA7011">
        <w:t xml:space="preserve"> Jedin</w:t>
      </w:r>
      <w:r w:rsidR="000C4F84">
        <w:t>é možné nabízející se vysvětlení pro označení tohoto peněžitého plnění v rozporu s jeho teoretickým vymezením může být zachování určité kontinuity</w:t>
      </w:r>
      <w:r w:rsidR="00045B71">
        <w:t xml:space="preserve"> se systémem zdanění a zpoplatnění provozovatelů</w:t>
      </w:r>
      <w:r w:rsidR="00CB05B4">
        <w:t xml:space="preserve"> loterií</w:t>
      </w:r>
      <w:r w:rsidR="00045B71">
        <w:t xml:space="preserve"> účinného do 31. 12. 2011</w:t>
      </w:r>
      <w:r w:rsidR="00DC4C06">
        <w:t xml:space="preserve">, kdy provozovatelé </w:t>
      </w:r>
      <w:r w:rsidR="00222A5F">
        <w:t xml:space="preserve">museli hradit odvod na státní dozor </w:t>
      </w:r>
      <w:r w:rsidR="003E598C">
        <w:t xml:space="preserve">a </w:t>
      </w:r>
      <w:r w:rsidR="00222A5F">
        <w:t>odvod části výtěžku na veřejně prospěšné účely.</w:t>
      </w:r>
      <w:r w:rsidR="00222A5F">
        <w:rPr>
          <w:rStyle w:val="Znakapoznpodarou"/>
        </w:rPr>
        <w:footnoteReference w:id="26"/>
      </w:r>
      <w:r w:rsidR="00222A5F">
        <w:t xml:space="preserve"> </w:t>
      </w:r>
      <w:r w:rsidR="00ED5C38">
        <w:t>Legislativní praxe by ale měla v právních předpisech užívat konstantně určitého pojmu, aby nedocházelo ke snižování celkové přehl</w:t>
      </w:r>
      <w:r w:rsidR="00686093">
        <w:t>ednosti právního řádu. S ohledem</w:t>
      </w:r>
      <w:r w:rsidR="00AC0663">
        <w:t xml:space="preserve"> na značný rozsah a obsah právní regulace</w:t>
      </w:r>
      <w:r w:rsidR="00ED5C38">
        <w:t xml:space="preserve"> daňového práva, které adresují téměř každého</w:t>
      </w:r>
      <w:r w:rsidR="00AC0663">
        <w:t xml:space="preserve"> jedince</w:t>
      </w:r>
      <w:r w:rsidR="00ED5C38">
        <w:t xml:space="preserve">, je vhodné, aby tyto normy byly co nejvíce terminologicky jednotné. Proto musím hodnotit dřívější </w:t>
      </w:r>
      <w:r w:rsidR="00BF4BD7">
        <w:t>o</w:t>
      </w:r>
      <w:r w:rsidR="00ED5C38">
        <w:t>značení těchto peněžitých plnění jako</w:t>
      </w:r>
      <w:r w:rsidR="00BF4BD7">
        <w:t xml:space="preserve"> odvody za</w:t>
      </w:r>
      <w:r w:rsidR="00ED5C38">
        <w:t xml:space="preserve"> jakýsi legislativní nezdar.</w:t>
      </w:r>
    </w:p>
    <w:p w14:paraId="3FC6433F" w14:textId="6D40A079" w:rsidR="00B4078A" w:rsidRPr="00976A97" w:rsidRDefault="003E598C" w:rsidP="00B4078A">
      <w:pPr>
        <w:pStyle w:val="Dalodstavce"/>
      </w:pPr>
      <w:r>
        <w:t>Jak jsem již uvedla výše</w:t>
      </w:r>
      <w:r w:rsidR="005B3168">
        <w:t>,</w:t>
      </w:r>
      <w:r>
        <w:t xml:space="preserve"> v</w:t>
      </w:r>
      <w:r w:rsidR="00B4078A" w:rsidRPr="00976A97">
        <w:t xml:space="preserve">edle faktického označení zákonem, se daň z hazardních her považuje za daň, jelikož mimo jiné splňuje i teoretické </w:t>
      </w:r>
      <w:r w:rsidR="00B4078A" w:rsidRPr="00976A97">
        <w:lastRenderedPageBreak/>
        <w:t xml:space="preserve">znaky daně. </w:t>
      </w:r>
      <w:r w:rsidR="000954D9">
        <w:t xml:space="preserve">Je nutné podotknout, že ačkoliv se s pojmem daň běžně setkáváme v mnoha zákonech, její legální definici závaznou pro celý právní řád v žádném právním předpise nenajdeme. </w:t>
      </w:r>
      <w:r w:rsidR="004A72B6">
        <w:t xml:space="preserve">Vymezení pojmu </w:t>
      </w:r>
      <w:r w:rsidR="00CE1252">
        <w:t>daň</w:t>
      </w:r>
      <w:r w:rsidR="004A72B6">
        <w:t xml:space="preserve"> se sice objevuje </w:t>
      </w:r>
      <w:r w:rsidR="008835ED">
        <w:t>v</w:t>
      </w:r>
      <w:r w:rsidR="00EA0434">
        <w:t> úvodních ustanovení</w:t>
      </w:r>
      <w:r w:rsidR="008835ED">
        <w:t> zákon</w:t>
      </w:r>
      <w:r w:rsidR="00EA0434">
        <w:t>a</w:t>
      </w:r>
      <w:r w:rsidR="008835ED">
        <w:t xml:space="preserve"> č. 280/2009 Sb., daňový řád, ve znění pozdějších předpisů (dále jen „da</w:t>
      </w:r>
      <w:r w:rsidR="004A72B6">
        <w:t xml:space="preserve">ňový řád“), </w:t>
      </w:r>
      <w:r w:rsidR="00EA0434">
        <w:t>a přestože autoři některých odborných publikací toto vymezení označují za legislativní zkratku,</w:t>
      </w:r>
      <w:r w:rsidR="00EA0434">
        <w:rPr>
          <w:rStyle w:val="Znakapoznpodarou"/>
        </w:rPr>
        <w:footnoteReference w:id="27"/>
      </w:r>
      <w:r w:rsidR="00EA0434">
        <w:t xml:space="preserve"> stejně jako tomu bylo v zákoně č. 337/1992 Sb., o správě daní a poplatků, ve znění pozdějších předpisů, dovoluji si</w:t>
      </w:r>
      <w:r w:rsidR="00B173E2">
        <w:t xml:space="preserve"> s tímto názorem nesouhlasit</w:t>
      </w:r>
      <w:r w:rsidR="008A6C51">
        <w:t>. P</w:t>
      </w:r>
      <w:r w:rsidR="00B173E2">
        <w:t xml:space="preserve">řikláním se k </w:t>
      </w:r>
      <w:r w:rsidR="005640FF">
        <w:t>tvrzení</w:t>
      </w:r>
      <w:r w:rsidR="00EA0434">
        <w:t xml:space="preserve"> Boháče, dle kterého se </w:t>
      </w:r>
      <w:r w:rsidR="004A72B6">
        <w:t>jedná</w:t>
      </w:r>
      <w:r w:rsidR="00EA0434">
        <w:t xml:space="preserve"> o legální vymezení pojmu</w:t>
      </w:r>
      <w:r w:rsidR="000808E7">
        <w:t>, nikoliv o legislativní zkratku.</w:t>
      </w:r>
      <w:r w:rsidR="000808E7">
        <w:rPr>
          <w:rStyle w:val="Znakapoznpodarou"/>
        </w:rPr>
        <w:footnoteReference w:id="28"/>
      </w:r>
      <w:r w:rsidR="00EA0434">
        <w:t xml:space="preserve"> </w:t>
      </w:r>
      <w:r w:rsidR="000808E7">
        <w:t xml:space="preserve">Ačkoliv mohou být zákonné definice závazné pro celý právní řád, vymezení pojmu daně slouží pouze </w:t>
      </w:r>
      <w:r w:rsidR="00EA0434">
        <w:t>pro účely daňového řádu. I přestože není tato definice závazná pro celý právní řád, přišla soudobá finančněprávní teorie</w:t>
      </w:r>
      <w:r w:rsidR="000954D9">
        <w:t xml:space="preserve"> vcelku s pregnantním vymezením tohoto pojmu. Z teoretického hlediska se daní </w:t>
      </w:r>
      <w:r w:rsidR="00B4078A" w:rsidRPr="00976A97">
        <w:t xml:space="preserve">totiž rozumí povinné peněžité plnění ve prospěch veřejného rozpočtu, které je ukládáno </w:t>
      </w:r>
      <w:r w:rsidR="0084555C">
        <w:t xml:space="preserve">ekonomickému </w:t>
      </w:r>
      <w:r w:rsidR="00694776">
        <w:t xml:space="preserve">subjektu </w:t>
      </w:r>
      <w:r w:rsidR="00B4078A" w:rsidRPr="00976A97">
        <w:t xml:space="preserve">na základě zákona. Obvykle se jedná o pravidelné plnění, kdy se daň </w:t>
      </w:r>
      <w:r w:rsidR="00644FA2">
        <w:t>hradí v zákonem vymezených intervalech</w:t>
      </w:r>
      <w:r w:rsidR="00B4078A" w:rsidRPr="00976A97">
        <w:t xml:space="preserve">, případně se jedná o jednorázovou daň, kdy povinnému vzniká daňová povinnost za určitých okolností. Přičemž je pro tyto platby dále charakteristická jejich neúčelová, neekvivalentní, </w:t>
      </w:r>
      <w:r w:rsidR="002A3052">
        <w:t>nenávratná</w:t>
      </w:r>
      <w:r w:rsidR="002A3052" w:rsidRPr="00A87593">
        <w:rPr>
          <w:rStyle w:val="Znakapoznpodarou"/>
          <w:rFonts w:asciiTheme="minorHAnsi" w:hAnsiTheme="minorHAnsi"/>
        </w:rPr>
        <w:footnoteReference w:id="29"/>
      </w:r>
      <w:r w:rsidR="002A3052">
        <w:t xml:space="preserve"> a nesankční</w:t>
      </w:r>
      <w:r w:rsidR="00011D2F">
        <w:rPr>
          <w:rStyle w:val="Znakapoznpodarou"/>
        </w:rPr>
        <w:footnoteReference w:id="30"/>
      </w:r>
      <w:r w:rsidR="002A3052">
        <w:t xml:space="preserve"> povaha.</w:t>
      </w:r>
    </w:p>
    <w:p w14:paraId="340E9510" w14:textId="77777777" w:rsidR="00B4078A" w:rsidRPr="00976A97" w:rsidRDefault="001A577D" w:rsidP="00BE6A68">
      <w:pPr>
        <w:pStyle w:val="Dalodstavce"/>
      </w:pPr>
      <w:r>
        <w:t>Jak bylo pojednáno výše, jedním ze základních definičních znaků daně je zákonnost. Požadavek zákonnosti daní plyne z ústavního pořádku České republiky.</w:t>
      </w:r>
      <w:r>
        <w:rPr>
          <w:rStyle w:val="Znakapoznpodarou"/>
        </w:rPr>
        <w:footnoteReference w:id="31"/>
      </w:r>
      <w:r>
        <w:t xml:space="preserve"> Jelikož daňová povinnost je de facto zásahem do majetkové sféry jedince, musí k takovému omezení vlastnického práva </w:t>
      </w:r>
      <w:r w:rsidR="00C7476A">
        <w:t xml:space="preserve">v demokratických státech </w:t>
      </w:r>
      <w:r>
        <w:t>docházet legitimně, tedy výhradně skrze zákon. Daňová povinnost provozovatele hazardních her je upravena zákonem o dani z hazardních her, kritérium zákonnosti daného plnění vyvěrající z LZPS je tudíž zhojen</w:t>
      </w:r>
      <w:r w:rsidR="00BE6A68">
        <w:t>o</w:t>
      </w:r>
      <w:r>
        <w:t xml:space="preserve">. Peněžitý charakter tohoto plnění sice ze zákona o dani z hazardních her explicitně nevyplývá, nicméně při správě daně z hazardních her se subsidiárně postupuje podle daňového řádu, </w:t>
      </w:r>
      <w:r>
        <w:lastRenderedPageBreak/>
        <w:t>tedy v těch otázkách, které nejsou přímo upraveny zákonem o dani z hazardních her. Daňový řád vymezuje vedle konkrétních forem platby daně i nutnost jejího uhrazení v české měně.</w:t>
      </w:r>
      <w:r>
        <w:rPr>
          <w:rStyle w:val="Znakapoznpodarou"/>
        </w:rPr>
        <w:footnoteReference w:id="32"/>
      </w:r>
      <w:r>
        <w:t xml:space="preserve"> </w:t>
      </w:r>
      <w:r w:rsidR="00A90A88">
        <w:t>Můžeme tedy</w:t>
      </w:r>
      <w:r>
        <w:t xml:space="preserve"> konstatovat, že daň z hazardních her lze považovat za peněžité plnění. Jelikož výnos daně z hazardních her plyne jak do rozpočtu státního, tak i do municipálních rozpočtů,</w:t>
      </w:r>
      <w:r>
        <w:rPr>
          <w:rStyle w:val="Znakapoznpodarou"/>
        </w:rPr>
        <w:footnoteReference w:id="33"/>
      </w:r>
      <w:r>
        <w:t xml:space="preserve"> lze ji označit za veřejný příjem veřejných rozpočtů. </w:t>
      </w:r>
      <w:r w:rsidR="00B4078A" w:rsidRPr="00976A97">
        <w:t>Její nenávratnost spočívá v tom, že provozovatel není oprávněn žádat vrácení</w:t>
      </w:r>
      <w:r w:rsidR="00A90A88">
        <w:t xml:space="preserve"> zaplacené daně po státu, a to ani za předpokladu nespokojenosti s úrovní služeb a veřejných statků poskytovaných státem.</w:t>
      </w:r>
      <w:r w:rsidR="00A90A88">
        <w:rPr>
          <w:rStyle w:val="Znakapoznpodarou"/>
        </w:rPr>
        <w:footnoteReference w:id="34"/>
      </w:r>
      <w:r w:rsidR="00B4078A" w:rsidRPr="00976A97">
        <w:t xml:space="preserve"> Neekvivalentnost daně z hazardních her pak tkví v absenci povinnosti státu jako příjemce platby </w:t>
      </w:r>
      <w:r w:rsidR="00E87122">
        <w:t xml:space="preserve">bezprostředně </w:t>
      </w:r>
      <w:r w:rsidR="00B4078A" w:rsidRPr="00976A97">
        <w:t xml:space="preserve">poskytnout provozovateli za uhrazení daně přímé protiplnění ve výši hodnoty platby. Neúčelovost daně z hazardních her se projevuje v tom, že není vymezen </w:t>
      </w:r>
      <w:r w:rsidR="0070211F">
        <w:t>konkrétní</w:t>
      </w:r>
      <w:r w:rsidR="00B4078A" w:rsidRPr="00976A97">
        <w:t xml:space="preserve"> účel, na který by výnos daně byl směřován, naopak se daň stává součástí celkových příjmů veřejného rozpočtu, ze kterého se budou finanční prostředky odčerpávat pro různé veřejné potřeby.</w:t>
      </w:r>
      <w:r w:rsidR="00B4078A" w:rsidRPr="00976A97">
        <w:rPr>
          <w:rStyle w:val="Znakapoznpodarou"/>
          <w:rFonts w:ascii="Times New Roman" w:hAnsi="Times New Roman"/>
        </w:rPr>
        <w:footnoteReference w:id="35"/>
      </w:r>
      <w:r w:rsidR="00B4078A" w:rsidRPr="00976A97">
        <w:t xml:space="preserve"> Daň z hazardních her je nesankční povahy,</w:t>
      </w:r>
      <w:r w:rsidR="00E87122">
        <w:t xml:space="preserve"> neboť toto plnění plyne do veřejných rozpočtů na základě primární právní povinnosti, nikoliv v důsledku porušení určité primární povinnosti jako povinnost sekundární.</w:t>
      </w:r>
      <w:r w:rsidR="00B4078A" w:rsidRPr="00976A97">
        <w:rPr>
          <w:rStyle w:val="Znakapoznpodarou"/>
          <w:rFonts w:ascii="Times New Roman" w:hAnsi="Times New Roman"/>
        </w:rPr>
        <w:footnoteReference w:id="36"/>
      </w:r>
      <w:r w:rsidR="00B4078A" w:rsidRPr="00976A97">
        <w:t xml:space="preserve"> Vzhledem k tomu, že se daň z hazardních her platí za každé kalendářní čtvrtletí, jedná se o </w:t>
      </w:r>
      <w:r w:rsidR="00720F5E">
        <w:t>pravidelnou platbu do veřejného rozpočtu.</w:t>
      </w:r>
    </w:p>
    <w:p w14:paraId="2E79641A" w14:textId="77777777" w:rsidR="00B4078A" w:rsidRPr="00305A09" w:rsidRDefault="00B4078A" w:rsidP="004D3CD8">
      <w:pPr>
        <w:pStyle w:val="Dalodstavce"/>
        <w:rPr>
          <w:color w:val="FF0000"/>
        </w:rPr>
      </w:pPr>
      <w:r w:rsidRPr="00976A97">
        <w:t>V rámci daňové soustavy dochází ke klasifikaci daní dle různých kritérií. Jedním ze základních kritérií je dopad daně, dle nějž se daně dělí na přímé a nepřímé.</w:t>
      </w:r>
      <w:r w:rsidRPr="00976A97">
        <w:rPr>
          <w:rStyle w:val="Znakapoznpodarou"/>
          <w:rFonts w:ascii="Times New Roman" w:hAnsi="Times New Roman"/>
        </w:rPr>
        <w:footnoteReference w:id="37"/>
      </w:r>
      <w:r w:rsidRPr="00976A97">
        <w:t xml:space="preserve"> U přímých daní dochází ke zdanění příjmu při jeho vzniku, přičemž je hrazena subjektem, který ekonomicky daň nese. Tudíž není možné přenesení daňové povinnosti na další subjekt. Naopak u nepřímých daní se zdaňuje příjem až při jeho spotřebě. Plátcem nepřímých daní přitom není subjekt, který daň ekonomicky nese.</w:t>
      </w:r>
      <w:r w:rsidRPr="00976A97">
        <w:rPr>
          <w:rStyle w:val="Znakapoznpodarou"/>
          <w:rFonts w:ascii="Times New Roman" w:hAnsi="Times New Roman"/>
        </w:rPr>
        <w:footnoteReference w:id="38"/>
      </w:r>
      <w:r w:rsidRPr="00976A97">
        <w:t xml:space="preserve"> Daň z hazardních her se spíše považuje za přímou daň. Předmětem daně z hazardních her je sice provozování hazardních her, avšak k uhrazení daně dochází z příjmu z provozování při jeho vzniku. V případě daně z hazardních her ne</w:t>
      </w:r>
      <w:r w:rsidRPr="00976A97">
        <w:lastRenderedPageBreak/>
        <w:t>dochází k přenesení daňové povinnosti na jiný subjekt, nýbrž je daň hrazena provozovatelem, tedy tím, kdo ji ekonomicky nese.</w:t>
      </w:r>
      <w:r w:rsidRPr="00976A97">
        <w:rPr>
          <w:rStyle w:val="Znakapoznpodarou"/>
          <w:rFonts w:ascii="Times New Roman" w:hAnsi="Times New Roman"/>
        </w:rPr>
        <w:footnoteReference w:id="39"/>
      </w:r>
      <w:r w:rsidRPr="00976A97">
        <w:t xml:space="preserve"> Důvodová zpráva také uvádí, že se jedná o přímou daň. I proto byl subjekt daně označen za poplatníka.</w:t>
      </w:r>
      <w:r w:rsidRPr="00976A97">
        <w:rPr>
          <w:rStyle w:val="Znakapoznpodarou"/>
          <w:rFonts w:ascii="Times New Roman" w:hAnsi="Times New Roman"/>
        </w:rPr>
        <w:footnoteReference w:id="40"/>
      </w:r>
      <w:r w:rsidR="0002050C">
        <w:t xml:space="preserve"> </w:t>
      </w:r>
      <w:r w:rsidRPr="00976A97">
        <w:t xml:space="preserve">Dále je možné daně členit podle daňového určení na daně výlučné nebo sdílené. Výlučnými daněmi jsou daně, jejichž výnos plyne jen do jednoho veřejného rozpočtu. </w:t>
      </w:r>
      <w:r w:rsidR="004219CB">
        <w:t>Avšak daně jsou zpravidla sdílené, kdy se stáv</w:t>
      </w:r>
      <w:r w:rsidR="004C2E24">
        <w:t>á jejich výnos</w:t>
      </w:r>
      <w:r w:rsidRPr="00976A97">
        <w:t xml:space="preserve"> příjmem více veřejných rozpočtů.</w:t>
      </w:r>
      <w:r w:rsidRPr="00976A97">
        <w:rPr>
          <w:rStyle w:val="Znakapoznpodarou"/>
          <w:rFonts w:ascii="Times New Roman" w:hAnsi="Times New Roman"/>
        </w:rPr>
        <w:footnoteReference w:id="41"/>
      </w:r>
      <w:r w:rsidRPr="00976A97">
        <w:t xml:space="preserve"> Daň z hazardních her je nesporně daní sdílenou, když výnos daně z hazardních her plyne z části do státního rozpočtu a z části do municipálních rozpočtů.</w:t>
      </w:r>
      <w:r w:rsidRPr="00976A97">
        <w:rPr>
          <w:rStyle w:val="Znakapoznpodarou"/>
          <w:rFonts w:ascii="Times New Roman" w:hAnsi="Times New Roman"/>
        </w:rPr>
        <w:footnoteReference w:id="42"/>
      </w:r>
      <w:r w:rsidR="00305A09">
        <w:t xml:space="preserve"> </w:t>
      </w:r>
      <w:r w:rsidR="00305A09">
        <w:rPr>
          <w:color w:val="000000" w:themeColor="text1"/>
        </w:rPr>
        <w:t>Dalším kritériem dělení daní je jich periodicita, kdy rozlišujeme mezi daněmi případovými, které se hradí v souvislosti s určitou jednorázovou skutečností, a daněmi pravidelně se opakujícími, kam</w:t>
      </w:r>
      <w:r w:rsidR="009F5030">
        <w:rPr>
          <w:color w:val="000000" w:themeColor="text1"/>
        </w:rPr>
        <w:t xml:space="preserve"> spadá i daň z hazardních her. P</w:t>
      </w:r>
      <w:r w:rsidR="00305A09">
        <w:rPr>
          <w:color w:val="000000" w:themeColor="text1"/>
        </w:rPr>
        <w:t>ro tyto daně je naopak charakteristické určení zdaňovacího období, za které se daň hradí.</w:t>
      </w:r>
      <w:r w:rsidR="00305A09">
        <w:rPr>
          <w:rStyle w:val="Znakapoznpodarou"/>
          <w:color w:val="000000" w:themeColor="text1"/>
        </w:rPr>
        <w:footnoteReference w:id="43"/>
      </w:r>
    </w:p>
    <w:p w14:paraId="0201F265" w14:textId="77777777" w:rsidR="006B458E" w:rsidRDefault="006B458E" w:rsidP="006B458E">
      <w:pPr>
        <w:pStyle w:val="Dalodstavce"/>
      </w:pPr>
      <w:r>
        <w:t>Daně mají obecně několik funkcí. Primární funkcí všech daní je fiskální funkce, když hlavním účelem daní je zajištění finančních prostředků pro stát, tak aby byl schopen uspokojovat celospolečenské potřeby.</w:t>
      </w:r>
      <w:r w:rsidR="00894C5C">
        <w:rPr>
          <w:rStyle w:val="Znakapoznpodarou"/>
        </w:rPr>
        <w:footnoteReference w:id="44"/>
      </w:r>
      <w:r>
        <w:t xml:space="preserve"> </w:t>
      </w:r>
      <w:r w:rsidR="00D72384">
        <w:t>Daň z hazardních her plní i redistribuční funkci. Účelem této funkce je zmírnění nerovností mezi subjekty</w:t>
      </w:r>
      <w:r w:rsidR="006F7B8F">
        <w:t xml:space="preserve"> transferem peněžních prostředků od provozovatelů hazardních her k druhým osobám.</w:t>
      </w:r>
      <w:r w:rsidR="006F7B8F">
        <w:rPr>
          <w:rStyle w:val="Znakapoznpodarou"/>
        </w:rPr>
        <w:footnoteReference w:id="45"/>
      </w:r>
      <w:r w:rsidR="006F7B8F">
        <w:t xml:space="preserve"> </w:t>
      </w:r>
      <w:r w:rsidR="00B2208C">
        <w:t>Následně jsou tyto peněžité prostředky využívány k financování výdajů veřejných rozpočtů.</w:t>
      </w:r>
      <w:r w:rsidR="00DF3642">
        <w:rPr>
          <w:rStyle w:val="Znakapoznpodarou"/>
        </w:rPr>
        <w:footnoteReference w:id="46"/>
      </w:r>
      <w:r w:rsidR="00B2208C">
        <w:t xml:space="preserve"> Tímto daň naplňuje svou alokační funkci. </w:t>
      </w:r>
      <w:r>
        <w:t>Vedle</w:t>
      </w:r>
      <w:r w:rsidR="00E94347">
        <w:t xml:space="preserve"> funkcí fiskálního charakteru</w:t>
      </w:r>
      <w:r>
        <w:t xml:space="preserve"> </w:t>
      </w:r>
      <w:r w:rsidR="00E94347">
        <w:t>daně plní</w:t>
      </w:r>
      <w:r>
        <w:t xml:space="preserve"> </w:t>
      </w:r>
      <w:r w:rsidR="00E94347">
        <w:t>i další neméně důležité funkce</w:t>
      </w:r>
      <w:r>
        <w:t>, které se u každé daně projevují v jiné míře. U daně z hazardních her je zcela evidentní její regulační a ochranná funkce.</w:t>
      </w:r>
      <w:r w:rsidR="00E6194C">
        <w:rPr>
          <w:rStyle w:val="Znakapoznpodarou"/>
        </w:rPr>
        <w:footnoteReference w:id="47"/>
      </w:r>
      <w:r>
        <w:t xml:space="preserve"> Daně jsou ekonomickým nástrojem regulace určitých ekonomických aktivit. Státní politikou uplatňovanou v oblasti daní může docházet nejen k finanční motivaci subjektů </w:t>
      </w:r>
      <w:r>
        <w:lastRenderedPageBreak/>
        <w:t>při jejich rozhodování, ale i k jejich odrazení od určitých činností.</w:t>
      </w:r>
      <w:r w:rsidR="00D76E05">
        <w:rPr>
          <w:rStyle w:val="Znakapoznpodarou"/>
        </w:rPr>
        <w:footnoteReference w:id="48"/>
      </w:r>
      <w:r>
        <w:t xml:space="preserve"> Nastavením méně přívětivé daňové politiky v herním odvětví stát tak nepřímo ovlivňuje o ni zájem. Nejvíce se regulační funkce projevuje u technických her, které jsou zatíženy vyšší sazbou daně, neboť se tento typ hazardních her řadí k těm nejrizikovějším ve vztahu ke vzniku</w:t>
      </w:r>
      <w:r w:rsidR="00F51E23">
        <w:t xml:space="preserve"> patologického hráčství.</w:t>
      </w:r>
    </w:p>
    <w:p w14:paraId="1FBCC1F8" w14:textId="77777777" w:rsidR="00B4078A" w:rsidRDefault="00B4078A" w:rsidP="00B4078A">
      <w:pPr>
        <w:pStyle w:val="Nadpis1"/>
      </w:pPr>
      <w:bookmarkStart w:id="14" w:name="_Toc44451447"/>
      <w:r>
        <w:lastRenderedPageBreak/>
        <w:t>Konstrukční prvky daně z hazardních her</w:t>
      </w:r>
      <w:bookmarkEnd w:id="14"/>
    </w:p>
    <w:p w14:paraId="276A0031" w14:textId="77777777" w:rsidR="00EB54E6" w:rsidRDefault="00B4078A" w:rsidP="00B4078A">
      <w:pPr>
        <w:pStyle w:val="Odstavec1"/>
      </w:pPr>
      <w:r w:rsidRPr="00976A97">
        <w:t>S ohledem na to, že daň je určitým druhem právního vztahu, to jest daňov</w:t>
      </w:r>
      <w:r w:rsidR="00586BDC">
        <w:t>ěprávním vztahem, dochází k jeho</w:t>
      </w:r>
      <w:r w:rsidRPr="00976A97">
        <w:t xml:space="preserve"> vymezení stejně jako u dalších právních vztahů pomocí </w:t>
      </w:r>
      <w:r w:rsidR="00385E20">
        <w:t xml:space="preserve">určitých </w:t>
      </w:r>
      <w:r w:rsidR="00586BDC">
        <w:t>elementů</w:t>
      </w:r>
      <w:r w:rsidR="00385E20">
        <w:t xml:space="preserve"> – subjekt</w:t>
      </w:r>
      <w:r w:rsidR="00586BDC">
        <w:t>u</w:t>
      </w:r>
      <w:r w:rsidR="00385E20">
        <w:t>, objekt</w:t>
      </w:r>
      <w:r w:rsidR="00586BDC">
        <w:t>u</w:t>
      </w:r>
      <w:r w:rsidR="00385E20">
        <w:t xml:space="preserve"> a obsah</w:t>
      </w:r>
      <w:r w:rsidR="00586BDC">
        <w:t>u</w:t>
      </w:r>
      <w:r w:rsidR="00385E20">
        <w:t>.</w:t>
      </w:r>
      <w:r w:rsidR="00D26484">
        <w:rPr>
          <w:rStyle w:val="Znakapoznpodarou"/>
        </w:rPr>
        <w:footnoteReference w:id="49"/>
      </w:r>
      <w:r w:rsidR="0051601A">
        <w:t xml:space="preserve"> </w:t>
      </w:r>
      <w:r w:rsidR="00586BDC">
        <w:t>Subjekty daňověprávního vztahu jsou v nerovném postavení, kdy na jedné straně vystupuje</w:t>
      </w:r>
      <w:r w:rsidR="00D26484">
        <w:t xml:space="preserve"> v mocensky nadřazeném postavení</w:t>
      </w:r>
      <w:r w:rsidR="00586BDC">
        <w:t xml:space="preserve"> správce daně a na straně druhé povinný daňový subjekt. Předmětem daného právního vztahu jsou daně a jeho obsahem </w:t>
      </w:r>
      <w:r w:rsidR="000E0CE2">
        <w:t xml:space="preserve">vzájemná subjektivní </w:t>
      </w:r>
      <w:r w:rsidR="00586BDC">
        <w:t>práva a povinnosti</w:t>
      </w:r>
      <w:r w:rsidR="00D26484">
        <w:t>, zejména tedy povinnost daňového</w:t>
      </w:r>
      <w:r w:rsidR="003C211E">
        <w:t xml:space="preserve"> subjektu konkrétní daň přiznat</w:t>
      </w:r>
      <w:r w:rsidR="00D26484">
        <w:t xml:space="preserve"> a zaplatit a povinnost a zároveň právo správce daně tuto daň stanovit a vybrat.</w:t>
      </w:r>
    </w:p>
    <w:p w14:paraId="28963204" w14:textId="77777777" w:rsidR="00B4078A" w:rsidRPr="00976A97" w:rsidRDefault="00CA2288" w:rsidP="00EB54E6">
      <w:pPr>
        <w:pStyle w:val="Dalodstavce"/>
      </w:pPr>
      <w:r>
        <w:t xml:space="preserve">Mimo výše zmíněné základní </w:t>
      </w:r>
      <w:r w:rsidR="001829A3">
        <w:t>prvky</w:t>
      </w:r>
      <w:r>
        <w:t xml:space="preserve"> je daňověprávní vztah blíže specifikován řadou dalších konstrukčních prvků,</w:t>
      </w:r>
      <w:r w:rsidR="00B4078A" w:rsidRPr="00976A97">
        <w:rPr>
          <w:rStyle w:val="Znakapoznpodarou"/>
          <w:rFonts w:ascii="Times New Roman" w:hAnsi="Times New Roman"/>
        </w:rPr>
        <w:footnoteReference w:id="50"/>
      </w:r>
      <w:r>
        <w:t xml:space="preserve"> b</w:t>
      </w:r>
      <w:r w:rsidR="00B4078A" w:rsidRPr="00976A97">
        <w:t xml:space="preserve">ez </w:t>
      </w:r>
      <w:r>
        <w:t>nichž</w:t>
      </w:r>
      <w:r w:rsidR="00B4078A" w:rsidRPr="00976A97">
        <w:t xml:space="preserve"> by daň nemohla existovat, respektive nebyli bychom schopni určit, co se zdaňuje, jaká je výše daně, jak ji vypočíst apod. Obvykle se v rámci teorie </w:t>
      </w:r>
      <w:r w:rsidR="004D60B3">
        <w:t xml:space="preserve">tyto </w:t>
      </w:r>
      <w:r w:rsidR="00B4078A" w:rsidRPr="00976A97">
        <w:t xml:space="preserve">konstrukční prvky dělí na základní a ostatní, které </w:t>
      </w:r>
      <w:r w:rsidR="0032589B">
        <w:t xml:space="preserve">jsou také někdy označovány též jako </w:t>
      </w:r>
      <w:r w:rsidR="00B4078A" w:rsidRPr="00976A97">
        <w:t>korekční.</w:t>
      </w:r>
      <w:r w:rsidR="00B4078A" w:rsidRPr="00976A97">
        <w:rPr>
          <w:rStyle w:val="Znakapoznpodarou"/>
          <w:rFonts w:ascii="Times New Roman" w:hAnsi="Times New Roman"/>
        </w:rPr>
        <w:footnoteReference w:id="51"/>
      </w:r>
      <w:r w:rsidR="00B4078A" w:rsidRPr="00976A97">
        <w:t xml:space="preserve"> Základní konstrukční prvky můžeme chápat jako ústřední prvky, bez kterých by určitá daň nemohla existovat. Ostatními konstrukčními prvky, resp. korekčními, pak dochází k modifikaci základních konstrukčních prvků nebo samotné daně. Jedná se o osvobození od daně, slevu na dani, minimální a maximální základ daně a další korekční prvky.</w:t>
      </w:r>
      <w:r w:rsidR="00B4078A" w:rsidRPr="00976A97">
        <w:rPr>
          <w:rStyle w:val="Znakapoznpodarou"/>
          <w:rFonts w:ascii="Times New Roman" w:hAnsi="Times New Roman"/>
        </w:rPr>
        <w:footnoteReference w:id="52"/>
      </w:r>
      <w:r w:rsidR="00B4078A" w:rsidRPr="00976A97">
        <w:t xml:space="preserve"> Nicméně vymezení základních a ostatních konstrukčních prvků daně se v odborné literatuře značně různí. </w:t>
      </w:r>
    </w:p>
    <w:p w14:paraId="2509919B" w14:textId="6F6BF1A2" w:rsidR="00B4078A" w:rsidRPr="00976A97" w:rsidRDefault="0093008E" w:rsidP="00B4078A">
      <w:pPr>
        <w:pStyle w:val="Dalodstavce"/>
      </w:pPr>
      <w:r>
        <w:t>Valná v</w:t>
      </w:r>
      <w:r w:rsidR="005710B3">
        <w:t xml:space="preserve">ětšina autorů </w:t>
      </w:r>
      <w:r w:rsidR="00D30C52">
        <w:t xml:space="preserve">odborných publikací </w:t>
      </w:r>
      <w:r w:rsidR="005710B3">
        <w:t xml:space="preserve">se </w:t>
      </w:r>
      <w:r w:rsidR="00473958">
        <w:t xml:space="preserve">nepochybně </w:t>
      </w:r>
      <w:r w:rsidR="005710B3">
        <w:t>shodne</w:t>
      </w:r>
      <w:r w:rsidR="00B4078A" w:rsidRPr="00976A97">
        <w:t xml:space="preserve">, že mezi základní konstrukční prvky lze </w:t>
      </w:r>
      <w:r w:rsidR="00A05F5D">
        <w:t>zcela jistě</w:t>
      </w:r>
      <w:r w:rsidR="00B4078A" w:rsidRPr="00976A97">
        <w:t xml:space="preserve"> zařadit subjekt daně, předmět daně, základ daně a sazbu daně.</w:t>
      </w:r>
      <w:r w:rsidR="00B4078A" w:rsidRPr="00976A97">
        <w:rPr>
          <w:rStyle w:val="Znakapoznpodarou"/>
          <w:rFonts w:ascii="Times New Roman" w:hAnsi="Times New Roman"/>
        </w:rPr>
        <w:footnoteReference w:id="53"/>
      </w:r>
      <w:r w:rsidR="00B4078A" w:rsidRPr="00976A97">
        <w:t xml:space="preserve"> Někteří autoři po</w:t>
      </w:r>
      <w:r w:rsidR="00A05F5D">
        <w:t>važují i výpočet daně</w:t>
      </w:r>
      <w:r w:rsidR="00B4078A" w:rsidRPr="00976A97">
        <w:t xml:space="preserve">, </w:t>
      </w:r>
      <w:r w:rsidR="00A05F5D">
        <w:t xml:space="preserve">její </w:t>
      </w:r>
      <w:r w:rsidR="00B4078A" w:rsidRPr="00976A97">
        <w:t>zdaňovací</w:t>
      </w:r>
      <w:r w:rsidR="00A05F5D">
        <w:t xml:space="preserve"> období a rozpočtové určení</w:t>
      </w:r>
      <w:r w:rsidR="00B4078A" w:rsidRPr="00976A97">
        <w:t xml:space="preserve"> za základní konstrukční prvky daně.</w:t>
      </w:r>
      <w:r w:rsidR="00B4078A" w:rsidRPr="00976A97">
        <w:rPr>
          <w:rStyle w:val="Znakapoznpodarou"/>
          <w:rFonts w:ascii="Times New Roman" w:hAnsi="Times New Roman"/>
        </w:rPr>
        <w:footnoteReference w:id="54"/>
      </w:r>
      <w:r w:rsidR="00B4078A" w:rsidRPr="00976A97">
        <w:t xml:space="preserve"> Naproti tomu Engliš uvádí i splatnost daně jako základní konstrukční prvek.</w:t>
      </w:r>
      <w:r w:rsidR="00437DDD">
        <w:rPr>
          <w:rStyle w:val="Znakapoznpodarou"/>
        </w:rPr>
        <w:footnoteReference w:id="55"/>
      </w:r>
      <w:r w:rsidR="00437DDD">
        <w:rPr>
          <w:rFonts w:ascii="Times New Roman" w:hAnsi="Times New Roman"/>
        </w:rPr>
        <w:t xml:space="preserve"> </w:t>
      </w:r>
      <w:r w:rsidR="00B4078A" w:rsidRPr="00976A97">
        <w:t xml:space="preserve"> Autoři brněnské učebnice finančního práva vedle subjektu, objektu, základu, sazby a rozpočtového určení </w:t>
      </w:r>
      <w:r w:rsidR="00B4078A" w:rsidRPr="00976A97">
        <w:lastRenderedPageBreak/>
        <w:t>daně považují za konstrukční prvky daně také správce daně, podmínky placení a korekční prvky.</w:t>
      </w:r>
      <w:r w:rsidR="00B4078A" w:rsidRPr="00976A97">
        <w:rPr>
          <w:rStyle w:val="Znakapoznpodarou"/>
          <w:rFonts w:ascii="Times New Roman" w:hAnsi="Times New Roman"/>
        </w:rPr>
        <w:footnoteReference w:id="56"/>
      </w:r>
      <w:r w:rsidR="00B4078A" w:rsidRPr="00976A97">
        <w:t xml:space="preserve"> </w:t>
      </w:r>
      <w:r w:rsidR="00A316CA">
        <w:t xml:space="preserve">Naopak Boháč nesouhlasí se zařazením </w:t>
      </w:r>
      <w:r w:rsidR="0073216C">
        <w:t xml:space="preserve">splatnosti daně, </w:t>
      </w:r>
      <w:r w:rsidR="00A316CA">
        <w:t xml:space="preserve">správce daně a podmínek </w:t>
      </w:r>
      <w:r w:rsidR="00052CD6">
        <w:t xml:space="preserve">jejího </w:t>
      </w:r>
      <w:r w:rsidR="00A316CA">
        <w:t xml:space="preserve">placení mezi konstrukční prvky daně. K vymezení daně pomocí konstrukčních prvků </w:t>
      </w:r>
      <w:r w:rsidR="001843C6">
        <w:t>ne</w:t>
      </w:r>
      <w:r w:rsidR="00A316CA">
        <w:t xml:space="preserve">dochází totiž </w:t>
      </w:r>
      <w:r w:rsidR="00890064">
        <w:t xml:space="preserve">v </w:t>
      </w:r>
      <w:r w:rsidR="007330BD">
        <w:t>procesně právní</w:t>
      </w:r>
      <w:r w:rsidR="001843C6">
        <w:t xml:space="preserve"> rovině, naopak pouze v hmotněprávní. </w:t>
      </w:r>
      <w:r w:rsidR="001829A3">
        <w:t xml:space="preserve">Konstrukční prvky blíže určují daň na základě hmotněprávních ustanovení, přičemž k jejímu stanovení a placení dochází v rámci správy daně na základě procesních ustanovení. </w:t>
      </w:r>
      <w:r w:rsidR="0073216C">
        <w:t>Proto</w:t>
      </w:r>
      <w:r w:rsidR="001829A3">
        <w:t xml:space="preserve"> tyto instituty</w:t>
      </w:r>
      <w:r w:rsidR="000B6B8E">
        <w:t xml:space="preserve"> správy</w:t>
      </w:r>
      <w:r w:rsidR="001829A3">
        <w:t xml:space="preserve"> daně nemají</w:t>
      </w:r>
      <w:r w:rsidR="0073216C">
        <w:t xml:space="preserve"> s konstrukčními prvky daně nic společného.</w:t>
      </w:r>
      <w:r w:rsidR="0073216C">
        <w:rPr>
          <w:rStyle w:val="Znakapoznpodarou"/>
        </w:rPr>
        <w:footnoteReference w:id="57"/>
      </w:r>
    </w:p>
    <w:p w14:paraId="7B23AC17" w14:textId="77777777" w:rsidR="00B4078A" w:rsidRPr="00976A97" w:rsidRDefault="00B4078A" w:rsidP="00B4078A">
      <w:pPr>
        <w:pStyle w:val="Dalodstavce"/>
      </w:pPr>
      <w:r w:rsidRPr="00976A97">
        <w:t>Z důvodu mnohosti názorů budu pro účely diplomové práce vycházet z důvodové zprávy, dle které lze za základní konstrukční prvky daně považovat daňový subjekt, objekt zdanění, základ daně, sazbu daně, výpočet daně, zdaňovací období a rozpočtové určení daně, přičemž minimální dílčí daň z technických her je řazena mezi ostatní konstrukční prvky.</w:t>
      </w:r>
      <w:r w:rsidRPr="00976A97">
        <w:rPr>
          <w:rStyle w:val="Znakapoznpodarou"/>
          <w:rFonts w:ascii="Times New Roman" w:hAnsi="Times New Roman"/>
        </w:rPr>
        <w:footnoteReference w:id="58"/>
      </w:r>
    </w:p>
    <w:p w14:paraId="228DE4D2" w14:textId="77777777" w:rsidR="00B4078A" w:rsidRDefault="00B4078A" w:rsidP="00B4078A">
      <w:pPr>
        <w:pStyle w:val="Nadpis2"/>
      </w:pPr>
      <w:bookmarkStart w:id="17" w:name="_Toc44451448"/>
      <w:r>
        <w:t>Subjekt daně</w:t>
      </w:r>
      <w:r w:rsidR="00D968B2">
        <w:t xml:space="preserve"> z hazardních her</w:t>
      </w:r>
      <w:bookmarkEnd w:id="17"/>
    </w:p>
    <w:p w14:paraId="38900682" w14:textId="46456AB1" w:rsidR="00B4078A" w:rsidRPr="00976A97" w:rsidRDefault="00B4078A" w:rsidP="00B4078A">
      <w:pPr>
        <w:pStyle w:val="Odstavec1"/>
      </w:pPr>
      <w:r w:rsidRPr="00976A97">
        <w:t>Tradičně bývá v právní úpravě daní jako první v pořadí upraven konstrukční prvek subjekt daně, protože se bezesporu jedná o zcela esenciální konstrukční prvek každé daně, bez kterého by daň absolutně postrádala smysl, neboť by bez existence subjektu daň neměl, kdo platit. Není tomu jinak i v zákoně o dani z hazardních her. Teorií je subjekt daně vymezen jako osoba, která je povinná k odvedení nebo zaplacení daně, tedy plátce nebo poplatník.</w:t>
      </w:r>
      <w:r w:rsidRPr="00976A97">
        <w:rPr>
          <w:rStyle w:val="Znakapoznpodarou"/>
          <w:rFonts w:ascii="Times New Roman" w:hAnsi="Times New Roman"/>
        </w:rPr>
        <w:footnoteReference w:id="59"/>
      </w:r>
      <w:r w:rsidRPr="00976A97">
        <w:t xml:space="preserve"> Subjekt daně z hazardních her byl označen jako poplatník, čímž chtěl zákonodárce vystihnout, že se jedná o jednu z přímých daní.</w:t>
      </w:r>
      <w:r w:rsidRPr="00976A97">
        <w:rPr>
          <w:rStyle w:val="Znakapoznpodarou"/>
          <w:rFonts w:ascii="Times New Roman" w:hAnsi="Times New Roman"/>
        </w:rPr>
        <w:footnoteReference w:id="60"/>
      </w:r>
      <w:r w:rsidRPr="00976A97">
        <w:t xml:space="preserve"> Pro přímé daně je typické zdaňování příjmu při jeho vzniku a hradí ji osoba, která ekonomicky daň nese.</w:t>
      </w:r>
      <w:r w:rsidRPr="00976A97">
        <w:rPr>
          <w:rStyle w:val="Znakapoznpodarou"/>
          <w:rFonts w:ascii="Times New Roman" w:hAnsi="Times New Roman"/>
        </w:rPr>
        <w:footnoteReference w:id="61"/>
      </w:r>
      <w:r w:rsidRPr="00976A97">
        <w:t xml:space="preserve"> </w:t>
      </w:r>
      <w:r w:rsidR="00AE5B2E">
        <w:t xml:space="preserve">Dochází tedy ke kumulaci funkce plátce a poplatníka v jedné osobě, která je zatížena jak ekonomickým, tak i právním břemenem daně. </w:t>
      </w:r>
      <w:r w:rsidRPr="00976A97">
        <w:t xml:space="preserve">Předmětem daně není sice příjem </w:t>
      </w:r>
      <w:r w:rsidRPr="00976A97">
        <w:lastRenderedPageBreak/>
        <w:t>jako takový, ale provozování hazardních her, a daň z takové činnosti je hrazena provozovatelem z příjmu z tohoto provozování při jeho vzniku.</w:t>
      </w:r>
    </w:p>
    <w:p w14:paraId="0856883D" w14:textId="758C4FCC" w:rsidR="00B4078A" w:rsidRPr="00976A97" w:rsidRDefault="00B4078A" w:rsidP="00B4078A">
      <w:pPr>
        <w:pStyle w:val="Dalodstavce"/>
      </w:pPr>
      <w:r w:rsidRPr="00976A97">
        <w:t>Jedním ze zásadních rozdílů oproti úpravě v loterním zákoně je, že nová právní úprava nehledí na to, zdali je provozování hazardní hry legální nebo nelegální. V loterním zákoně byl subjektem daně provozovatel hazardní hry. Za provozovatele se považovala jen právnická osoba sídlící na území České republiky, která měla povolení k provozování loterie nebo jiné podobné hry vydané oprávněným orgánem České republiky.</w:t>
      </w:r>
      <w:r w:rsidRPr="00976A97">
        <w:rPr>
          <w:rStyle w:val="Znakapoznpodarou"/>
          <w:rFonts w:ascii="Times New Roman" w:hAnsi="Times New Roman"/>
        </w:rPr>
        <w:footnoteReference w:id="62"/>
      </w:r>
      <w:r w:rsidRPr="00976A97">
        <w:t xml:space="preserve"> Přitom poplatníkem dle dikce zákona mohl být jen provozovatel.</w:t>
      </w:r>
      <w:r w:rsidRPr="00976A97">
        <w:rPr>
          <w:rStyle w:val="Znakapoznpodarou"/>
          <w:rFonts w:ascii="Times New Roman" w:hAnsi="Times New Roman"/>
        </w:rPr>
        <w:footnoteReference w:id="63"/>
      </w:r>
      <w:r w:rsidRPr="00976A97">
        <w:t xml:space="preserve"> Proto se subjekty, které provozovaly hazardní hry bez příslušného povolení, nepovažovaly za poplatníka, tím pádem nemohla být tato činnost ani zdaněna. Osoby, které naopak disponovaly příslušným oprávněním a provozovaly tedy tuto činnost legálně, byly určitým způsobem v rámci hospodářské soutěže zjevně znevýhodněny, když podléhaly daňovému zatížení. Dalším stěžejním problémem bylo zejména zdaňování loterií a jiných podobných her těch subjektů, které měly sídlo v jiném členském státě, popřípadě sídlily na území některého ze států, který je smluvní stranou Dohody o Evropském hospodářském prostoru. Tyto subjekty sice svou činnost neprovozovaly nelegálně, protože disponovaly příslušnými povoleními dle právní úpravy státu, kde sídlily, ale už nemohly být držiteli povolení dle českého práva. A z </w:t>
      </w:r>
      <w:r w:rsidRPr="00B4078A">
        <w:t>tohoto</w:t>
      </w:r>
      <w:r w:rsidRPr="00976A97">
        <w:t xml:space="preserve"> důvodu nemohly být ani subjektem daně.</w:t>
      </w:r>
      <w:r w:rsidRPr="00976A97">
        <w:rPr>
          <w:rStyle w:val="Znakapoznpodarou"/>
          <w:rFonts w:ascii="Times New Roman" w:hAnsi="Times New Roman"/>
        </w:rPr>
        <w:footnoteReference w:id="64"/>
      </w:r>
      <w:r w:rsidRPr="00976A97">
        <w:t xml:space="preserve"> K loternímu zákonu se vyjádřila i Evropská Komise, která jej shledala v rozporu s evropským právem.</w:t>
      </w:r>
      <w:r w:rsidR="00E55656">
        <w:rPr>
          <w:rStyle w:val="Znakapoznpodarou"/>
        </w:rPr>
        <w:footnoteReference w:id="65"/>
      </w:r>
      <w:r w:rsidRPr="00976A97">
        <w:t xml:space="preserve"> Definice provozovatele</w:t>
      </w:r>
      <w:r w:rsidRPr="00976A97">
        <w:rPr>
          <w:rStyle w:val="Znakapoznpodarou"/>
          <w:rFonts w:ascii="Times New Roman" w:hAnsi="Times New Roman"/>
        </w:rPr>
        <w:footnoteReference w:id="66"/>
      </w:r>
      <w:r w:rsidRPr="00976A97">
        <w:t xml:space="preserve"> podle loterního zákona nebyla v souladu se Smlouvou o fungování Evropské unie. Jednalo se o ustanovení o zákazu omezení volného pohybu služeb</w:t>
      </w:r>
      <w:r w:rsidRPr="00976A97">
        <w:rPr>
          <w:rStyle w:val="Znakapoznpodarou"/>
          <w:rFonts w:ascii="Times New Roman" w:hAnsi="Times New Roman"/>
        </w:rPr>
        <w:footnoteReference w:id="67"/>
      </w:r>
      <w:r w:rsidRPr="00976A97">
        <w:t xml:space="preserve"> uvnitř Evropské unie a o zákazu omezení volného pohybu kapitálu.</w:t>
      </w:r>
      <w:r w:rsidRPr="00976A97">
        <w:rPr>
          <w:rStyle w:val="Znakapoznpodarou"/>
          <w:rFonts w:ascii="Times New Roman" w:hAnsi="Times New Roman"/>
        </w:rPr>
        <w:footnoteReference w:id="68"/>
      </w:r>
      <w:r w:rsidRPr="00976A97">
        <w:t xml:space="preserve"> Problematickou skupinou provozovatelů byli i ti, co provozovali loterie a jiné podobné hry prostřednictvím internetu, ale jejich sídlo bylo umístěno jak mimo EU, tak i mimo hranice Evropského hospodářského prostoru. </w:t>
      </w:r>
    </w:p>
    <w:p w14:paraId="7AB54BEC" w14:textId="0D0EB60A" w:rsidR="00B4078A" w:rsidRPr="00976A97" w:rsidRDefault="00B4078A" w:rsidP="00B4078A">
      <w:pPr>
        <w:pStyle w:val="Dalodstavce"/>
      </w:pPr>
      <w:r w:rsidRPr="00976A97">
        <w:lastRenderedPageBreak/>
        <w:t>Přijetím nové právní úpravy se výše zmíněné problémy odstranily. Dle zákona o dani z hazardních her je totiž poplatníkem nejen subjekt, který disponuje základním povolením, nebo svou činnost ohlásil, ale i subjekty, kteří hazardní hru fakticky provozují, avšak nedisponují základním povolením, popřípadě hru neohlásily, ač by měly. Poplatníkem u povolovaných her bude subjekt, který provozuje hazardní hru na základě příslušného oprávnění a také subjekt, který ji provozuje a je k této činnosti vyžadováno, avšak povolením nedisponuje.</w:t>
      </w:r>
      <w:r w:rsidRPr="00976A97">
        <w:rPr>
          <w:rStyle w:val="Znakapoznpodarou"/>
          <w:rFonts w:ascii="Times New Roman" w:hAnsi="Times New Roman"/>
        </w:rPr>
        <w:footnoteReference w:id="69"/>
      </w:r>
      <w:r w:rsidRPr="00976A97">
        <w:t xml:space="preserve"> U ohlašovaných her je poplatníkem osoba, která činnost ohlásila a provozuje ji v souladu se zákonem. Pak také osoba, která sice činnost ohlásila, ale činnost byla následně zakázána obecním úřadem a osoba ji </w:t>
      </w:r>
      <w:r w:rsidR="00CE6BC8">
        <w:t xml:space="preserve">navzdory zákazu </w:t>
      </w:r>
      <w:r w:rsidRPr="00976A97">
        <w:t>stále provozuje anebo provozuje činnost, ke které je nutné ohlášení, avšak tato činnost ohlášena nebyla.</w:t>
      </w:r>
      <w:r w:rsidRPr="00976A97">
        <w:rPr>
          <w:rStyle w:val="Znakapoznpodarou"/>
          <w:rFonts w:ascii="Times New Roman" w:hAnsi="Times New Roman"/>
        </w:rPr>
        <w:footnoteReference w:id="70"/>
      </w:r>
    </w:p>
    <w:p w14:paraId="182E8CAE" w14:textId="52C83F39" w:rsidR="00B4078A" w:rsidRPr="00976A97" w:rsidRDefault="00B4078A" w:rsidP="00B4078A">
      <w:pPr>
        <w:pStyle w:val="Dalodstavce"/>
      </w:pPr>
      <w:r w:rsidRPr="00976A97">
        <w:t>Poplatníkem bude i osoba, která má základní povolení, ale fakticky hazardní hru neprovozuje, nebude z ní tedy mít žádný příjem a daňový základ nevytvoří, respektive základ daně bude nulový. Tím, že daňový základ je nulový</w:t>
      </w:r>
      <w:r w:rsidR="00733771">
        <w:t>,</w:t>
      </w:r>
      <w:r w:rsidRPr="00976A97">
        <w:t xml:space="preserve"> se ale nezbavuje povinnosti podat daňové přiznání k dani z hazardních her. I když povinnost podat daňové přiznání je v tomto případě značně relativní s ohledem na institut samovyměření, kdy se daň v případě nepodání samovyměří ve výši 0 Kč.</w:t>
      </w:r>
      <w:r w:rsidRPr="00976A97">
        <w:rPr>
          <w:rStyle w:val="Znakapoznpodarou"/>
          <w:rFonts w:ascii="Times New Roman" w:hAnsi="Times New Roman"/>
        </w:rPr>
        <w:footnoteReference w:id="71"/>
      </w:r>
      <w:r w:rsidRPr="00976A97">
        <w:t xml:space="preserve"> </w:t>
      </w:r>
    </w:p>
    <w:p w14:paraId="4CD7B113" w14:textId="77777777" w:rsidR="00B4078A" w:rsidRPr="00976A97" w:rsidRDefault="00B4078A" w:rsidP="00532C2A">
      <w:pPr>
        <w:pStyle w:val="Dalodstavce"/>
      </w:pPr>
      <w:r w:rsidRPr="00976A97">
        <w:t xml:space="preserve">Subjektu vždy vzniká pouze jedna daň z hazardních her. Skutečnost, že provozovatel provozuje více druhů hazardních her, nezpůsobuje zmnožení jeho daně. Daná skutečnost se promítne jen do základu daně a výpočtu daně. </w:t>
      </w:r>
    </w:p>
    <w:p w14:paraId="09B0F2C8" w14:textId="77777777" w:rsidR="00B4078A" w:rsidRPr="00976A97" w:rsidRDefault="00B4078A" w:rsidP="00B4078A">
      <w:pPr>
        <w:pStyle w:val="Dalodstavce"/>
      </w:pPr>
      <w:r w:rsidRPr="00976A97">
        <w:t>Registrační povinnost poplatníka daně z hazardních her nestíhá. Obecně je povinnost upravena daňovým řádem,</w:t>
      </w:r>
      <w:r w:rsidRPr="00976A97">
        <w:rPr>
          <w:rStyle w:val="Znakapoznpodarou"/>
          <w:rFonts w:ascii="Times New Roman" w:hAnsi="Times New Roman"/>
        </w:rPr>
        <w:footnoteReference w:id="72"/>
      </w:r>
      <w:r w:rsidRPr="00976A97">
        <w:t xml:space="preserve"> jednotlivé daňové zákony pak upravují podmínky, za kterých bude poplatník podléhat registrační povinnosti k této dani. Ke vzniku registrační povinnosti dochází zejména u daní s kontinuálním charakterem, což jsou ty, u nichž dochází ke vzniku daňové povinnosti v jednotlivých zdaňovacích období.</w:t>
      </w:r>
      <w:r w:rsidRPr="00976A97">
        <w:rPr>
          <w:rStyle w:val="Znakapoznpodarou"/>
          <w:rFonts w:ascii="Times New Roman" w:hAnsi="Times New Roman"/>
        </w:rPr>
        <w:footnoteReference w:id="73"/>
      </w:r>
      <w:r w:rsidRPr="00976A97">
        <w:t xml:space="preserve"> Daň z hazardních her je sice také založena na kontinuální bázi, nicméně ani zákonem o dani z hazardních her, ani dalším jiným zákonem není tato povinnost uložena. Důvodem může být to, že valná většina provozovatelů hazardních her vykonává tuto činnost legálně, tedy disponují buď </w:t>
      </w:r>
      <w:r w:rsidRPr="00976A97">
        <w:lastRenderedPageBreak/>
        <w:t>základním povolením anebo svou činnost ohlásili. Tudíž povolovací orgány, jako je MF a příslušné obecní úřady, vědí, kdo danou činnost vykonává. Tyto povolovací orgány jsou povinny poskytnout správci daně relevantní informace prostřednictvím vyžádání</w:t>
      </w:r>
      <w:r w:rsidRPr="00976A97">
        <w:rPr>
          <w:rStyle w:val="Znakapoznpodarou"/>
          <w:rFonts w:ascii="Times New Roman" w:hAnsi="Times New Roman"/>
        </w:rPr>
        <w:footnoteReference w:id="74"/>
      </w:r>
      <w:r w:rsidRPr="00976A97">
        <w:t xml:space="preserve"> nebo správce daně sám může důležité informace přímo čerpat z informačního systému provozování hazardních her, které je spravováno MF.</w:t>
      </w:r>
      <w:r w:rsidRPr="00976A97">
        <w:rPr>
          <w:rStyle w:val="Znakapoznpodarou"/>
          <w:rFonts w:ascii="Times New Roman" w:hAnsi="Times New Roman"/>
        </w:rPr>
        <w:footnoteReference w:id="75"/>
      </w:r>
      <w:r w:rsidRPr="00976A97">
        <w:t xml:space="preserve"> Z důvodu existence tohoto informačního systému by se registrace jevila spíše jako administrativně nadbytečná.</w:t>
      </w:r>
    </w:p>
    <w:p w14:paraId="645EA411" w14:textId="77777777" w:rsidR="00B4078A" w:rsidRPr="00976A97" w:rsidRDefault="00B4078A" w:rsidP="00B4078A">
      <w:pPr>
        <w:pStyle w:val="Dalodstavce"/>
      </w:pPr>
      <w:r w:rsidRPr="00976A97">
        <w:t>Problematičtější bude pro správce daně získávat informace o nelegálních provozovatelích hazardní hry. Jedním z možných způsobů, který ale asi nebude příliš pravděpodobný, je, že poplatník sám podá daňové přiznání, čímž by mu ale mohl hrozit trestněprávní</w:t>
      </w:r>
      <w:r w:rsidRPr="00976A97">
        <w:rPr>
          <w:rStyle w:val="Znakapoznpodarou"/>
          <w:rFonts w:ascii="Times New Roman" w:hAnsi="Times New Roman"/>
        </w:rPr>
        <w:footnoteReference w:id="76"/>
      </w:r>
      <w:r w:rsidRPr="00976A97">
        <w:t xml:space="preserve"> nebo </w:t>
      </w:r>
      <w:r w:rsidR="007330BD" w:rsidRPr="00976A97">
        <w:t>správně právní</w:t>
      </w:r>
      <w:r w:rsidRPr="00976A97">
        <w:rPr>
          <w:rStyle w:val="Znakapoznpodarou"/>
          <w:rFonts w:ascii="Times New Roman" w:hAnsi="Times New Roman"/>
        </w:rPr>
        <w:footnoteReference w:id="77"/>
      </w:r>
      <w:r w:rsidRPr="00976A97">
        <w:t xml:space="preserve"> postih za nelegální provozování hazardních her.  Patrně zásadnějším zdrojem pro získání relevantních skutečností může být vlastní vyhledávací činnost správce daně. Další možný způsob, jak se správce daně může dozvědět o existenci nelegálního provozovatele, mohou být podněty, a to jak od veřejnosti, ke kterým musí daňový správce přihlížet,</w:t>
      </w:r>
      <w:r w:rsidRPr="00976A97">
        <w:rPr>
          <w:rStyle w:val="Znakapoznpodarou"/>
          <w:rFonts w:ascii="Times New Roman" w:hAnsi="Times New Roman"/>
        </w:rPr>
        <w:footnoteReference w:id="78"/>
      </w:r>
      <w:r w:rsidRPr="00976A97">
        <w:t xml:space="preserve"> tak i podněty orgánů veřejné moci, kterými jsou zejména dozorové orgány v oblasti hazardních her, tedy MF a celní úřady.</w:t>
      </w:r>
      <w:r w:rsidRPr="00976A97">
        <w:rPr>
          <w:rStyle w:val="Znakapoznpodarou"/>
          <w:rFonts w:ascii="Times New Roman" w:hAnsi="Times New Roman"/>
        </w:rPr>
        <w:footnoteReference w:id="79"/>
      </w:r>
      <w:r w:rsidRPr="00976A97">
        <w:t xml:space="preserve"> Nejenže pokud zjistí, že jde o nelegální provoz hazardních her, tak vedle zamezení této činnosti, navíc může poskytnout informace správci daně pro účely zdanění této činnosti. Neposledním orgánem veřejné moci jsou nepochybně obecní úřady, které mohou dávat podněty správci daně, pokud zjistí, že v jejich teritoriu dochází k nelegálnímu provozování hazardních her. Motivací pro obecní úřady je zejména fakt, že jsou příjemcem části celostátního hrubého výnosu daně z hazardních her. </w:t>
      </w:r>
    </w:p>
    <w:p w14:paraId="1DC90FF9" w14:textId="77777777" w:rsidR="00B4078A" w:rsidRPr="00976A97" w:rsidRDefault="00B4078A" w:rsidP="00B4078A">
      <w:pPr>
        <w:pStyle w:val="Dalodstavce"/>
      </w:pPr>
      <w:r w:rsidRPr="00976A97">
        <w:t>V souvislosti s tímto bych chtěla podotknout, že problematikou zdaňování výnosu z trestné činnosti se několikrát zabýval i SDEU,</w:t>
      </w:r>
      <w:r w:rsidR="00EB4079">
        <w:rPr>
          <w:rStyle w:val="Znakapoznpodarou"/>
        </w:rPr>
        <w:footnoteReference w:id="80"/>
      </w:r>
      <w:r w:rsidRPr="00976A97">
        <w:t xml:space="preserve"> přičemž zastává stejný názor jako soudy české.</w:t>
      </w:r>
      <w:r w:rsidRPr="00976A97">
        <w:rPr>
          <w:rStyle w:val="Znakapoznpodarou"/>
          <w:rFonts w:ascii="Times New Roman" w:hAnsi="Times New Roman"/>
        </w:rPr>
        <w:footnoteReference w:id="81"/>
      </w:r>
      <w:r w:rsidRPr="00976A97">
        <w:t xml:space="preserve"> Z jejich názoru plyne, že pokud </w:t>
      </w:r>
      <w:r w:rsidRPr="00976A97">
        <w:lastRenderedPageBreak/>
        <w:t>je předmětem daně činnost, která je sice provozována v rozporu s právními předpisy, přičemž porušování těchto právních předpisů tkví pouze v absenci povolení nebo jiného oprávnění, podléhá tato činnost stejnému zdanění, jako kdyby byla vykonávána legálně.</w:t>
      </w:r>
    </w:p>
    <w:p w14:paraId="4576773C" w14:textId="77777777" w:rsidR="00926323" w:rsidRDefault="00B4078A" w:rsidP="00B4078A">
      <w:pPr>
        <w:pStyle w:val="Dalodstavce"/>
      </w:pPr>
      <w:r w:rsidRPr="00976A97">
        <w:t>Otázka vyvstává ve vztahu ke zdanění her, jejichž úprava v zákoně zakotvena není. Hazardní hrou se ve smyslu zákona myslí každá hra, los nebo sázka, na nichž je účast podmíněna vložením sázky, přičemž návratnost sázky není zaručena a zároveň výhra i prohra závisí alespoň z části na náhodě či neznámé okolnosti.</w:t>
      </w:r>
      <w:r w:rsidRPr="00976A97">
        <w:rPr>
          <w:rStyle w:val="Znakapoznpodarou"/>
          <w:rFonts w:ascii="Times New Roman" w:hAnsi="Times New Roman"/>
        </w:rPr>
        <w:footnoteReference w:id="82"/>
      </w:r>
      <w:r w:rsidRPr="00976A97">
        <w:t xml:space="preserve"> Následně jsou zákonem taxativně vyjmenovány druhy hazardních her. Což znamená, že výčet druhů her je úplný a nelze jej měnit či rozšiřovat. Pokud by se tedy objevila hra, která sice splňuje definici hazardní hry, ale zároveň by nešla </w:t>
      </w:r>
      <w:r w:rsidR="00FA5216">
        <w:t>subsumovat</w:t>
      </w:r>
      <w:r w:rsidRPr="00976A97">
        <w:t xml:space="preserve"> ani pod jeden z vyjmenovaných druhů, je její provozování zákonem zakázáno.</w:t>
      </w:r>
      <w:r w:rsidRPr="00976A97">
        <w:rPr>
          <w:rStyle w:val="Znakapoznpodarou"/>
          <w:rFonts w:ascii="Times New Roman" w:hAnsi="Times New Roman"/>
        </w:rPr>
        <w:footnoteReference w:id="83"/>
      </w:r>
      <w:r w:rsidRPr="00976A97">
        <w:t xml:space="preserve"> Jak již bylo </w:t>
      </w:r>
      <w:r w:rsidR="00FA5216">
        <w:t>konstatováno</w:t>
      </w:r>
      <w:r w:rsidRPr="00976A97">
        <w:t xml:space="preserve"> výše</w:t>
      </w:r>
      <w:r w:rsidR="00FA5216">
        <w:t>,</w:t>
      </w:r>
      <w:r w:rsidRPr="00976A97">
        <w:t xml:space="preserve"> současná právní úprava</w:t>
      </w:r>
      <w:r w:rsidR="00E32393">
        <w:t xml:space="preserve"> zdanění</w:t>
      </w:r>
      <w:r w:rsidRPr="00976A97">
        <w:t xml:space="preserve"> </w:t>
      </w:r>
      <w:r w:rsidR="00FA5216">
        <w:t xml:space="preserve">je sice postavena na neutralitě vůči </w:t>
      </w:r>
      <w:r w:rsidR="00E32393">
        <w:t>ne</w:t>
      </w:r>
      <w:r w:rsidR="00FA5216">
        <w:t xml:space="preserve">legalitě provozování hazardních her. Nicméně aby </w:t>
      </w:r>
      <w:r w:rsidR="00CD316E">
        <w:t>provozovatel takové hazardní hry naplnil</w:t>
      </w:r>
      <w:r w:rsidR="00FA5216">
        <w:t xml:space="preserve"> znak</w:t>
      </w:r>
      <w:r w:rsidR="00CD316E">
        <w:t>y</w:t>
      </w:r>
      <w:r w:rsidR="00FA5216">
        <w:t xml:space="preserve"> poplatnictví</w:t>
      </w:r>
      <w:r w:rsidR="00CD316E">
        <w:t xml:space="preserve"> dle zákona o </w:t>
      </w:r>
      <w:r w:rsidR="00F91713">
        <w:t xml:space="preserve">dani z </w:t>
      </w:r>
      <w:r w:rsidR="00CD316E">
        <w:t>hazardních h</w:t>
      </w:r>
      <w:r w:rsidR="00F91713">
        <w:t>er</w:t>
      </w:r>
      <w:r w:rsidR="00FA5216">
        <w:t>, musí</w:t>
      </w:r>
      <w:r w:rsidR="00425276">
        <w:t xml:space="preserve"> provozovat hazardn</w:t>
      </w:r>
      <w:r w:rsidR="00FA5216">
        <w:t>í hru,</w:t>
      </w:r>
      <w:r w:rsidR="00E32393">
        <w:t xml:space="preserve"> která naplňuje definici hazardní hry a zároveň, jejíž</w:t>
      </w:r>
      <w:r w:rsidR="00FA5216">
        <w:t xml:space="preserve"> charakteristické znaky budou shodné s některou z taxativně vymezených her. Z právě uvedeného by se dalo vyvodit, že</w:t>
      </w:r>
      <w:r w:rsidR="00CD316E">
        <w:t xml:space="preserve"> provozovatelé těchto hazardních her nebudou zatíženi daní</w:t>
      </w:r>
      <w:r w:rsidR="00676152">
        <w:t xml:space="preserve">. </w:t>
      </w:r>
      <w:r w:rsidR="007C23DA">
        <w:t xml:space="preserve">S ohledem na to, že hazardní hry jsou značně dynamicky </w:t>
      </w:r>
      <w:r w:rsidR="00926323">
        <w:t>rozví</w:t>
      </w:r>
      <w:r w:rsidR="007C23DA">
        <w:t>jející oblastí díky inovativním řešením</w:t>
      </w:r>
      <w:r w:rsidR="00BB3C4F">
        <w:t xml:space="preserve"> ekonomických subjektů, které</w:t>
      </w:r>
      <w:r w:rsidR="00926323">
        <w:t xml:space="preserve"> se snaží zaujmout co nejširší spektrum hráčů a maximalizovat své zisky v nejvyšší možné míře, je více než očekávatelné, že se na herním trhu objeví </w:t>
      </w:r>
      <w:r w:rsidR="00BC16D0">
        <w:t>právě takové hry, které i přes naplnění všech znaků hazardní hry nebudou subsumovatelné ani pod jeden z</w:t>
      </w:r>
      <w:r w:rsidR="00275708">
        <w:t xml:space="preserve"> explicitně upravených </w:t>
      </w:r>
      <w:r w:rsidR="00BC16D0">
        <w:t xml:space="preserve">druhů hazardních her. A to zejména z důvodu, že za použití restriktivního jazykového výkladu současné právní úpravy zdanění hazardních her, </w:t>
      </w:r>
      <w:r w:rsidR="00FE6477">
        <w:t xml:space="preserve">nebude možné takového provozovatele zatížit daní z hazardních her. </w:t>
      </w:r>
      <w:r w:rsidR="00A538C1">
        <w:t xml:space="preserve">Takto zvolená legislativní koncepce, by dle mého názoru, mohla evokovat ekonomické subjekty k iniciativě k vytváření takových her. </w:t>
      </w:r>
      <w:r w:rsidR="00425276">
        <w:t xml:space="preserve">Jako příklad takových her bych uvedla loot boxy, u kterých je jejich </w:t>
      </w:r>
      <w:r w:rsidR="006F0DB8">
        <w:t xml:space="preserve">právní </w:t>
      </w:r>
      <w:r w:rsidR="00425276">
        <w:t xml:space="preserve">klasifikace jako hazardní hry </w:t>
      </w:r>
      <w:r w:rsidR="006F0DB8">
        <w:t xml:space="preserve">ve smyslu zákona o hazardních hrách </w:t>
      </w:r>
      <w:r w:rsidR="00425276">
        <w:t>sporná, a to nejen v České republice</w:t>
      </w:r>
      <w:r w:rsidR="006F0DB8">
        <w:t xml:space="preserve">, i přestože mají stejný účel a </w:t>
      </w:r>
      <w:r w:rsidR="006F0DB8">
        <w:lastRenderedPageBreak/>
        <w:t>dopad na společnost jako zákonem vymezené hazardní hry.</w:t>
      </w:r>
      <w:r w:rsidR="006F0DB8">
        <w:rPr>
          <w:rStyle w:val="Znakapoznpodarou"/>
        </w:rPr>
        <w:footnoteReference w:id="84"/>
      </w:r>
      <w:r w:rsidR="006F0DB8">
        <w:t xml:space="preserve"> </w:t>
      </w:r>
      <w:r w:rsidR="00712F18">
        <w:t>Z právě uvedeného se mi taxativní výčet druhů hazardních her ve vztahu ke zdanění jeví jako příliš kazuistický. Pokud hra naplňuje znaky obecné definice hazardní hry, plní stejný účel a má totožný negativní dopad na společnost, mělo by dojít k jejímu zdanění. Vždyť stěžejním impulzem k přijetí nové právní úpravy byla zastaralost loterního předpisu, který nebyl schopen adekvátně reagovat na rozvoj v herním průmyslu.</w:t>
      </w:r>
    </w:p>
    <w:p w14:paraId="6CC8FFFA" w14:textId="228F87DD" w:rsidR="00B4078A" w:rsidRDefault="00B4078A" w:rsidP="00B4078A">
      <w:pPr>
        <w:pStyle w:val="Dalodstavce"/>
      </w:pPr>
      <w:r w:rsidRPr="00976A97">
        <w:t>Pro úplnost dodávám, že i svěřenské fondy mohou být poplatníkem daně z hazardních her. Svěřenský fond, jakožto non subjekt sice právní osobnost postrádá, nicméně i přesto je oprávněn účastnit se hospodářských činností. V minulosti byl problém s nelegálním provozováním hazardních her uskutečňovaný právě svěřenskými fondy. Výhodou fondu byla zejména skutečnost, že nemusela být vedena žádná veřejná evidence o zakladatelích,</w:t>
      </w:r>
      <w:r w:rsidR="004E79B1" w:rsidRPr="00976A97">
        <w:rPr>
          <w:rStyle w:val="Znakapoznpodarou"/>
          <w:rFonts w:ascii="Times New Roman" w:hAnsi="Times New Roman"/>
        </w:rPr>
        <w:footnoteReference w:id="85"/>
      </w:r>
      <w:r w:rsidRPr="00976A97">
        <w:t xml:space="preserve"> což správci daně velmi komplikovalo činnost a docházelo tím k rozsáhlým daňovým únikům. S ohledem na zavedení povinnosti zápisu fondů do evidence svěřenských fondů</w:t>
      </w:r>
      <w:r w:rsidR="00C14044" w:rsidRPr="00976A97">
        <w:rPr>
          <w:rStyle w:val="Znakapoznpodarou"/>
          <w:rFonts w:ascii="Times New Roman" w:hAnsi="Times New Roman"/>
        </w:rPr>
        <w:footnoteReference w:id="86"/>
      </w:r>
      <w:r w:rsidRPr="00976A97">
        <w:t xml:space="preserve"> by tyhle komplikace při správě daně neměly již vznikat.</w:t>
      </w:r>
    </w:p>
    <w:p w14:paraId="76110916" w14:textId="77777777" w:rsidR="00B4078A" w:rsidRPr="00976A97" w:rsidRDefault="00B4078A" w:rsidP="00B4078A">
      <w:pPr>
        <w:pStyle w:val="Nadpis2"/>
      </w:pPr>
      <w:bookmarkStart w:id="27" w:name="_Toc44451449"/>
      <w:r>
        <w:t>Předmět daně</w:t>
      </w:r>
      <w:r w:rsidR="00D968B2">
        <w:t xml:space="preserve"> z hazardních her</w:t>
      </w:r>
      <w:bookmarkEnd w:id="27"/>
    </w:p>
    <w:p w14:paraId="06968728" w14:textId="77777777" w:rsidR="00B4078A" w:rsidRPr="00976A97" w:rsidRDefault="00B4078A" w:rsidP="00B4078A">
      <w:pPr>
        <w:pStyle w:val="Odstavec1"/>
      </w:pPr>
      <w:r w:rsidRPr="00976A97">
        <w:t>Dalším obligatorním daňovým prvkem je předmět daně z hazardních her, někdy též označován jako objekt daně. Daňovým objektem je určitá hmotněprávní skutečnost, na jejímž základě je možné subjektu daně uložit daňovou povinnost,</w:t>
      </w:r>
      <w:r w:rsidRPr="00976A97">
        <w:rPr>
          <w:rStyle w:val="Znakapoznpodarou"/>
          <w:rFonts w:ascii="Times New Roman" w:hAnsi="Times New Roman"/>
        </w:rPr>
        <w:footnoteReference w:id="87"/>
      </w:r>
      <w:r w:rsidRPr="00976A97">
        <w:t xml:space="preserve"> zjednodušeně řečeno předmět daně nám stanovuje, co se zdaňuje. Může se jednat jak o příjem, činnost nebo věc.</w:t>
      </w:r>
    </w:p>
    <w:p w14:paraId="57CBCE3D" w14:textId="77777777" w:rsidR="00B4078A" w:rsidRDefault="00B4078A" w:rsidP="00B4078A">
      <w:pPr>
        <w:pStyle w:val="Dalodstavce"/>
      </w:pPr>
      <w:r w:rsidRPr="00976A97">
        <w:t xml:space="preserve">V případě daně z hazardních her je takovou právní skutečností provozování hazardní hry. Tento pojem sice není vymezen zákonem o dani z hazardních her, ale jak jsem již zmínila výše, zákon o dani z hazardních her a zákon o hazardních hrách spolu tvoří jeden celek, proto je nutné, aby byly tyto zákony vykládány v úzké návaznosti. Provozování hazardní </w:t>
      </w:r>
      <w:r w:rsidRPr="00976A97">
        <w:lastRenderedPageBreak/>
        <w:t>hry je i pro účely zdanění vymezeno zákonem o hazardních hrách a rozumí se tím</w:t>
      </w:r>
      <w:r w:rsidRPr="00976A97">
        <w:rPr>
          <w:i/>
        </w:rPr>
        <w:t xml:space="preserve"> „vykonávání činností spočívajících v uskutečňování hazardní hry se záměrem dosažení zisku, zejména příjem sázek a vkladů do hazardní hry, výplata výhry, další činnosti organizačního, finančního a technického charakteru související s uvedením hazardní hry do provozu a se zajištěním vlastního provozu, jakož i činnosti potřebné pro ukončení a vypořádání hazardní hry“</w:t>
      </w:r>
      <w:r w:rsidRPr="00976A97">
        <w:t>.</w:t>
      </w:r>
      <w:r w:rsidRPr="00976A97">
        <w:rPr>
          <w:rStyle w:val="Znakapoznpodarou"/>
          <w:rFonts w:ascii="Times New Roman" w:hAnsi="Times New Roman"/>
        </w:rPr>
        <w:footnoteReference w:id="88"/>
      </w:r>
      <w:r w:rsidRPr="00976A97">
        <w:t xml:space="preserve"> Zákon o dani z hazardních her upravuje vedle obecného předmětu daně,</w:t>
      </w:r>
      <w:r w:rsidRPr="00976A97">
        <w:rPr>
          <w:rStyle w:val="Znakapoznpodarou"/>
          <w:rFonts w:ascii="Times New Roman" w:hAnsi="Times New Roman"/>
        </w:rPr>
        <w:footnoteReference w:id="89"/>
      </w:r>
      <w:r w:rsidRPr="00976A97">
        <w:t xml:space="preserve"> který vymezuje základní pravidla určení předmětu daně, také dva speciální předměty daně, u kterých došlo k modifikaci některých z těchto základních pravidel. Jedná se o speciální předmět pro internetové hry typu „</w:t>
      </w:r>
      <w:r w:rsidRPr="00976A97">
        <w:rPr>
          <w:i/>
          <w:iCs/>
        </w:rPr>
        <w:t>hráč proti hráči</w:t>
      </w:r>
      <w:r w:rsidRPr="00976A97">
        <w:t>“</w:t>
      </w:r>
      <w:r w:rsidRPr="00976A97">
        <w:rPr>
          <w:rStyle w:val="Znakapoznpodarou"/>
          <w:rFonts w:ascii="Times New Roman" w:hAnsi="Times New Roman"/>
        </w:rPr>
        <w:footnoteReference w:id="90"/>
      </w:r>
      <w:r w:rsidRPr="00976A97">
        <w:t xml:space="preserve"> a speciální předmět daně pro sdílené loterie.</w:t>
      </w:r>
      <w:r w:rsidRPr="00976A97">
        <w:rPr>
          <w:rStyle w:val="Znakapoznpodarou"/>
          <w:rFonts w:ascii="Times New Roman" w:hAnsi="Times New Roman"/>
        </w:rPr>
        <w:footnoteReference w:id="91"/>
      </w:r>
    </w:p>
    <w:p w14:paraId="40B3E9A7" w14:textId="77777777" w:rsidR="00DC454B" w:rsidRPr="00976A97" w:rsidRDefault="00DC454B" w:rsidP="00DC454B">
      <w:pPr>
        <w:pStyle w:val="Nadpis3"/>
      </w:pPr>
      <w:r>
        <w:t>Obecný předmět daně z hazardních her</w:t>
      </w:r>
    </w:p>
    <w:p w14:paraId="5117904C" w14:textId="2C9A683A" w:rsidR="00DC454B" w:rsidRPr="00976A97" w:rsidRDefault="00DC454B" w:rsidP="00DC454B">
      <w:pPr>
        <w:pStyle w:val="Odstavec1"/>
        <w:rPr>
          <w:bCs/>
        </w:rPr>
      </w:pPr>
      <w:r w:rsidRPr="00976A97">
        <w:t xml:space="preserve">Aby došlo k naplnění obecného předmětu daně, musí být kumulativně splněno několik podmínek. V první řadě provozování hazardní hry musí spadat pod místní a osobní působnost zákona o dani z hazardních her. V tomto se současná právní úprava značně liší od loterního zákona, který vymezení osobní a místní působnosti postrádal. Loterní zákon předmět </w:t>
      </w:r>
      <w:r w:rsidR="00182E3A">
        <w:t>odvodu</w:t>
      </w:r>
      <w:r w:rsidRPr="00976A97">
        <w:t xml:space="preserve"> vyjadřoval vcelku triviálně. Předmětem odvodu bylo „</w:t>
      </w:r>
      <w:r w:rsidRPr="00976A97">
        <w:rPr>
          <w:i/>
          <w:iCs/>
        </w:rPr>
        <w:t>provozování loterie nebo jiné podobné hry.“</w:t>
      </w:r>
      <w:r w:rsidRPr="00976A97">
        <w:rPr>
          <w:rStyle w:val="Znakapoznpodarou"/>
          <w:rFonts w:ascii="Times New Roman" w:hAnsi="Times New Roman"/>
        </w:rPr>
        <w:footnoteReference w:id="92"/>
      </w:r>
      <w:r w:rsidRPr="00976A97">
        <w:t xml:space="preserve"> Toto ustanovení v praxi způsobovalo mnohé problémy, a to zejména s ohledem na čím dál rozšířenější využívání internetu jako platformy pro provozování hazardních her.</w:t>
      </w:r>
      <w:r w:rsidRPr="00976A97">
        <w:rPr>
          <w:rStyle w:val="Znakapoznpodarou"/>
          <w:rFonts w:ascii="Times New Roman" w:hAnsi="Times New Roman"/>
        </w:rPr>
        <w:footnoteReference w:id="93"/>
      </w:r>
      <w:r w:rsidRPr="00976A97">
        <w:t xml:space="preserve"> Poslední podmínkou, která musí být podle zákona o dani z hazardních her naplněna, je, že </w:t>
      </w:r>
      <w:r w:rsidRPr="00976A97">
        <w:rPr>
          <w:bCs/>
        </w:rPr>
        <w:t>se musí jednat o hru, která vyžaduje k provozování ohlášení nebo povolení.</w:t>
      </w:r>
    </w:p>
    <w:p w14:paraId="10078B47" w14:textId="77777777" w:rsidR="00DC454B" w:rsidRPr="00976A97" w:rsidRDefault="00DC454B" w:rsidP="00DC454B">
      <w:pPr>
        <w:pStyle w:val="Dalodstavce"/>
      </w:pPr>
      <w:r w:rsidRPr="00976A97">
        <w:t>Jak jsem již uvedla výše, k naplnění předmětu daně nemůže dojít bez splnění místní působnosti zákona o dani z hazardních her. Což znamená, že k provozování hazardní hry musí dojít výlučně jen na území České republiky. Zákon se vztahuje jak na provozování hazardních her prostřednictvím internetu, tak i na provozování hazardních her ve formě „</w:t>
      </w:r>
      <w:r w:rsidRPr="00976A97">
        <w:rPr>
          <w:i/>
          <w:iCs/>
        </w:rPr>
        <w:t>land-based</w:t>
      </w:r>
      <w:r w:rsidRPr="00976A97">
        <w:t>“, tedy že k provozování hazardní hry dochází v kamenné provozovně. V případě hazardních her provozovaných v režimu „</w:t>
      </w:r>
      <w:r w:rsidRPr="00976A97">
        <w:rPr>
          <w:i/>
          <w:iCs/>
        </w:rPr>
        <w:t>land-based</w:t>
      </w:r>
      <w:r w:rsidRPr="00976A97">
        <w:t xml:space="preserve">“ </w:t>
      </w:r>
      <w:r w:rsidRPr="00976A97">
        <w:lastRenderedPageBreak/>
        <w:t>se plně projeví princip teritoriality zdanění. Tento princip zdanění spočívá v tom, že daný stát zdaňuje jen ty příjmy, které plynou ze zdrojů nacházející se pouze na území daného státu.</w:t>
      </w:r>
      <w:r w:rsidRPr="00976A97">
        <w:rPr>
          <w:rStyle w:val="Znakapoznpodarou"/>
          <w:rFonts w:ascii="Times New Roman" w:hAnsi="Times New Roman"/>
        </w:rPr>
        <w:footnoteReference w:id="94"/>
      </w:r>
      <w:r w:rsidRPr="00976A97">
        <w:t xml:space="preserve"> Předmětem zdanění bude provozování hazardní hry ve formě „</w:t>
      </w:r>
      <w:r w:rsidRPr="00976A97">
        <w:rPr>
          <w:i/>
          <w:iCs/>
        </w:rPr>
        <w:t>land-based</w:t>
      </w:r>
      <w:r w:rsidRPr="00976A97">
        <w:t>“ za předpokladu, že se tato provozovna bude nacházet v prostoru, který je vymezen hranicemi České republiky. V případě her provozovaných prostřednictvím internetu bude mnohem komplikovanější posoudit, zdali se jedná o provozování na území České republiky, jelikož internet ze své podstaty žádné hranice nemá, a proto zde bude princip teritoriality užit v jeho modifikované podobě. V zákoně o hazardních hrách je obsažena právní fikce, dle které bude hazardní hra provozovaná prostřednictvím internetu považována za provozovanou na území České republiky, pokud se i jen z části zaměřuje na osoby, jež mají bydliště v ČR nebo pokud na tyto osoby cílí.</w:t>
      </w:r>
      <w:r w:rsidRPr="00976A97">
        <w:rPr>
          <w:rStyle w:val="Znakapoznpodarou"/>
          <w:rFonts w:ascii="Times New Roman" w:hAnsi="Times New Roman"/>
        </w:rPr>
        <w:footnoteReference w:id="95"/>
      </w:r>
      <w:r w:rsidRPr="00976A97">
        <w:t xml:space="preserve"> Hlavním kritériem posouzení je tedy bydliště osob. Avšak ani zákon o hazardních hrách, ani zákon o dani z hazardních her bydliště blíže nedefinuje a je nutné použít úpravu v zákoně č. 89/2012 Sb., občanský zákoník, ve znění pozdějších předpisů</w:t>
      </w:r>
      <w:r>
        <w:t xml:space="preserve">. </w:t>
      </w:r>
      <w:r w:rsidRPr="00976A97">
        <w:t>Bydlištěm se rozumí místo, kde se člověk zdržuje s úmyslem žít tam s výhradou změny okolností trvale.</w:t>
      </w:r>
      <w:r w:rsidRPr="00976A97">
        <w:rPr>
          <w:rStyle w:val="Znakapoznpodarou"/>
          <w:rFonts w:ascii="Times New Roman" w:hAnsi="Times New Roman"/>
        </w:rPr>
        <w:footnoteReference w:id="96"/>
      </w:r>
      <w:r w:rsidRPr="00976A97">
        <w:t xml:space="preserve"> Bydliště nelze zaměňovat s trvalým pobytem ani se státním občanstvím.  Místo, kde člověk setrvává dočasně, jako je třeba pobyt v hotelu na pracovní cestě, nelze také považovat za bydliště, jelikož zde absentuje úmysl trvalého žití.  Zákon o dani z hazardních her se také dále nezabývá tím, co konkrétně myslí zaměřením nebo cílením na osoby s bydlištěm na území České republiky. Definice zmíněných neurčitých pojmů bude spíše předmětem doktríny a judikatury. Dle důvodové zprávy</w:t>
      </w:r>
      <w:r w:rsidRPr="00976A97">
        <w:rPr>
          <w:rStyle w:val="Znakapoznpodarou"/>
          <w:rFonts w:ascii="Times New Roman" w:hAnsi="Times New Roman"/>
        </w:rPr>
        <w:footnoteReference w:id="97"/>
      </w:r>
      <w:r w:rsidRPr="00976A97">
        <w:t xml:space="preserve"> by se také dalo využít úvah uvedených v rozhodnutích C-585/08 a C-144/09 S</w:t>
      </w:r>
      <w:r w:rsidR="00E2724D">
        <w:t xml:space="preserve">oudního </w:t>
      </w:r>
      <w:r w:rsidR="009C7EB9">
        <w:t>d</w:t>
      </w:r>
      <w:r w:rsidR="00E2724D">
        <w:t>voru</w:t>
      </w:r>
      <w:r>
        <w:t xml:space="preserve"> </w:t>
      </w:r>
      <w:r w:rsidRPr="00976A97">
        <w:t>EU. V obou případech se S</w:t>
      </w:r>
      <w:r w:rsidR="00E2724D">
        <w:t xml:space="preserve">oudní </w:t>
      </w:r>
      <w:r w:rsidR="009C7EB9">
        <w:t>d</w:t>
      </w:r>
      <w:r w:rsidR="00E2724D">
        <w:t>vůr</w:t>
      </w:r>
      <w:r w:rsidRPr="00976A97">
        <w:t xml:space="preserve"> EU zabýval tím, jestli činnost uvedená na internetových stránkách podnikatele, může být považována za činnost zaměřující se na členský stát, ve kterém má spotřebitel bydliště. Pouhá skutečnost, že je internetová stránka dostupná v dané zemi, nemůže být relevantním kritériem k posouzení. Naopak evidentním indikačním kritériem může být v daném případě výslovné prohlášení podnikatele, že poskytuje určité služby na území členského státu. Ne úplně </w:t>
      </w:r>
      <w:r w:rsidRPr="00976A97">
        <w:lastRenderedPageBreak/>
        <w:t>zjevnými indiciemi pak může být například uvedení mezinárodní povahy činnosti podnikatele, užití domény členského státu, uvedení telefonního čísla s mezinárodní předvolbou a další.</w:t>
      </w:r>
      <w:r w:rsidRPr="00976A97">
        <w:rPr>
          <w:rStyle w:val="Znakapoznpodarou"/>
          <w:rFonts w:ascii="Times New Roman" w:hAnsi="Times New Roman"/>
        </w:rPr>
        <w:footnoteReference w:id="98"/>
      </w:r>
      <w:r w:rsidRPr="00976A97">
        <w:t xml:space="preserve"> O orientaci na český trh by se také dalo hovořit v případech, kdy by stránka byla kupříkladu v českém jazyce nebo pokud by byly výhry uvedeny v české měně,</w:t>
      </w:r>
      <w:r w:rsidRPr="00976A97">
        <w:rPr>
          <w:rStyle w:val="Znakapoznpodarou"/>
          <w:rFonts w:ascii="Times New Roman" w:hAnsi="Times New Roman"/>
        </w:rPr>
        <w:footnoteReference w:id="99"/>
      </w:r>
      <w:r w:rsidRPr="00976A97">
        <w:t xml:space="preserve"> neboť tato měna i jazyk jsou nesporně unikátní pro Českou republiku.</w:t>
      </w:r>
    </w:p>
    <w:p w14:paraId="0C76EA34" w14:textId="77777777" w:rsidR="00DC454B" w:rsidRPr="00976A97" w:rsidRDefault="00DC454B" w:rsidP="00DC454B">
      <w:pPr>
        <w:pStyle w:val="Dalodstavce"/>
      </w:pPr>
      <w:r w:rsidRPr="00976A97">
        <w:t>Další podmínkou pro naplnění předmětu daně je, že se musí jednat o provozování hazardní hry, které spadá pod osobní působnost zákona o dani z hazardních her. K naplnění osobní působnosti je nutné, aby hra byla provozována pro účastníka hry. Definice účastníka se liší podle způsobu provozování hazardní hry. Účastníkem hry v režimu „</w:t>
      </w:r>
      <w:r w:rsidRPr="00976A97">
        <w:rPr>
          <w:i/>
          <w:iCs/>
        </w:rPr>
        <w:t>land-based“</w:t>
      </w:r>
      <w:r w:rsidRPr="00976A97">
        <w:t xml:space="preserve"> je každá fyzická osoba, která se registrovala k účasti na hazardní hře nebo za tím účelem zaplatila vklad.</w:t>
      </w:r>
      <w:r w:rsidRPr="00976A97">
        <w:rPr>
          <w:rStyle w:val="Znakapoznpodarou"/>
          <w:rFonts w:ascii="Times New Roman" w:hAnsi="Times New Roman"/>
        </w:rPr>
        <w:footnoteReference w:id="100"/>
      </w:r>
      <w:r w:rsidRPr="00976A97">
        <w:t xml:space="preserve"> V případě her provozovaných prostřednictvím internetu se také za účastníka hry považuje jakákoli fyzická osoba registrovaná k účasti na hazardní hře nebo ta, která zaplatila vklad opravňující ji k účasti na hře. Navíc ale tato osoba musí mít bydliště na území České republiky.</w:t>
      </w:r>
      <w:r w:rsidRPr="00976A97">
        <w:rPr>
          <w:rStyle w:val="Znakapoznpodarou"/>
          <w:rFonts w:ascii="Times New Roman" w:hAnsi="Times New Roman"/>
        </w:rPr>
        <w:footnoteReference w:id="101"/>
      </w:r>
      <w:r w:rsidRPr="00976A97">
        <w:t xml:space="preserve">  Kritérium bydliště má nejvíce reflektovat princip místa spotřeby. Zjednodušeně to znamená, že činnost je zdanitelná ve státě, ve kterém se její příjemce nachází.</w:t>
      </w:r>
      <w:r w:rsidRPr="00976A97">
        <w:rPr>
          <w:rStyle w:val="Znakapoznpodarou"/>
          <w:rFonts w:ascii="Times New Roman" w:hAnsi="Times New Roman"/>
        </w:rPr>
        <w:footnoteReference w:id="102"/>
      </w:r>
      <w:r w:rsidRPr="00976A97">
        <w:t xml:space="preserve"> Princip místa spotřeby se snaží chránit hráče na území státu před nepříznivými dopady neregulovaného hazardu a také představuje způsob vypořádání státu s obsáhlým spektrem nabídek zahraničních nelegálních hazardních her.</w:t>
      </w:r>
      <w:r w:rsidRPr="00976A97">
        <w:rPr>
          <w:rStyle w:val="Znakapoznpodarou"/>
          <w:rFonts w:ascii="Times New Roman" w:hAnsi="Times New Roman"/>
        </w:rPr>
        <w:footnoteReference w:id="103"/>
      </w:r>
      <w:r w:rsidRPr="00976A97">
        <w:t xml:space="preserve"> Nicméně s ohledem na to, že právní úprava zdanění hazardních her se v jednotlivých státech EU liší, mohlo by v důsledku užití principu místa spotřeby dojít ke kolizi se zahraniční úpravou, která by mohla zapříčinit dvojí zdanění, tedy že provozovatel bude podléhat dani z hazardních her v České republice, tak i obdobnému peněžitému plnění v zahraničí.</w:t>
      </w:r>
      <w:r w:rsidRPr="00976A97">
        <w:rPr>
          <w:rStyle w:val="Znakapoznpodarou"/>
          <w:rFonts w:ascii="Times New Roman" w:hAnsi="Times New Roman"/>
        </w:rPr>
        <w:footnoteReference w:id="104"/>
      </w:r>
      <w:r w:rsidRPr="00976A97">
        <w:t xml:space="preserve"> Dále platí vyvratitelná právní domněnka, která stanoví, že každá </w:t>
      </w:r>
      <w:r w:rsidRPr="00976A97">
        <w:lastRenderedPageBreak/>
        <w:t>fyzická osoba, která hraje internetovou hazardní hru na území České republiky, má bydliště na území České republiky.</w:t>
      </w:r>
      <w:r w:rsidRPr="00976A97">
        <w:rPr>
          <w:rStyle w:val="Znakapoznpodarou"/>
          <w:rFonts w:ascii="Times New Roman" w:hAnsi="Times New Roman"/>
        </w:rPr>
        <w:footnoteReference w:id="105"/>
      </w:r>
      <w:r w:rsidRPr="00976A97">
        <w:t xml:space="preserve"> Bude pak na provozovateli hazardních her, který se orientuje na český trh, aby prokázal, že některý z účastníků hazardní hry, má bydliště na jiném území.</w:t>
      </w:r>
    </w:p>
    <w:p w14:paraId="49038456" w14:textId="77777777" w:rsidR="00DC454B" w:rsidRPr="00976A97" w:rsidRDefault="00DC454B" w:rsidP="00DC454B">
      <w:pPr>
        <w:pStyle w:val="Dalodstavce"/>
      </w:pPr>
      <w:r w:rsidRPr="00976A97">
        <w:t>Poslední nezbytnou podmínkou pro naplnění předmětu daně je, že se jedná o provozování hazardní hry, ke které je nutné buď základní povolení, případně musí být řádně ohlášena. Držba základního povolení, což lze chápat jako oprávnění k samotnému provozu určitých druhů hazardních her, je potřeba k provozování loterií, kursových sázek, totalizátorových her, binga, technických her a také k živým hrám.</w:t>
      </w:r>
      <w:r w:rsidRPr="00976A97">
        <w:rPr>
          <w:rStyle w:val="Znakapoznpodarou"/>
          <w:rFonts w:ascii="Times New Roman" w:hAnsi="Times New Roman"/>
        </w:rPr>
        <w:footnoteReference w:id="106"/>
      </w:r>
      <w:r w:rsidRPr="00976A97">
        <w:t xml:space="preserve"> Určité druhy hazardních her budou vedle základního povolení potřebovat i povolení k umístění herního prostoru.</w:t>
      </w:r>
      <w:r w:rsidRPr="00976A97">
        <w:rPr>
          <w:rStyle w:val="Znakapoznpodarou"/>
          <w:rFonts w:ascii="Times New Roman" w:hAnsi="Times New Roman"/>
        </w:rPr>
        <w:footnoteReference w:id="107"/>
      </w:r>
      <w:r w:rsidRPr="00976A97">
        <w:t xml:space="preserve"> Toto povolení však nemá vliv na předmět daně. Stejně jako u subjektu daně je lhostejné, jestli dochází k provozování hazardní hry legálně. Aby byla činnost podřazena pod předmět daně, je důležité jen, jestli je pro tuto činnost vyžadováno základní povolení, protože předmětem daně v nové právní úpravě je na rozdíl od loterního zákona, jak legální provozování povolovaných her, tak i nelegální. Nutnost ohlášení je v zákoně o hazardních hrách zmiňována jen u dvou druhů hazardních her. A to u turnajů malého rozsahu a dále pak u tomboly, jejíž výše herní jistiny přesahuje 100 000 Kč.</w:t>
      </w:r>
      <w:r w:rsidRPr="00976A97">
        <w:rPr>
          <w:rStyle w:val="Znakapoznpodarou"/>
          <w:rFonts w:ascii="Times New Roman" w:hAnsi="Times New Roman"/>
        </w:rPr>
        <w:footnoteReference w:id="108"/>
      </w:r>
      <w:r w:rsidRPr="00976A97">
        <w:t xml:space="preserve"> Absence základního povolení u takových her reflektuje jejich nižší škodlivost pro společnost. I přes jejich relativně menší škodlivost je zákon o dani z hazardních her staví na roveň většiny povolovaných her a nejsou pro ně stanoveny speciální shovívavější podmínky. Hazardní hry, které nepodléhají povolení ani ohlášení, jako třeba tombola, u které herní jistina nepřesahuje 100 000 Kč, nejsou předmětem daně. Loterní zákon stanovil pro všechny tomboly s jakoukoli herní jistinou stejné podmínky. Ačkoliv tyto tomboly nepředstavují pro společnost žádné riziko, jelikož se zejména jedná o tomboly, které jsou především pořádány školami, charitami a dalšími neziskovými subjekty, spadaly dle loterního zákona pod předmět daně.</w:t>
      </w:r>
      <w:r w:rsidRPr="00976A97">
        <w:rPr>
          <w:rStyle w:val="Znakapoznpodarou"/>
          <w:rFonts w:ascii="Times New Roman" w:hAnsi="Times New Roman"/>
        </w:rPr>
        <w:footnoteReference w:id="109"/>
      </w:r>
    </w:p>
    <w:p w14:paraId="26F8C0F8" w14:textId="77777777" w:rsidR="00DC454B" w:rsidRDefault="00DC454B" w:rsidP="00DC454B">
      <w:pPr>
        <w:pStyle w:val="Dalodstavce"/>
      </w:pPr>
      <w:r w:rsidRPr="00976A97">
        <w:t>Vzhledem k dynamickému vývoji v oblasti hazardních her nelze a</w:t>
      </w:r>
      <w:r w:rsidR="009F70DC">
        <w:t xml:space="preserve"> </w:t>
      </w:r>
      <w:r w:rsidRPr="00976A97">
        <w:t xml:space="preserve">priori vyloučit, že by se v budoucnu neobjevila taková hra, která by sice naplňovala definici hazardní hry, zároveň by však nebylo možné takovou hazardní hru podřadit ani pod jeden druh taxativně vymezených druhů </w:t>
      </w:r>
      <w:r w:rsidRPr="00976A97">
        <w:lastRenderedPageBreak/>
        <w:t>her. Zákon o hazardních hrách zjevně nevylučuje existenci takové hry, neboť jejich provozování explicitně zakazuje.</w:t>
      </w:r>
      <w:r w:rsidRPr="00976A97">
        <w:rPr>
          <w:rStyle w:val="Znakapoznpodarou"/>
          <w:rFonts w:ascii="Times New Roman" w:hAnsi="Times New Roman"/>
        </w:rPr>
        <w:footnoteReference w:id="110"/>
      </w:r>
      <w:r w:rsidRPr="00976A97">
        <w:t xml:space="preserve"> Jak bylo uvedeno výše</w:t>
      </w:r>
      <w:r w:rsidR="00BB3C4F">
        <w:t>,</w:t>
      </w:r>
      <w:r w:rsidRPr="00976A97">
        <w:t xml:space="preserve"> zákon o dani z hazardních her nerozlišuje mezi legálním a nelegálním provozováním hazardní hry. Vyvstává tedy otázka, jestli provozování takové hry bude naplňovat předmět daně. Jednou z podmínek, která musí být splněna, abychom ji mohli považovat za předmět daně je, jestli se bude jednat o hru, ke které je vyžadováno ohl</w:t>
      </w:r>
      <w:r>
        <w:t>á</w:t>
      </w:r>
      <w:r w:rsidRPr="00976A97">
        <w:t>š</w:t>
      </w:r>
      <w:r>
        <w:t>e</w:t>
      </w:r>
      <w:r w:rsidRPr="00976A97">
        <w:t>ní</w:t>
      </w:r>
      <w:r w:rsidRPr="00976A97">
        <w:rPr>
          <w:rStyle w:val="Znakapoznpodarou"/>
          <w:rFonts w:ascii="Times New Roman" w:hAnsi="Times New Roman"/>
        </w:rPr>
        <w:footnoteReference w:id="111"/>
      </w:r>
      <w:r w:rsidRPr="00976A97">
        <w:t xml:space="preserve"> nebo povolení.</w:t>
      </w:r>
      <w:r w:rsidRPr="00976A97">
        <w:rPr>
          <w:rStyle w:val="Znakapoznpodarou"/>
          <w:rFonts w:ascii="Times New Roman" w:hAnsi="Times New Roman"/>
        </w:rPr>
        <w:footnoteReference w:id="112"/>
      </w:r>
      <w:r w:rsidRPr="00976A97">
        <w:t xml:space="preserve"> Za použití jazykového a systematického výkladu je jasné, že neupravený druh hazardní hry nepodléhá ohlašovací ani povolovací povinnosti, tudíž nemůže dojít k jejímu zdanění.</w:t>
      </w:r>
      <w:r w:rsidRPr="00976A97">
        <w:rPr>
          <w:rStyle w:val="Znakapoznpodarou"/>
          <w:rFonts w:ascii="Times New Roman" w:hAnsi="Times New Roman"/>
        </w:rPr>
        <w:footnoteReference w:id="113"/>
      </w:r>
    </w:p>
    <w:p w14:paraId="300FA8E3" w14:textId="77777777" w:rsidR="00DC454B" w:rsidRDefault="00DC454B" w:rsidP="00DC454B">
      <w:pPr>
        <w:pStyle w:val="Nadpis3"/>
      </w:pPr>
      <w:r>
        <w:t>Speciální předmět daně pro sdílené loterie</w:t>
      </w:r>
    </w:p>
    <w:p w14:paraId="63CEC82E" w14:textId="77777777" w:rsidR="00DC454B" w:rsidRPr="00976A97" w:rsidRDefault="00DC454B" w:rsidP="00DC454B">
      <w:pPr>
        <w:pStyle w:val="Odstavec1"/>
      </w:pPr>
      <w:r w:rsidRPr="00976A97">
        <w:t>Na rozdíl od loterního zákona, zákon o hazardních hrách explicitně upravuje i provozování sdílené loterie. Sdílená loterie není jedním z druhů hazardních her, jen se jedná o způsob provozování loterie. Způsob je odlišný v tom, že ji provozuje více provozovatelů v rámci EU, respektive Evropského hospodářského prostoru, přičemž sdílí herní jistinu a dochází ke společnému slosování. Vyplácení výhry a další povinnosti vyplývající ze zákona o hazardních hrách už plní jen provozovatel, který od účastníka hry přijal sázku.</w:t>
      </w:r>
      <w:r w:rsidRPr="00976A97">
        <w:rPr>
          <w:rStyle w:val="Znakapoznpodarou"/>
          <w:rFonts w:ascii="Times New Roman" w:hAnsi="Times New Roman"/>
        </w:rPr>
        <w:footnoteReference w:id="114"/>
      </w:r>
    </w:p>
    <w:p w14:paraId="0EE28400" w14:textId="77777777" w:rsidR="00DC454B" w:rsidRDefault="00DC454B" w:rsidP="00DC454B">
      <w:pPr>
        <w:pStyle w:val="Dalodstavce"/>
      </w:pPr>
      <w:r w:rsidRPr="00976A97">
        <w:t>Není sice vyloučené, že sdílenou loterii budou provozovat výhradně tuzemští provozovatelé, nicméně je očekávatelné, že v mnoha případech se v okruhu provozovatelů objeví i zahraniční subjekty. Vzhledem k mezinárodní povaze a specifikům sdílené loterie provozované prostřednictvím internetu dochází k mísení vkladů a výher, přičemž na základě obecně vymezeného předmětu daně by nemuselo být zřejmé, které platby mají vstupovat do základu daně.</w:t>
      </w:r>
      <w:r w:rsidRPr="00976A97">
        <w:rPr>
          <w:rStyle w:val="Znakapoznpodarou"/>
          <w:rFonts w:ascii="Times New Roman" w:hAnsi="Times New Roman"/>
        </w:rPr>
        <w:footnoteReference w:id="115"/>
      </w:r>
      <w:r w:rsidRPr="00976A97">
        <w:t xml:space="preserve"> Proto zákon o dani z hazardních her zakotvuje právní fikci, dle které se za „</w:t>
      </w:r>
      <w:r w:rsidRPr="00976A97">
        <w:rPr>
          <w:i/>
          <w:iCs/>
        </w:rPr>
        <w:t>provozování hazardní hry na území České republiky pro účastníka hazardní hry považuje rovněž přijímání vkladů ze sdílené herní jistiny a poskytování výher do sdílené herní jistiny</w:t>
      </w:r>
      <w:r w:rsidRPr="00976A97">
        <w:t>.“</w:t>
      </w:r>
      <w:r w:rsidRPr="00976A97">
        <w:rPr>
          <w:rStyle w:val="Znakapoznpodarou"/>
          <w:rFonts w:ascii="Times New Roman" w:hAnsi="Times New Roman"/>
        </w:rPr>
        <w:footnoteReference w:id="116"/>
      </w:r>
    </w:p>
    <w:p w14:paraId="22EEAE12" w14:textId="77777777" w:rsidR="00DC454B" w:rsidRDefault="00DC454B" w:rsidP="00DC454B">
      <w:pPr>
        <w:pStyle w:val="Nadpis3"/>
      </w:pPr>
      <w:r>
        <w:lastRenderedPageBreak/>
        <w:t>Speciální předmět daně pro internetové hry „</w:t>
      </w:r>
      <w:r w:rsidRPr="00200D40">
        <w:rPr>
          <w:i/>
          <w:iCs/>
        </w:rPr>
        <w:t>hráč proti hráči</w:t>
      </w:r>
      <w:r>
        <w:t>“</w:t>
      </w:r>
    </w:p>
    <w:p w14:paraId="3998B99D" w14:textId="77777777" w:rsidR="00DC454B" w:rsidRDefault="00DC454B" w:rsidP="00DC454B">
      <w:pPr>
        <w:pStyle w:val="Odstavec1"/>
      </w:pPr>
      <w:r w:rsidRPr="00976A97">
        <w:t>Pod tento speciální předmět daně spadají hazardní hry provozované prostřednictvím internetu, kdy proti sobě hrají hráči, přičemž jeden z hráčů má bydliště na území České republiky a druhý nikoliv. Typickým příkladem je on-line poker.</w:t>
      </w:r>
      <w:r>
        <w:rPr>
          <w:rStyle w:val="Znakapoznpodarou"/>
          <w:rFonts w:ascii="Times New Roman" w:hAnsi="Times New Roman"/>
        </w:rPr>
        <w:footnoteReference w:id="117"/>
      </w:r>
      <w:r w:rsidRPr="00976A97">
        <w:t xml:space="preserve"> Základem daně z takových her je přitom jen poměrná část provize provozovatele připadající na tuzemského hráče. Abychom byli schopni správně určit základ daně, je nutné, aby do něho vstupovali i vklady od zahraničních hráčů a výhry vyplacené zahraničním hráčům. Proto právní fikcí zákonodárce formálně rozšířil předmět daně i na zahraniční hráče.</w:t>
      </w:r>
      <w:r w:rsidRPr="00976A97">
        <w:rPr>
          <w:rStyle w:val="Znakapoznpodarou"/>
          <w:rFonts w:ascii="Times New Roman" w:hAnsi="Times New Roman"/>
        </w:rPr>
        <w:footnoteReference w:id="118"/>
      </w:r>
      <w:r w:rsidRPr="00976A97">
        <w:t xml:space="preserve"> Ustanovení se však nemůže uplatnit v hazardní hře</w:t>
      </w:r>
      <w:r>
        <w:t>, kterou pořádá provozovatel s českým oprávněním</w:t>
      </w:r>
      <w:r w:rsidRPr="00976A97">
        <w:t>, kde proti sobě hrají pouze zahraniční hráči, vždy v okruhu hráčů musí figurovat alespoň jeden s bydlištěm na území České republiky.</w:t>
      </w:r>
    </w:p>
    <w:p w14:paraId="3315840B" w14:textId="77777777" w:rsidR="00DC454B" w:rsidRDefault="00DC454B" w:rsidP="00DC454B">
      <w:pPr>
        <w:pStyle w:val="Nadpis2"/>
      </w:pPr>
      <w:bookmarkStart w:id="31" w:name="_Toc44451450"/>
      <w:r>
        <w:t>Základ daně</w:t>
      </w:r>
      <w:r w:rsidR="00D968B2">
        <w:t xml:space="preserve"> z hazardních her</w:t>
      </w:r>
      <w:bookmarkEnd w:id="31"/>
    </w:p>
    <w:p w14:paraId="5B7762D3" w14:textId="77777777" w:rsidR="00DC454B" w:rsidRPr="00976A97" w:rsidRDefault="00DC454B" w:rsidP="00DC454B">
      <w:pPr>
        <w:pStyle w:val="Odstavec1"/>
      </w:pPr>
      <w:r w:rsidRPr="00976A97">
        <w:t>Základem daně dochází ke kvantifikaci objektu daně, resp. základ daně nám stanovuje, z čeho se konkrétní daň vypočítá. Buď bývá vyjádřen v penězích, tj. valorický základ daně, nebo v měrných jednotkách, tzv. specifický základ.</w:t>
      </w:r>
      <w:r w:rsidRPr="00976A97">
        <w:rPr>
          <w:rStyle w:val="Znakapoznpodarou"/>
          <w:rFonts w:ascii="Times New Roman" w:hAnsi="Times New Roman"/>
        </w:rPr>
        <w:footnoteReference w:id="119"/>
      </w:r>
      <w:r w:rsidRPr="00976A97">
        <w:t xml:space="preserve"> Základ daně z hazardních her je bezesporu valorický. I přestože v ustanovení upravující základ daně z hazardních her není explicitně uvedeno, že je vyjádřen v penězích, můžeme daný závěr vyvodit z ustanovení o výpočtu dílčí daně, který pojednává o zaokrouhlování na celé stokoruny.</w:t>
      </w:r>
      <w:r w:rsidRPr="00976A97">
        <w:rPr>
          <w:rStyle w:val="Znakapoznpodarou"/>
          <w:rFonts w:ascii="Times New Roman" w:hAnsi="Times New Roman"/>
        </w:rPr>
        <w:footnoteReference w:id="120"/>
      </w:r>
    </w:p>
    <w:p w14:paraId="0E1727C6" w14:textId="41722398" w:rsidR="00DC454B" w:rsidRPr="00976A97" w:rsidRDefault="00DC454B" w:rsidP="00DC454B">
      <w:pPr>
        <w:pStyle w:val="Dalodstavce"/>
        <w:rPr>
          <w:shd w:val="clear" w:color="auto" w:fill="FFFFFF"/>
        </w:rPr>
      </w:pPr>
      <w:r>
        <w:rPr>
          <w:shd w:val="clear" w:color="auto" w:fill="FFFFFF"/>
        </w:rPr>
        <w:t xml:space="preserve">Loterní zákon vymezoval pouze dílčí základy odvodu, nicméně konstrukce těchto dílčích základů byla velmi podobná dílčím základům daně z hazardních her. </w:t>
      </w:r>
      <w:r w:rsidRPr="00976A97">
        <w:rPr>
          <w:shd w:val="clear" w:color="auto" w:fill="FFFFFF"/>
        </w:rPr>
        <w:t>Základ daně z hazardních her je tvořen součtem dílčích základů daně. Zákon o dani z hazardních her upravuje celkem osm dílčích základů daně – z loterií, kursových sázek, totalizátorových her, bing, technických her, živých her, tombol a turnajů malého rozsahu.</w:t>
      </w:r>
      <w:r w:rsidRPr="00976A97">
        <w:rPr>
          <w:rStyle w:val="Znakapoznpodarou"/>
          <w:rFonts w:ascii="Times New Roman" w:hAnsi="Times New Roman"/>
          <w:iCs/>
          <w:shd w:val="clear" w:color="auto" w:fill="FFFFFF"/>
        </w:rPr>
        <w:footnoteReference w:id="121"/>
      </w:r>
      <w:r w:rsidRPr="00976A97">
        <w:rPr>
          <w:shd w:val="clear" w:color="auto" w:fill="FFFFFF"/>
        </w:rPr>
        <w:t xml:space="preserve"> </w:t>
      </w:r>
      <w:r w:rsidR="00AC2F20">
        <w:rPr>
          <w:shd w:val="clear" w:color="auto" w:fill="FFFFFF"/>
        </w:rPr>
        <w:t>V prvotním znění zákona o dani z hazardních her byl v</w:t>
      </w:r>
      <w:r w:rsidRPr="00976A97">
        <w:rPr>
          <w:shd w:val="clear" w:color="auto" w:fill="FFFFFF"/>
        </w:rPr>
        <w:t xml:space="preserve">ýpočet jednotlivých </w:t>
      </w:r>
      <w:r w:rsidRPr="00976A97">
        <w:rPr>
          <w:shd w:val="clear" w:color="auto" w:fill="FFFFFF"/>
        </w:rPr>
        <w:lastRenderedPageBreak/>
        <w:t>dílčích základů daně konstruován tak, že se od úhrnu přijatých a nevrácených vkladů z určité hazardní hry odeč</w:t>
      </w:r>
      <w:r w:rsidR="00AC2F20">
        <w:rPr>
          <w:shd w:val="clear" w:color="auto" w:fill="FFFFFF"/>
        </w:rPr>
        <w:t>etl</w:t>
      </w:r>
      <w:r w:rsidRPr="00976A97">
        <w:rPr>
          <w:shd w:val="clear" w:color="auto" w:fill="FFFFFF"/>
        </w:rPr>
        <w:t xml:space="preserve"> úhrn vyplacených výher z příslušné hazardní hry</w:t>
      </w:r>
      <w:r>
        <w:rPr>
          <w:shd w:val="clear" w:color="auto" w:fill="FFFFFF"/>
        </w:rPr>
        <w:t>, přičemž tato výsledná částka pak tvo</w:t>
      </w:r>
      <w:r w:rsidR="00AC2F20">
        <w:rPr>
          <w:shd w:val="clear" w:color="auto" w:fill="FFFFFF"/>
        </w:rPr>
        <w:t>řila</w:t>
      </w:r>
      <w:r>
        <w:rPr>
          <w:shd w:val="clear" w:color="auto" w:fill="FFFFFF"/>
        </w:rPr>
        <w:t xml:space="preserve"> dílčí základ daně.</w:t>
      </w:r>
    </w:p>
    <w:p w14:paraId="149744C2" w14:textId="7F994299" w:rsidR="00775AA6" w:rsidRDefault="00775AA6" w:rsidP="00DC454B">
      <w:pPr>
        <w:pStyle w:val="Dalodstavce"/>
      </w:pPr>
      <w:r w:rsidRPr="00976A97">
        <w:t>Definici výhry v současné právní úpravě hazardních her nenajdeme. Dle důvodové zprávy je nutné vycházet z obecného významu slova, který nebude v rozporu s definicí hazardní hry. Výhru můžeme chápat jako veškeré plnění, tedy peněžité i nepeněžité, které je poskytnuté účastníkovi hry provozovatelem na základě náhody či neznámé okolnosti, které musí být předem stanoveny v herním plánu.</w:t>
      </w:r>
      <w:r w:rsidRPr="00976A97">
        <w:rPr>
          <w:rStyle w:val="Znakapoznpodarou"/>
          <w:rFonts w:ascii="Times New Roman" w:hAnsi="Times New Roman"/>
        </w:rPr>
        <w:t xml:space="preserve"> </w:t>
      </w:r>
      <w:r w:rsidRPr="00976A97">
        <w:rPr>
          <w:rStyle w:val="Znakapoznpodarou"/>
          <w:rFonts w:ascii="Times New Roman" w:hAnsi="Times New Roman"/>
        </w:rPr>
        <w:footnoteReference w:id="122"/>
      </w:r>
      <w:r w:rsidRPr="00976A97">
        <w:t xml:space="preserve"> Vyplacenou výhrou pak budou plnění, se kterými už může volně nakládat jen výherce. Určení okamžiku, kdy je výhra v dispozici účastníka, u výher vyplácených hotovostně, nebude zjevně činit obtíže. V případě výher vyplácených za pomocí poskytovatele platebních služeb, bude rozhodujícím okamžikem moment, kdy byla výherní částka odepsána z platebního účtu provozovatele.</w:t>
      </w:r>
      <w:r w:rsidRPr="00976A97">
        <w:rPr>
          <w:rStyle w:val="Znakapoznpodarou"/>
          <w:rFonts w:ascii="Times New Roman" w:hAnsi="Times New Roman"/>
        </w:rPr>
        <w:footnoteReference w:id="123"/>
      </w:r>
      <w:r w:rsidRPr="00976A97">
        <w:t xml:space="preserve"> Problém by mohl nastat, kdyby například v důsledku chyby výherce danou částku neobdržel a poplatník ji uvedl v daňovém přiznání, přičemž k následnému vyplacení výhry by došlo až další zdaňovací období. </w:t>
      </w:r>
      <w:r w:rsidR="0085018F">
        <w:t>V</w:t>
      </w:r>
      <w:r w:rsidRPr="00976A97">
        <w:t> těchto případech bude nutné podat dodatečné daňové přiznání, protože bude daň vyšší, než byla tvrzená v řádném daňovém přiznání. Za určitých situací může dojít k částečnému vyplacení výhry v hotovosti v jednom zdaňovacím období a část výhry bude poukázána výherci přes poskytovatele platebních služeb v následujícím zdaňovacím období. Jelikož poplatník není omezen zákonem o dani z hazardních her na přiznání pouze celé vyplacené výhry, vždy přizná pouze tu část vyplacené výhry, ke které došlo v příslušném zdaňovacím období. Tento princip mohou využít i provozovatelé, pro které jsou typické vysoké výhry, jejichž jednorázovým vyplacením v rámci jednoho zdaňovacího období by mohlo dojít k výraznému převýšení výher nad vklady. Vzhledem k tomu, že zákon o dani z hazardních her nezakotvuje daňovou ztrátu ani dílčí daňovou ztrátu, musí být základ daně vždy v kladné nebo nulové hodnotě, a to i pokud vyplacené výhry značně převýší přijaté vklady. Domnívám se, že při upravení maximální možné lhůty pro vyplacení výhry v herním pláně, tedy 60 dnů od uplatnění nároku na výhru,</w:t>
      </w:r>
      <w:r w:rsidRPr="00976A97">
        <w:rPr>
          <w:rStyle w:val="Znakapoznpodarou"/>
          <w:rFonts w:ascii="Times New Roman" w:hAnsi="Times New Roman"/>
        </w:rPr>
        <w:footnoteReference w:id="124"/>
      </w:r>
      <w:r w:rsidRPr="00976A97">
        <w:t>a s ohledem na rela</w:t>
      </w:r>
      <w:r w:rsidRPr="00976A97">
        <w:lastRenderedPageBreak/>
        <w:t>tivně krátké zdaňovací období, bude provozovatel schopen rozdělit vyplacení výhry mezi dvě zdaňovací období, tak aby se vyvaroval záporného rozdílu mezi vklady a vyplacenými výhrami.</w:t>
      </w:r>
    </w:p>
    <w:p w14:paraId="295D98B8" w14:textId="24DF2A46" w:rsidR="00DC454B" w:rsidRPr="00976A97" w:rsidRDefault="00775AA6" w:rsidP="00DC454B">
      <w:pPr>
        <w:pStyle w:val="Dalodstavce"/>
        <w:rPr>
          <w:color w:val="FF0000"/>
        </w:rPr>
      </w:pPr>
      <w:r w:rsidRPr="00976A97">
        <w:t>Pro účely určení dílčích základů daně se vedle</w:t>
      </w:r>
      <w:r>
        <w:t xml:space="preserve"> vyplacených výher zohledňují i</w:t>
      </w:r>
      <w:r w:rsidRPr="00976A97">
        <w:t xml:space="preserve"> přijat</w:t>
      </w:r>
      <w:r>
        <w:t>é</w:t>
      </w:r>
      <w:r w:rsidRPr="00976A97">
        <w:t xml:space="preserve"> a nevrácen</w:t>
      </w:r>
      <w:r>
        <w:t>é</w:t>
      </w:r>
      <w:r w:rsidRPr="00976A97">
        <w:t xml:space="preserve"> vklad</w:t>
      </w:r>
      <w:r>
        <w:t>y</w:t>
      </w:r>
      <w:r w:rsidRPr="00976A97">
        <w:t xml:space="preserve">. </w:t>
      </w:r>
      <w:r w:rsidR="00DC454B" w:rsidRPr="00976A97">
        <w:t>Vkladem se myslí jakékoliv plnění, díky kterému je osoba oprávněna účastnit se hazardní hry. Vkladem je zejména sázka, nebo i další plnění, která provozovatel stanovil k tomu, aby se účastník hazardní hry mohl účastnit. Nejedná se jen o přímý vklad do hry, ale vkladem jsou myšlena všechna plnění, která účastníka opravňují k účasti na hazardní hře.</w:t>
      </w:r>
      <w:r w:rsidR="00DC454B" w:rsidRPr="00976A97">
        <w:rPr>
          <w:rStyle w:val="Znakapoznpodarou"/>
          <w:rFonts w:ascii="Times New Roman" w:hAnsi="Times New Roman"/>
        </w:rPr>
        <w:footnoteReference w:id="125"/>
      </w:r>
      <w:r w:rsidR="00DC454B" w:rsidRPr="00976A97">
        <w:t xml:space="preserve"> Může jít například o různé manipulační poplatky, o vstupné do kasina nebo o provizi zaplacenou provozovateli za to, že provozovatel umožní hráčům hrát hru typu „</w:t>
      </w:r>
      <w:r w:rsidR="00DC454B" w:rsidRPr="00976A97">
        <w:rPr>
          <w:i/>
          <w:iCs/>
        </w:rPr>
        <w:t>hráč proti hráči</w:t>
      </w:r>
      <w:r w:rsidR="00DC454B" w:rsidRPr="00976A97">
        <w:t>“. Naproti tomu sázka, která je jedním z typů vkladů, je dobrovolně určené nenávratné plnění, které bude porovnáváno s výsledkem hazardní hry. Vklady ani sázky nesmí být v jiné než peněžité formě.</w:t>
      </w:r>
      <w:r w:rsidR="00DC454B" w:rsidRPr="00976A97">
        <w:rPr>
          <w:rStyle w:val="Znakapoznpodarou"/>
          <w:rFonts w:ascii="Times New Roman" w:hAnsi="Times New Roman"/>
        </w:rPr>
        <w:footnoteReference w:id="126"/>
      </w:r>
      <w:r w:rsidR="00DC454B" w:rsidRPr="00976A97">
        <w:t xml:space="preserve"> Nicméně zákon o dani z hazardních je postaven na neutralitě vůči legalitě či nelegalitě provozování hazardních her. Pokud i tak poplatník přijme nepeněžitý vklad, určí se jeho hodnota podle zákona, který upravuje oceňování majetku,</w:t>
      </w:r>
      <w:r w:rsidR="00DC454B" w:rsidRPr="00976A97">
        <w:rPr>
          <w:rStyle w:val="Znakapoznpodarou"/>
          <w:rFonts w:ascii="Times New Roman" w:hAnsi="Times New Roman"/>
        </w:rPr>
        <w:footnoteReference w:id="127"/>
      </w:r>
      <w:r w:rsidR="00DC454B" w:rsidRPr="00976A97">
        <w:t xml:space="preserve">a o tuto částku se pak navýší základ daně. </w:t>
      </w:r>
      <w:r w:rsidR="00DC454B" w:rsidRPr="00976A97">
        <w:rPr>
          <w:color w:val="FF0000"/>
        </w:rPr>
        <w:t xml:space="preserve"> </w:t>
      </w:r>
    </w:p>
    <w:p w14:paraId="06B890C1" w14:textId="2F0E595A" w:rsidR="00DC454B" w:rsidRPr="00976A97" w:rsidRDefault="00DC454B" w:rsidP="00DC454B">
      <w:pPr>
        <w:pStyle w:val="Dalodstavce"/>
      </w:pPr>
      <w:r w:rsidRPr="00976A97">
        <w:t>Do dílčího základu daně nicméně dle zákonem použité formulace vstup</w:t>
      </w:r>
      <w:r w:rsidR="00D10AAC">
        <w:t>ovaly</w:t>
      </w:r>
      <w:r w:rsidRPr="00976A97">
        <w:t xml:space="preserve"> přijaté a nevrácené vklady. Domnívám se, že pojem přijatý vklad a vklad mají totožný význam. Jak lze dovodit z definice vkladu, jedná se o plnění opravňující k účasti na hře. Kdyby toto plnění nebylo zároveň plnění přijaté provozovatelem, nebyl by hráč oprávněn účastnit se takové hazardní hry. Použitím této formulace chtěl pravděpodobně zákonodárce jasně určit, že se jedná již jen o plnění plně v dispozici provozovatele, se kterým hráč už nemůže volně nakládat. Za přijatý vklad se tedy nedá považovat například směna peněz na žetony. Skutečnost pouhé směny hráči nezakládá oprávnění účastnit se hazardní hry, protože s žetony může stále volně nakládat. O přijatý vklad by se jednalo až po vsazení žetonů do konkrétní hazardní hry.</w:t>
      </w:r>
      <w:r w:rsidRPr="00976A97">
        <w:rPr>
          <w:rStyle w:val="Znakapoznpodarou"/>
          <w:rFonts w:ascii="Times New Roman" w:hAnsi="Times New Roman"/>
        </w:rPr>
        <w:footnoteReference w:id="128"/>
      </w:r>
      <w:r w:rsidRPr="00976A97">
        <w:t xml:space="preserve"> Vedle přijatých vkladů zákon oper</w:t>
      </w:r>
      <w:r w:rsidR="00D10AAC">
        <w:t xml:space="preserve">oval </w:t>
      </w:r>
      <w:r w:rsidRPr="00976A97">
        <w:t xml:space="preserve">s pojmem nevrácený vklad.  Abychom byli schopni vyložit, co se rozumí nevráceným vkladem, je nutné definovat vrácený vklad. Za vrácené vklady se považují ty vklady, které sice byly přijaté, což účastníka opravňovalo účastnit se hry, ale následně byly účastníkovi vráceny. </w:t>
      </w:r>
      <w:r w:rsidRPr="00976A97">
        <w:lastRenderedPageBreak/>
        <w:t xml:space="preserve">Důvody pro vrácení vkladu mohou být různé. Může dojít ke zrušení hazardní hry až po samotném výběru vkladů nebo se jedná o určitý marketingový tah provozovatele, který hráči vrátí vklad za splnění </w:t>
      </w:r>
      <w:r>
        <w:t>jím</w:t>
      </w:r>
      <w:r w:rsidRPr="00976A97">
        <w:t xml:space="preserve"> vymezených podmínek. Z uvedeného vyplývá, že pro účely určení dílčího základu daně </w:t>
      </w:r>
      <w:r w:rsidR="00610273">
        <w:t>byly</w:t>
      </w:r>
      <w:r w:rsidRPr="00976A97">
        <w:t xml:space="preserve"> relevantní pouze přijaté vklady, které nebyly následně vráceny. Jak uvádí důvodová zpráva, důvodem pro tuto koncepci byl rozdíl mezi vkladem a sázkou. Není logické, aby do základu daně vstupovaly vklady, které se nestaly sázkou a byly účastníkovi vráceny.</w:t>
      </w:r>
      <w:r w:rsidRPr="00976A97">
        <w:rPr>
          <w:rStyle w:val="Znakapoznpodarou"/>
          <w:rFonts w:ascii="Times New Roman" w:hAnsi="Times New Roman"/>
        </w:rPr>
        <w:footnoteReference w:id="129"/>
      </w:r>
    </w:p>
    <w:p w14:paraId="389AE1ED" w14:textId="1C82AFEA" w:rsidR="00B6267F" w:rsidRDefault="00DC454B" w:rsidP="00B6267F">
      <w:pPr>
        <w:pStyle w:val="Dalodstavce"/>
      </w:pPr>
      <w:r w:rsidRPr="00976A97">
        <w:t>Použití na první pohled nevinné formulace „</w:t>
      </w:r>
      <w:r w:rsidRPr="00976A97">
        <w:rPr>
          <w:i/>
          <w:iCs/>
        </w:rPr>
        <w:t>přijaté a nevrácené vklady</w:t>
      </w:r>
      <w:r w:rsidRPr="00976A97">
        <w:t xml:space="preserve">“ </w:t>
      </w:r>
      <w:r w:rsidR="00AA5D90">
        <w:t>mohlo</w:t>
      </w:r>
      <w:r w:rsidRPr="00976A97">
        <w:t xml:space="preserve"> v praxi způsobovat značné potíže. Vrácené vklady totiž fakticky nevstupují do základu daně v tom zdaňovacím období, ve kterém byly přijaty. Problém potom může nastat v situaci, kdy provozovatel přijal vklad v jednom zdaňovacím období, v tomto zdaňovacím období je do daňového přiznání zahrnul jako přijaté a nevrácené vklady a posléze došlo ke vrácení vkladu v dalším zdaňovacím období. Důsledkem této situace je povinnost uhrazení vyšší daně, než je daň skutečná. Aby se takové nežádoucí situace poplatník vyvaroval, mus</w:t>
      </w:r>
      <w:r w:rsidR="00637074">
        <w:t>el</w:t>
      </w:r>
      <w:r w:rsidRPr="00976A97">
        <w:t xml:space="preserve"> zpětně změnit základ daně podáním dodatečného daňového přiznání na daň nižší, než je poslední známá daň.</w:t>
      </w:r>
      <w:r w:rsidRPr="00976A97">
        <w:rPr>
          <w:rStyle w:val="Znakapoznpodarou"/>
          <w:rFonts w:ascii="Times New Roman" w:hAnsi="Times New Roman"/>
        </w:rPr>
        <w:footnoteReference w:id="130"/>
      </w:r>
      <w:r w:rsidRPr="00976A97">
        <w:t xml:space="preserve"> Jelikož jedním z mnoha cílů nové právní úpravy </w:t>
      </w:r>
      <w:r w:rsidR="00AA5D90">
        <w:t>bylo</w:t>
      </w:r>
      <w:r w:rsidRPr="00976A97">
        <w:t xml:space="preserve"> zvláště snížení administrativní náročnosti správy daní, a to jak pro správce daně, tak pro poplatníka, </w:t>
      </w:r>
      <w:r w:rsidR="00786D08">
        <w:t>nebyla takto zvolená konstrukce výpočtu vhodná</w:t>
      </w:r>
      <w:r w:rsidR="00CD418B">
        <w:t>. N</w:t>
      </w:r>
      <w:r w:rsidR="00637074">
        <w:t>ovelizace daného ustanovení byla nevyhnutelná</w:t>
      </w:r>
      <w:r w:rsidR="008829FE">
        <w:t>, neboť docházelo k nárustu podaných dodatečným daňových přiznání</w:t>
      </w:r>
    </w:p>
    <w:p w14:paraId="1D5F7013" w14:textId="76EB2E42" w:rsidR="00637074" w:rsidRPr="00976A97" w:rsidRDefault="00637074" w:rsidP="00B6267F">
      <w:pPr>
        <w:pStyle w:val="Dalodstavce"/>
      </w:pPr>
      <w:r>
        <w:t xml:space="preserve">Zákon č. 80/2019 Sb., Zákon, kterým se mění některé zákony v oblasti daní a některé další zákony, </w:t>
      </w:r>
      <w:r w:rsidR="008813BF">
        <w:t xml:space="preserve">mimo jiné novelizoval i </w:t>
      </w:r>
      <w:r w:rsidR="00D351F1">
        <w:t>způsob výpočtu dílčích základů daně.</w:t>
      </w:r>
      <w:r w:rsidR="008829FE">
        <w:t xml:space="preserve"> Za účelem eliminace zpětné změny základu daně byly vrácené vklady do výpočtu implementovány jako samostatná veličina.</w:t>
      </w:r>
      <w:r w:rsidR="00AE4311">
        <w:t xml:space="preserve"> K dílčímu základu daně z jednotlivých hazardních her </w:t>
      </w:r>
      <w:r w:rsidR="00611D17">
        <w:t xml:space="preserve">dle novelizovaného ustanovení </w:t>
      </w:r>
      <w:r w:rsidR="00AE4311">
        <w:t xml:space="preserve">dojdeme tak, že od přijatých vkladů odečteme vyplacené výhry a vrácené vklady </w:t>
      </w:r>
      <w:r w:rsidR="00F400AF">
        <w:t>z</w:t>
      </w:r>
      <w:r w:rsidR="00AE4311">
        <w:t> daného zdaňovacího období. Vrácené vklady budou tedy zohledňovány v tom období, kdy byly vráceny. Tudíž nebude docházet zpětným změnám základu tak často.</w:t>
      </w:r>
    </w:p>
    <w:p w14:paraId="3B62D528" w14:textId="4F5C6D2C" w:rsidR="00DC454B" w:rsidRPr="00976A97" w:rsidRDefault="00DC454B" w:rsidP="00DC454B">
      <w:pPr>
        <w:pStyle w:val="Dalodstavce"/>
      </w:pPr>
      <w:r w:rsidRPr="00976A97">
        <w:t>Stejně jako v loterním zákoně je základ daně z hazardních her postaven na plošném použití principu IN-OUT. Při výpočtu základu daně založeném na principu IN-OUT dochází ke sčítání přijatých vkladů a následného odečtení vyplacených výher</w:t>
      </w:r>
      <w:r w:rsidR="00456BC0">
        <w:t xml:space="preserve"> a vrácených vkladů</w:t>
      </w:r>
      <w:r w:rsidRPr="00976A97">
        <w:t xml:space="preserve">. V případě </w:t>
      </w:r>
      <w:r w:rsidRPr="00976A97">
        <w:lastRenderedPageBreak/>
        <w:t xml:space="preserve">principu IN se výhry neberou v potaz a jsou v základu daně pouze zohledňovány plnění přijatá provozovateli od účastníků hazardní hry. Což může být pro provozovatele </w:t>
      </w:r>
      <w:r>
        <w:t xml:space="preserve">v některých případech </w:t>
      </w:r>
      <w:r w:rsidRPr="00976A97">
        <w:t>likvidační</w:t>
      </w:r>
      <w:r>
        <w:t>. Aby se předešlo likvidační povaze daně postavené na principu IN a byla tak daň v souladu se zásadou únosnosti,</w:t>
      </w:r>
      <w:r>
        <w:rPr>
          <w:rStyle w:val="Znakapoznpodarou"/>
          <w:rFonts w:ascii="Times New Roman" w:hAnsi="Times New Roman"/>
        </w:rPr>
        <w:footnoteReference w:id="131"/>
      </w:r>
      <w:r w:rsidRPr="00976A97">
        <w:t xml:space="preserve"> jsou obecně dány nižší sazby daně. V zahraničních právních úpravách často dochází ke kombinaci obou principů pro různé hazardní hry. Princip IN bývá nejčastěji využíván u loterií, tombol, někdy i kursových sázek a princip IN-OUT u ostatních hazardních her. Základ daně založený na principu OUT je spíše výjimečný. V takovém případě základ daně tvoří pouze vyplacené výhry.</w:t>
      </w:r>
      <w:r w:rsidRPr="00976A97">
        <w:rPr>
          <w:rStyle w:val="Znakapoznpodarou"/>
          <w:rFonts w:ascii="Times New Roman" w:hAnsi="Times New Roman"/>
        </w:rPr>
        <w:footnoteReference w:id="132"/>
      </w:r>
      <w:r w:rsidRPr="00976A97">
        <w:t xml:space="preserve"> </w:t>
      </w:r>
    </w:p>
    <w:p w14:paraId="59984249" w14:textId="49B889ED" w:rsidR="00DC454B" w:rsidRPr="00976A97" w:rsidRDefault="00DC454B" w:rsidP="00DC454B">
      <w:pPr>
        <w:pStyle w:val="Dalodstavce"/>
      </w:pPr>
      <w:r w:rsidRPr="00976A97">
        <w:t>Základ daně z hazardních her je také založen na transakční bázi.</w:t>
      </w:r>
      <w:r>
        <w:rPr>
          <w:rStyle w:val="Znakapoznpodarou"/>
          <w:rFonts w:ascii="Times New Roman" w:hAnsi="Times New Roman"/>
        </w:rPr>
        <w:footnoteReference w:id="133"/>
      </w:r>
      <w:r w:rsidRPr="00976A97">
        <w:t xml:space="preserve"> Přijaté vklady jsou zohledňovány v základu daně v tom zdaňovacím období, ve kterém byly přijaty a vyplacené výhry</w:t>
      </w:r>
      <w:r w:rsidR="00C51FEC">
        <w:t xml:space="preserve"> a vrácené vklady</w:t>
      </w:r>
      <w:r w:rsidRPr="00976A97">
        <w:t xml:space="preserve"> v období, kdy byly vyplaceny, nehledě na to, kdy se hazardní hra uskutečnila, protože započtení vkladů a výher do základu daně není na tuto skutečnost vázáno. To je dáno zejména tím, že předmětem daně z hazardních her není uskutečňování hazardní hry, nýbrž její provozování, které zahrnuje mimo realizování hazardní hry samotné, také vyplácení výher a přijímání vkladů. Pomocí základu daně pak dochází ke konkretizaci předmětu daně, ze kterého je daň následně vyměřena.</w:t>
      </w:r>
    </w:p>
    <w:p w14:paraId="4133D3CB" w14:textId="77777777" w:rsidR="00DC454B" w:rsidRPr="00976A97" w:rsidRDefault="00DC454B" w:rsidP="00DC454B">
      <w:pPr>
        <w:pStyle w:val="Nadpis3"/>
      </w:pPr>
      <w:bookmarkStart w:id="32" w:name="_Toc23362433"/>
      <w:r w:rsidRPr="00976A97">
        <w:t xml:space="preserve">Speciální </w:t>
      </w:r>
      <w:r w:rsidRPr="00DC454B">
        <w:t>základ</w:t>
      </w:r>
      <w:r w:rsidRPr="00976A97">
        <w:t xml:space="preserve"> daně pro internetové hry typu „</w:t>
      </w:r>
      <w:r w:rsidRPr="00976A97">
        <w:rPr>
          <w:i/>
          <w:iCs/>
        </w:rPr>
        <w:t>hráč proti hráči</w:t>
      </w:r>
      <w:r w:rsidRPr="00976A97">
        <w:t>“</w:t>
      </w:r>
      <w:bookmarkEnd w:id="32"/>
    </w:p>
    <w:p w14:paraId="5C901462" w14:textId="3D734568" w:rsidR="00CA7DD6" w:rsidRPr="00CA7DD6" w:rsidRDefault="00DC454B" w:rsidP="00CA7DD6">
      <w:pPr>
        <w:pStyle w:val="l4"/>
        <w:spacing w:before="0" w:beforeAutospacing="0" w:after="0" w:afterAutospacing="0"/>
        <w:jc w:val="both"/>
        <w:rPr>
          <w:rFonts w:asciiTheme="minorHAnsi" w:hAnsiTheme="minorHAnsi" w:cs="Arial"/>
          <w:i/>
          <w:iCs/>
          <w:color w:val="000000"/>
        </w:rPr>
      </w:pPr>
      <w:r w:rsidRPr="00CA7DD6">
        <w:rPr>
          <w:rFonts w:asciiTheme="minorHAnsi" w:hAnsiTheme="minorHAnsi"/>
        </w:rPr>
        <w:t>U hazardních her provozovaných prostřednictvím internetu, kde proti sobě hrají hráči, kdy jeden má bydliště na území České republiky a druhý nikoliv, bylo nutné do právní úpravy implementovat vedle jejich speciálního předmětu daně i speciální základ daně. Důvodem je zajištění, aby do základu daně vstoupila jen odpovídající část provize, která připadá na hráče s bydlištěm v České republice.</w:t>
      </w:r>
      <w:r w:rsidRPr="00CA7DD6">
        <w:rPr>
          <w:rStyle w:val="Znakapoznpodarou"/>
          <w:rFonts w:asciiTheme="minorHAnsi" w:hAnsiTheme="minorHAnsi"/>
        </w:rPr>
        <w:footnoteReference w:id="134"/>
      </w:r>
      <w:r w:rsidRPr="00CA7DD6">
        <w:rPr>
          <w:rFonts w:asciiTheme="minorHAnsi" w:hAnsiTheme="minorHAnsi"/>
        </w:rPr>
        <w:t xml:space="preserve"> </w:t>
      </w:r>
      <w:r w:rsidR="00E72D52" w:rsidRPr="00CA7DD6">
        <w:rPr>
          <w:rFonts w:asciiTheme="minorHAnsi" w:hAnsiTheme="minorHAnsi"/>
        </w:rPr>
        <w:t>V prvotním znění zákona o dani z hazardních her byl v</w:t>
      </w:r>
      <w:r w:rsidRPr="00CA7DD6">
        <w:rPr>
          <w:rFonts w:asciiTheme="minorHAnsi" w:hAnsiTheme="minorHAnsi"/>
        </w:rPr>
        <w:t xml:space="preserve">ýpočet konstruován tak, že </w:t>
      </w:r>
      <w:r w:rsidR="00977BE5" w:rsidRPr="00CA7DD6">
        <w:rPr>
          <w:rFonts w:asciiTheme="minorHAnsi" w:hAnsiTheme="minorHAnsi"/>
        </w:rPr>
        <w:t xml:space="preserve">bylo </w:t>
      </w:r>
      <w:r w:rsidRPr="00CA7DD6">
        <w:rPr>
          <w:rFonts w:asciiTheme="minorHAnsi" w:hAnsiTheme="minorHAnsi"/>
        </w:rPr>
        <w:t xml:space="preserve">nejprve </w:t>
      </w:r>
      <w:r w:rsidR="00977BE5" w:rsidRPr="00CA7DD6">
        <w:rPr>
          <w:rFonts w:asciiTheme="minorHAnsi" w:hAnsiTheme="minorHAnsi"/>
        </w:rPr>
        <w:t>nutné</w:t>
      </w:r>
      <w:r w:rsidRPr="00CA7DD6">
        <w:rPr>
          <w:rFonts w:asciiTheme="minorHAnsi" w:hAnsiTheme="minorHAnsi"/>
        </w:rPr>
        <w:t xml:space="preserve"> zjistit rozdíl mezi přijatými a nevrácenými vklady a vyplacenými výhrami všech zúčastněných hráčů, následně </w:t>
      </w:r>
      <w:r w:rsidR="00977BE5" w:rsidRPr="00CA7DD6">
        <w:rPr>
          <w:rFonts w:asciiTheme="minorHAnsi" w:hAnsiTheme="minorHAnsi"/>
        </w:rPr>
        <w:t xml:space="preserve">bylo zapotřebí tento </w:t>
      </w:r>
      <w:r w:rsidRPr="00CA7DD6">
        <w:rPr>
          <w:rFonts w:asciiTheme="minorHAnsi" w:hAnsiTheme="minorHAnsi"/>
        </w:rPr>
        <w:t>rozdíl vynásob</w:t>
      </w:r>
      <w:r w:rsidR="00977BE5" w:rsidRPr="00CA7DD6">
        <w:rPr>
          <w:rFonts w:asciiTheme="minorHAnsi" w:hAnsiTheme="minorHAnsi"/>
        </w:rPr>
        <w:t>it</w:t>
      </w:r>
      <w:r w:rsidRPr="00CA7DD6">
        <w:rPr>
          <w:rFonts w:asciiTheme="minorHAnsi" w:hAnsiTheme="minorHAnsi"/>
        </w:rPr>
        <w:t xml:space="preserve"> poměrem přijatých a nevrácených vkladů od zúčastněných hráčů s bydlištěm na území České republiky a přijatých a nevrácených vkladů </w:t>
      </w:r>
      <w:r w:rsidRPr="00CA7DD6">
        <w:rPr>
          <w:rFonts w:asciiTheme="minorHAnsi" w:hAnsiTheme="minorHAnsi"/>
        </w:rPr>
        <w:lastRenderedPageBreak/>
        <w:t>všech hráčů.</w:t>
      </w:r>
      <w:r w:rsidRPr="00CA7DD6">
        <w:rPr>
          <w:rStyle w:val="Znakapoznpodarou"/>
          <w:rFonts w:asciiTheme="minorHAnsi" w:hAnsiTheme="minorHAnsi"/>
        </w:rPr>
        <w:footnoteReference w:id="135"/>
      </w:r>
      <w:r w:rsidR="002576D6" w:rsidRPr="00CA7DD6">
        <w:rPr>
          <w:rFonts w:asciiTheme="minorHAnsi" w:hAnsiTheme="minorHAnsi"/>
        </w:rPr>
        <w:t xml:space="preserve"> Vzhledem ke konstrukci výpočtu museli provozovatelé hazardních her evidovat vrácené vklady o</w:t>
      </w:r>
      <w:r w:rsidR="00080CD5" w:rsidRPr="00CA7DD6">
        <w:rPr>
          <w:rFonts w:asciiTheme="minorHAnsi" w:hAnsiTheme="minorHAnsi"/>
        </w:rPr>
        <w:t xml:space="preserve">d zahraničních hráčů pro případ, že by došlo ke vrácení vkladů v následujícím zdaňovacím období a tím došlo ke zpětné změně základu daně. </w:t>
      </w:r>
      <w:r w:rsidR="008B5B6E" w:rsidRPr="00CA7DD6">
        <w:rPr>
          <w:rFonts w:asciiTheme="minorHAnsi" w:hAnsiTheme="minorHAnsi"/>
        </w:rPr>
        <w:t>Výše zmíněná povinnost vedla ke zvýšení administrativní náročnosti správy daně těchto hazardních her, o</w:t>
      </w:r>
      <w:r w:rsidR="00080CD5" w:rsidRPr="00CA7DD6">
        <w:rPr>
          <w:rFonts w:asciiTheme="minorHAnsi" w:hAnsiTheme="minorHAnsi"/>
        </w:rPr>
        <w:t>bzvláště z důvodu různé zákonné úpravy v zemích, kde provozovatelé působili.</w:t>
      </w:r>
      <w:r w:rsidR="008B5B6E" w:rsidRPr="00CA7DD6">
        <w:rPr>
          <w:rFonts w:asciiTheme="minorHAnsi" w:hAnsiTheme="minorHAnsi"/>
        </w:rPr>
        <w:t xml:space="preserve"> </w:t>
      </w:r>
      <w:r w:rsidR="00BA798D" w:rsidRPr="00CA7DD6">
        <w:rPr>
          <w:rFonts w:asciiTheme="minorHAnsi" w:hAnsiTheme="minorHAnsi"/>
        </w:rPr>
        <w:t>Aby právní úprava nebyla spíše kontraproduktivní</w:t>
      </w:r>
      <w:r w:rsidR="00DF10B1" w:rsidRPr="00CA7DD6">
        <w:rPr>
          <w:rFonts w:asciiTheme="minorHAnsi" w:hAnsiTheme="minorHAnsi"/>
        </w:rPr>
        <w:t>,</w:t>
      </w:r>
      <w:r w:rsidR="00BA798D" w:rsidRPr="00CA7DD6">
        <w:rPr>
          <w:rFonts w:asciiTheme="minorHAnsi" w:hAnsiTheme="minorHAnsi"/>
        </w:rPr>
        <w:t xml:space="preserve"> výše citovanou novelou došlo ke změně výpočtu dílčího základu daně pro internetové hry typu „</w:t>
      </w:r>
      <w:r w:rsidR="00BA798D" w:rsidRPr="00CA7DD6">
        <w:rPr>
          <w:rFonts w:asciiTheme="minorHAnsi" w:hAnsiTheme="minorHAnsi"/>
          <w:i/>
          <w:iCs/>
        </w:rPr>
        <w:t>hráč proti hráči</w:t>
      </w:r>
      <w:r w:rsidR="00BA798D" w:rsidRPr="00CA7DD6">
        <w:rPr>
          <w:rFonts w:asciiTheme="minorHAnsi" w:hAnsiTheme="minorHAnsi"/>
        </w:rPr>
        <w:t>“, které tvoří rozdíl</w:t>
      </w:r>
      <w:r w:rsidR="00CA7DD6" w:rsidRPr="00CA7DD6">
        <w:rPr>
          <w:rFonts w:asciiTheme="minorHAnsi" w:hAnsiTheme="minorHAnsi"/>
        </w:rPr>
        <w:t xml:space="preserve"> </w:t>
      </w:r>
      <w:r w:rsidR="00CA7DD6" w:rsidRPr="00CA7DD6">
        <w:rPr>
          <w:rFonts w:asciiTheme="minorHAnsi" w:hAnsiTheme="minorHAnsi"/>
          <w:i/>
          <w:iCs/>
        </w:rPr>
        <w:t>„</w:t>
      </w:r>
      <w:r w:rsidR="00CA7DD6" w:rsidRPr="00CA7DD6">
        <w:rPr>
          <w:rStyle w:val="PromnnHTML"/>
          <w:rFonts w:asciiTheme="minorHAnsi" w:hAnsiTheme="minorHAnsi" w:cs="Arial"/>
          <w:color w:val="000000"/>
        </w:rPr>
        <w:t>a)</w:t>
      </w:r>
      <w:r w:rsidR="00CA7DD6" w:rsidRPr="00CA7DD6">
        <w:rPr>
          <w:rFonts w:asciiTheme="minorHAnsi" w:hAnsiTheme="minorHAnsi" w:cs="Arial"/>
          <w:i/>
          <w:iCs/>
          <w:color w:val="000000"/>
        </w:rPr>
        <w:t xml:space="preserve"> součinu</w:t>
      </w:r>
    </w:p>
    <w:p w14:paraId="1E6AE5CB" w14:textId="77777777" w:rsidR="00CA7DD6" w:rsidRPr="00CA7DD6" w:rsidRDefault="00CA7DD6" w:rsidP="00CA7DD6">
      <w:pPr>
        <w:pStyle w:val="l5"/>
        <w:spacing w:before="0" w:beforeAutospacing="0" w:after="0" w:afterAutospacing="0"/>
        <w:jc w:val="both"/>
        <w:rPr>
          <w:rFonts w:asciiTheme="minorHAnsi" w:hAnsiTheme="minorHAnsi" w:cs="Arial"/>
          <w:i/>
          <w:iCs/>
          <w:color w:val="000000"/>
        </w:rPr>
      </w:pPr>
      <w:r w:rsidRPr="00CA7DD6">
        <w:rPr>
          <w:rStyle w:val="PromnnHTML"/>
          <w:rFonts w:asciiTheme="minorHAnsi" w:hAnsiTheme="minorHAnsi" w:cs="Arial"/>
          <w:color w:val="000000"/>
        </w:rPr>
        <w:t>1.</w:t>
      </w:r>
      <w:r w:rsidRPr="00CA7DD6">
        <w:rPr>
          <w:rFonts w:asciiTheme="minorHAnsi" w:hAnsiTheme="minorHAnsi" w:cs="Arial"/>
          <w:i/>
          <w:iCs/>
          <w:color w:val="000000"/>
        </w:rPr>
        <w:t xml:space="preserve"> částky, o kterou úhrn přijatých vkladů převyšuje úhrn vyplacených výher, a</w:t>
      </w:r>
    </w:p>
    <w:p w14:paraId="05FE6FB2" w14:textId="77777777" w:rsidR="00CA7DD6" w:rsidRPr="00CA7DD6" w:rsidRDefault="00CA7DD6" w:rsidP="00CA7DD6">
      <w:pPr>
        <w:pStyle w:val="l5"/>
        <w:spacing w:before="0" w:beforeAutospacing="0" w:after="0" w:afterAutospacing="0"/>
        <w:jc w:val="both"/>
        <w:rPr>
          <w:rFonts w:asciiTheme="minorHAnsi" w:hAnsiTheme="minorHAnsi" w:cs="Arial"/>
          <w:i/>
          <w:iCs/>
          <w:color w:val="000000"/>
        </w:rPr>
      </w:pPr>
      <w:r w:rsidRPr="00CA7DD6">
        <w:rPr>
          <w:rStyle w:val="PromnnHTML"/>
          <w:rFonts w:asciiTheme="minorHAnsi" w:hAnsiTheme="minorHAnsi" w:cs="Arial"/>
          <w:color w:val="000000"/>
        </w:rPr>
        <w:t>2.</w:t>
      </w:r>
      <w:r w:rsidRPr="00CA7DD6">
        <w:rPr>
          <w:rFonts w:asciiTheme="minorHAnsi" w:hAnsiTheme="minorHAnsi" w:cs="Arial"/>
          <w:i/>
          <w:iCs/>
          <w:color w:val="000000"/>
        </w:rPr>
        <w:t xml:space="preserve"> poměru úhrnu přijatých vkladů od účastníka hazardní hry a úhrnu všech přijatých vkladů a</w:t>
      </w:r>
    </w:p>
    <w:p w14:paraId="0D0FB611" w14:textId="2B92398D" w:rsidR="00CA7DD6" w:rsidRPr="00CA7DD6" w:rsidRDefault="00CA7DD6" w:rsidP="00CA7DD6">
      <w:pPr>
        <w:pStyle w:val="l4"/>
        <w:spacing w:before="0" w:beforeAutospacing="0" w:after="0" w:afterAutospacing="0"/>
        <w:jc w:val="both"/>
        <w:rPr>
          <w:rFonts w:asciiTheme="minorHAnsi" w:hAnsiTheme="minorHAnsi" w:cs="Arial"/>
          <w:color w:val="000000"/>
        </w:rPr>
      </w:pPr>
      <w:r w:rsidRPr="00CA7DD6">
        <w:rPr>
          <w:rStyle w:val="PromnnHTML"/>
          <w:rFonts w:asciiTheme="minorHAnsi" w:hAnsiTheme="minorHAnsi" w:cs="Arial"/>
          <w:color w:val="000000"/>
        </w:rPr>
        <w:t>b)</w:t>
      </w:r>
      <w:r w:rsidRPr="00CA7DD6">
        <w:rPr>
          <w:rFonts w:asciiTheme="minorHAnsi" w:hAnsiTheme="minorHAnsi" w:cs="Arial"/>
          <w:i/>
          <w:iCs/>
          <w:color w:val="000000"/>
        </w:rPr>
        <w:t xml:space="preserve"> úhrnu vkladů vrácených účastníkovi hazardní hry</w:t>
      </w:r>
      <w:r w:rsidRPr="00CA7DD6">
        <w:rPr>
          <w:rFonts w:asciiTheme="minorHAnsi" w:hAnsiTheme="minorHAnsi" w:cs="Arial"/>
          <w:i/>
          <w:iCs/>
          <w:color w:val="000000"/>
        </w:rPr>
        <w:t>.“</w:t>
      </w:r>
      <w:r w:rsidRPr="00CA7DD6">
        <w:rPr>
          <w:rStyle w:val="Znakapoznpodarou"/>
          <w:rFonts w:asciiTheme="minorHAnsi" w:hAnsiTheme="minorHAnsi"/>
          <w:i/>
          <w:iCs/>
        </w:rPr>
        <w:t xml:space="preserve"> </w:t>
      </w:r>
      <w:r>
        <w:rPr>
          <w:rStyle w:val="Znakapoznpodarou"/>
          <w:rFonts w:asciiTheme="minorHAnsi" w:hAnsiTheme="minorHAnsi"/>
          <w:i/>
          <w:iCs/>
        </w:rPr>
        <w:footnoteReference w:id="136"/>
      </w:r>
    </w:p>
    <w:p w14:paraId="7C50F473" w14:textId="484186B1" w:rsidR="00DC454B" w:rsidRPr="00E7389A" w:rsidRDefault="00DC454B" w:rsidP="00E230D5">
      <w:pPr>
        <w:pStyle w:val="q4"/>
        <w:spacing w:before="0" w:beforeAutospacing="0" w:after="0" w:afterAutospacing="0"/>
        <w:jc w:val="both"/>
        <w:rPr>
          <w:rFonts w:asciiTheme="minorHAnsi" w:hAnsiTheme="minorHAnsi"/>
          <w:i/>
          <w:iCs/>
        </w:rPr>
      </w:pPr>
    </w:p>
    <w:p w14:paraId="48BEDA96" w14:textId="482A4F40" w:rsidR="00DC454B" w:rsidRDefault="00DC454B" w:rsidP="00DC454B">
      <w:pPr>
        <w:pStyle w:val="Nadpis2"/>
      </w:pPr>
      <w:bookmarkStart w:id="33" w:name="_Toc44451451"/>
      <w:r>
        <w:t>Sazba daně</w:t>
      </w:r>
      <w:r w:rsidR="00D968B2">
        <w:t xml:space="preserve"> z hazardních her</w:t>
      </w:r>
      <w:bookmarkEnd w:id="33"/>
    </w:p>
    <w:p w14:paraId="5CD47B3E" w14:textId="77777777" w:rsidR="00DC454B" w:rsidRPr="00976A97" w:rsidRDefault="00DC454B" w:rsidP="00DC454B">
      <w:pPr>
        <w:pStyle w:val="Odstavec1"/>
      </w:pPr>
      <w:r w:rsidRPr="00976A97">
        <w:t>Čtvrtým základním konstrukčním prvkem daně je sazba daně, tj. algoritmus, pomocí něhož se ze základu daně stanoví velikost daně. Z teoretického hlediska se daňové sazby dělí na pevné a poměrné. Pevná sazba daně bývá využívána u daní se specifickým základem daně. Naopak u daní s valorickým základem daně se uplatní poměrná sazba daně, přičemž je vyjádřena v procentech. Poměrná sazba se dále dělí na lineární, progresivní a degresivní sazbu. Lineární sazba daně je stále stejná. U progresivní sazby daně dochází ke zvyšování sazby daně se zvyšujícím se základem, a naopak u degresivní sazby dochází ke snižování sazby daně se snižujícím se základem. Z hlediska počtu sazeb se rozlišuje mezi jednotnou a diferencovanou sazbou. Pokud se na základ daně aplikuje jen jedna sazba daně, pak hovoříme o jednotné sazbě. Na rozdíl od diferencované sazby, kdy je stanoveno více sazeb s tím, že tyto sazby se aplikují v určených případech.</w:t>
      </w:r>
      <w:r w:rsidRPr="00976A97">
        <w:rPr>
          <w:rStyle w:val="Znakapoznpodarou"/>
          <w:rFonts w:ascii="Times New Roman" w:hAnsi="Times New Roman"/>
        </w:rPr>
        <w:footnoteReference w:id="137"/>
      </w:r>
    </w:p>
    <w:p w14:paraId="5E88CFB0" w14:textId="0F95D306" w:rsidR="00DC454B" w:rsidRPr="00976A97" w:rsidRDefault="00DC454B" w:rsidP="00DC454B">
      <w:pPr>
        <w:pStyle w:val="Dalodstavce"/>
      </w:pPr>
      <w:r w:rsidRPr="00976A97">
        <w:t xml:space="preserve">Sazba daně z hazardních her je daní poměrnou, protože udává určité procento z dílčího základu daně. Je také daní lineární, jelikož je sazba vždy určena stejným procentem bez ohledu na výši základu daně, tj. že </w:t>
      </w:r>
      <w:r w:rsidRPr="00976A97">
        <w:lastRenderedPageBreak/>
        <w:t>sazba daně nestoupá, ani se nesnižuje se zvyšujícím základem daně, nýbrž je vždy stejná. V zákoně o dani z hazardních her je upraveno jednotlivě osm dílčích základů daně, a pro ně jsou jednotlivě zvolené sazby daně. Jedná se tedy o daň diferencovanou, i přestože se skutečně objevily pouze dvě různé sazby daně. Dílčí základ daně z technických her je jediný, který má jinou sazbu, tedy 35 %. Ostatní dílčí základy daně mají sazbu daně nastavenou na 23 %.</w:t>
      </w:r>
      <w:r w:rsidR="00586093">
        <w:rPr>
          <w:rStyle w:val="Znakapoznpodarou"/>
        </w:rPr>
        <w:footnoteReference w:id="138"/>
      </w:r>
      <w:r w:rsidRPr="00976A97">
        <w:t xml:space="preserve"> Ústředním důvodem pro zvolení diferencované sazby daně je ochrana společnosti před nežádoucími negativními vlivy hazardních her a ochrana spotřebitele.</w:t>
      </w:r>
      <w:r w:rsidRPr="00976A97">
        <w:rPr>
          <w:rStyle w:val="Znakapoznpodarou"/>
          <w:rFonts w:ascii="Times New Roman" w:hAnsi="Times New Roman"/>
        </w:rPr>
        <w:footnoteReference w:id="139"/>
      </w:r>
      <w:r w:rsidRPr="00976A97">
        <w:t xml:space="preserve"> V původním návrhu byly navrhovány tři různé výše sazby daně,</w:t>
      </w:r>
      <w:r w:rsidRPr="00976A97">
        <w:rPr>
          <w:rStyle w:val="Znakapoznpodarou"/>
          <w:rFonts w:ascii="Times New Roman" w:hAnsi="Times New Roman"/>
        </w:rPr>
        <w:footnoteReference w:id="140"/>
      </w:r>
      <w:r w:rsidRPr="00976A97">
        <w:t xml:space="preserve"> které se aplikovaly podle toho, jakou míru škodlivosti pro společnost daná hra představuje. Z důvodové zprávy</w:t>
      </w:r>
      <w:r w:rsidRPr="00976A97">
        <w:rPr>
          <w:rStyle w:val="Znakapoznpodarou"/>
          <w:rFonts w:ascii="Times New Roman" w:hAnsi="Times New Roman"/>
        </w:rPr>
        <w:footnoteReference w:id="141"/>
      </w:r>
      <w:r w:rsidRPr="00976A97">
        <w:t xml:space="preserve"> je zjevné, že se zákonodárce přípravu právní úpravy sazby daně z hazardních her snažil nepodcenit.  Mimo jiné byla vytvořena mezinárodní komparace zdanění haz</w:t>
      </w:r>
      <w:r w:rsidR="00BB3C4F">
        <w:t>ardních her v jednotlivých státech</w:t>
      </w:r>
      <w:r w:rsidRPr="00976A97">
        <w:t xml:space="preserve"> EU, ze které jasně vyplývalo, že u daně z hazardních her se upřednostňuje právě diferencovaná sazba daně.</w:t>
      </w:r>
      <w:r w:rsidRPr="00976A97">
        <w:rPr>
          <w:rStyle w:val="Znakapoznpodarou"/>
          <w:rFonts w:ascii="Times New Roman" w:hAnsi="Times New Roman"/>
        </w:rPr>
        <w:footnoteReference w:id="142"/>
      </w:r>
      <w:r w:rsidRPr="00976A97">
        <w:t xml:space="preserve"> Mimo mezinárodní komparaci se při rozdělení jednotlivých her do skupin pro účely diferenciace sazby daně braly v potaz i další důležité aspekty, jako například ziskovost a dostupnost jednotlivých her apod.</w:t>
      </w:r>
      <w:r w:rsidRPr="00976A97">
        <w:rPr>
          <w:rStyle w:val="Znakapoznpodarou"/>
          <w:rFonts w:ascii="Times New Roman" w:hAnsi="Times New Roman"/>
        </w:rPr>
        <w:footnoteReference w:id="143"/>
      </w:r>
      <w:r w:rsidRPr="00976A97">
        <w:t xml:space="preserve"> Nakonec z tohoto řešení bylo ustoupeno a zachovaly se pouze dvě skupiny sazeb, což zejména mělo reflektovat kontinuity s právní úpravou v loterním zákoně.</w:t>
      </w:r>
    </w:p>
    <w:p w14:paraId="41948ECB" w14:textId="77777777" w:rsidR="00DC454B" w:rsidRPr="00976A97" w:rsidRDefault="00DC454B" w:rsidP="00DC454B">
      <w:pPr>
        <w:pStyle w:val="Dalodstavce"/>
      </w:pPr>
      <w:r w:rsidRPr="00976A97">
        <w:t xml:space="preserve">V loterním zákoně účinném do roku 2015 bylo užito jednotné poměrné lineární sazby ve výši 20 % pro dílčí základy všech hazardních her </w:t>
      </w:r>
      <w:r w:rsidRPr="00976A97">
        <w:lastRenderedPageBreak/>
        <w:t>a také byla stanovena pevná sazba odvodu ve výši 55 Kč za den za výherní hrací přístroj.</w:t>
      </w:r>
      <w:r w:rsidRPr="00976A97">
        <w:rPr>
          <w:rStyle w:val="Znakapoznpodarou"/>
          <w:rFonts w:ascii="Times New Roman" w:hAnsi="Times New Roman"/>
        </w:rPr>
        <w:footnoteReference w:id="144"/>
      </w:r>
      <w:r w:rsidRPr="00976A97">
        <w:t xml:space="preserve"> Novelizací zákona byla namísto jednotné sazby zavedena diferencovaná poměrná lineární sazba daně.  Sazba odvodu pro dílčí základy odvodu z loterií, z kursových sázek, z karetních turnajů a hotovostních sázkových her, ze sázkových her v kasinu a z ostatních loterií a jiných podobných her činila 23 %. Sazba daně pro poměrnou část dílčího základu odvodu z výherních hracích přístrojů a jiných technických her byla stanovena na 28 % a navíc došlo ke zvýšení pevné sazby odvodu na 80 Kč.</w:t>
      </w:r>
      <w:r w:rsidRPr="00976A97">
        <w:rPr>
          <w:rStyle w:val="Znakapoznpodarou"/>
          <w:rFonts w:ascii="Times New Roman" w:hAnsi="Times New Roman"/>
        </w:rPr>
        <w:t xml:space="preserve"> </w:t>
      </w:r>
      <w:r w:rsidRPr="00976A97">
        <w:rPr>
          <w:rStyle w:val="Znakapoznpodarou"/>
          <w:rFonts w:ascii="Times New Roman" w:hAnsi="Times New Roman"/>
        </w:rPr>
        <w:footnoteReference w:id="145"/>
      </w:r>
      <w:r w:rsidRPr="00976A97">
        <w:t xml:space="preserve"> Zákon o dani z hazardních her se snažil na úpravu sazeb v loterním zákoně navázat.  Sice došlo k vypuštění pevné sazby odvodu, ale zachovala se úprava diferencované sazby daně. Technické hry jsou nyní zatíženy poměrně větší sazbou daně ve výši 35 %. A to zejména proto, že už nejsou zatíženy pevnou sazbou daně.  U ostatních her ke změně nedošlo, zachovala se sazba daně ve výši 23 %.</w:t>
      </w:r>
    </w:p>
    <w:p w14:paraId="7B36E53F" w14:textId="77777777" w:rsidR="00DC454B" w:rsidRPr="00976A97" w:rsidRDefault="00DC454B" w:rsidP="00DC454B">
      <w:pPr>
        <w:pStyle w:val="Dalodstavce"/>
      </w:pPr>
      <w:r w:rsidRPr="00976A97">
        <w:t>Při určení sazby daně nezáleží na tom, jestli se jedná o hazardní hru provozovanou prostřednictvím internetu nebo v režimu „</w:t>
      </w:r>
      <w:r>
        <w:rPr>
          <w:i/>
          <w:iCs/>
        </w:rPr>
        <w:t>l</w:t>
      </w:r>
      <w:r w:rsidRPr="00976A97">
        <w:rPr>
          <w:i/>
          <w:iCs/>
        </w:rPr>
        <w:t>and-based</w:t>
      </w:r>
      <w:r w:rsidRPr="00976A97">
        <w:t xml:space="preserve">“. Proto bude podléhat vždy stejné sazbě, která je dána pro určitý druh hazardní hry a nebude relevantní, v jaké formě je provozována. </w:t>
      </w:r>
    </w:p>
    <w:p w14:paraId="0405AA7C" w14:textId="77777777" w:rsidR="00DC454B" w:rsidRPr="00976A97" w:rsidRDefault="00DC454B" w:rsidP="00DC454B">
      <w:pPr>
        <w:pStyle w:val="Dalodstavce"/>
      </w:pPr>
      <w:r w:rsidRPr="00976A97">
        <w:t>Trochu komplikovanější situace může nastat u provozovatelů, kteří provozují vícero druhů hazardních her, zejména pokud provozují technickou hru a k tomu některou z ostatních her, pro kterou je stanovena jiná výše sazby daně. Poplatník musí totiž dobře roztřídit vklady a výhry do příslušných dílčích základů daně, aby došel ke správné výsledné dani. Případem, kdyby mohlo být velmi nejednoznačné, pod jaký dílčí základ daně vklad podřadit, může být již zmiňovaný zpoplatněný vstup do kasina, ve kterém se provozuje jak technická hra, tak i živá hra.</w:t>
      </w:r>
      <w:r w:rsidRPr="00976A97">
        <w:rPr>
          <w:rStyle w:val="Znakapoznpodarou"/>
          <w:rFonts w:ascii="Times New Roman" w:hAnsi="Times New Roman"/>
        </w:rPr>
        <w:footnoteReference w:id="146"/>
      </w:r>
    </w:p>
    <w:p w14:paraId="686A0F9E" w14:textId="77777777" w:rsidR="00DC454B" w:rsidRDefault="00DC454B" w:rsidP="00DC454B">
      <w:pPr>
        <w:pStyle w:val="Dalodstavce"/>
      </w:pPr>
      <w:r w:rsidRPr="00976A97">
        <w:t>Problematické může být i určení sazby daně u nelegálního provozování hazardních her. Jak je již zmíněno výše, pokud se bude jednat o hru jinou než, která je upravena v zákoně o hazardních hrách, nemůže tato hra podléhat dani z hazardních her, protože ji nebude možné podřadit pod předmět daně. Druhy hazardních her jsou totiž taxativně vymezeny v zákoně o hazardních hrách a jiné hazardní hry nemůžou být předmětem daně.  Pokud provozovatel nelegálně provozuje jednu z hazardních her upravenou zákonem, použije pro výpočet daně sazbu daně pro ten dílčí základ, který odpovídá druhu této nelegálně provozované hry.</w:t>
      </w:r>
    </w:p>
    <w:p w14:paraId="47E5FF8F" w14:textId="77777777" w:rsidR="00DC454B" w:rsidRPr="00976A97" w:rsidRDefault="00A02C80" w:rsidP="00DC454B">
      <w:pPr>
        <w:pStyle w:val="Nadpis2"/>
      </w:pPr>
      <w:bookmarkStart w:id="36" w:name="_Toc44451452"/>
      <w:r>
        <w:lastRenderedPageBreak/>
        <w:t>Výpočet daně</w:t>
      </w:r>
      <w:r w:rsidR="00D968B2">
        <w:t xml:space="preserve"> z hazardních her</w:t>
      </w:r>
      <w:bookmarkEnd w:id="36"/>
    </w:p>
    <w:p w14:paraId="5D89DEA6" w14:textId="77777777" w:rsidR="00A02C80" w:rsidRPr="00976A97" w:rsidRDefault="00A02C80" w:rsidP="00A02C80">
      <w:pPr>
        <w:pStyle w:val="Odstavec1"/>
      </w:pPr>
      <w:r w:rsidRPr="00976A97">
        <w:t>Dalším konstrukčním prvkem daně z hazardních her je výpočet daně. Explicitní úprava tohoto daňového prvku ve spoustě daňových zákonů schází. K jeho opomíjení dochází hlavně tam, kde k výsledné dani obvykle přijdeme jedním výpočtem a to tak, že vynásobíme základ daně sazbou daně.</w:t>
      </w:r>
      <w:r w:rsidRPr="00976A97">
        <w:rPr>
          <w:rStyle w:val="Znakapoznpodarou"/>
          <w:rFonts w:ascii="Times New Roman" w:hAnsi="Times New Roman"/>
        </w:rPr>
        <w:footnoteReference w:id="147"/>
      </w:r>
      <w:r w:rsidRPr="00976A97">
        <w:t xml:space="preserve"> Avšak tento jednoduše konstruovaný výpočet není možné použít při výpočtu daně z hazardních her. Je tomu tak díky existenci dílčích základů daně a dílčích daní. Výpočet daně z hazardních her je konstruován trochu složitěji, proto bychom se bez jeho výslovného a zřetelného zakotvení v právní úpravě jen těžko obešli. </w:t>
      </w:r>
    </w:p>
    <w:p w14:paraId="0D2F6E02" w14:textId="77777777" w:rsidR="00A02C80" w:rsidRPr="00976A97" w:rsidRDefault="00A02C80" w:rsidP="00A02C80">
      <w:pPr>
        <w:pStyle w:val="Dalodstavce"/>
      </w:pPr>
      <w:r w:rsidRPr="00976A97">
        <w:t>Výsledná daň z hazardních her je tvořena součtem dílčích daní,</w:t>
      </w:r>
      <w:r>
        <w:rPr>
          <w:rStyle w:val="Znakapoznpodarou"/>
          <w:rFonts w:ascii="Times New Roman" w:hAnsi="Times New Roman"/>
        </w:rPr>
        <w:footnoteReference w:id="148"/>
      </w:r>
      <w:r w:rsidRPr="00976A97">
        <w:t xml:space="preserve"> přičemž dílčích daní je v zákoně o dani z hazardních her upraveno osm. Jedná se o dílčí daň z loterií, kursových sázek, totalizátorových her, bing, technických her, živých her, tombol a turnajů malého rozsahu.  Formálně jsou ve výpočtu zakotveny všechny dílčí daně.</w:t>
      </w:r>
      <w:r w:rsidR="00D121E0">
        <w:t xml:space="preserve"> Nicméně i přes tuto skutečnost</w:t>
      </w:r>
      <w:r w:rsidRPr="00976A97">
        <w:t xml:space="preserve"> výslednou daň zvyšují pouze ty hry, které provozovatel skutečně provozuje, protože v případě, že provozovatel některou ze zákonem upravených her neprovozuje, bude dílčí daň z této neprovozované hry rovna nule, protože i dílčí základ daně z této hry bude nulový.</w:t>
      </w:r>
    </w:p>
    <w:p w14:paraId="6F9C052F" w14:textId="77777777" w:rsidR="00A02C80" w:rsidRPr="00976A97" w:rsidRDefault="00A02C80" w:rsidP="00A02C80">
      <w:pPr>
        <w:pStyle w:val="Dalodstavce"/>
      </w:pPr>
      <w:r w:rsidRPr="00976A97">
        <w:t xml:space="preserve"> K výsledku dílčí daně z jednotlivých hazardních her dojdeme tak, že příslušný dílčí základ daně se nejdříve zaokrouhlí a poté se vynásobí příslušnou sazbou daně.</w:t>
      </w:r>
      <w:r>
        <w:rPr>
          <w:rStyle w:val="Znakapoznpodarou"/>
          <w:rFonts w:ascii="Times New Roman" w:hAnsi="Times New Roman"/>
        </w:rPr>
        <w:footnoteReference w:id="149"/>
      </w:r>
      <w:r w:rsidRPr="00976A97">
        <w:t xml:space="preserve"> Dílčí základ daně se zaokrouhluje na celé stokoruny nahoru. Zaokrouhlování základu daně sice </w:t>
      </w:r>
      <w:r>
        <w:t xml:space="preserve">daňový řád </w:t>
      </w:r>
      <w:r w:rsidRPr="00976A97">
        <w:t>nezná, ale nejedná se o ojedinělost v daňovém právu. Podobná právní úprava je využívána například u daně z příjmů fyzických osob</w:t>
      </w:r>
      <w:r w:rsidRPr="00976A97">
        <w:rPr>
          <w:rStyle w:val="Znakapoznpodarou"/>
          <w:rFonts w:ascii="Times New Roman" w:hAnsi="Times New Roman"/>
        </w:rPr>
        <w:footnoteReference w:id="150"/>
      </w:r>
      <w:r w:rsidRPr="00976A97">
        <w:t xml:space="preserve"> a u daně z nabytí nemovitých věcí.</w:t>
      </w:r>
      <w:r w:rsidRPr="00976A97">
        <w:rPr>
          <w:rStyle w:val="Znakapoznpodarou"/>
          <w:rFonts w:ascii="Times New Roman" w:hAnsi="Times New Roman"/>
        </w:rPr>
        <w:footnoteReference w:id="151"/>
      </w:r>
    </w:p>
    <w:p w14:paraId="4F7FE0B2" w14:textId="7966284C" w:rsidR="00A02C80" w:rsidRPr="00976A97" w:rsidRDefault="00A02C80" w:rsidP="00A02C80">
      <w:pPr>
        <w:pStyle w:val="Dalodstavce"/>
      </w:pPr>
      <w:r w:rsidRPr="00976A97">
        <w:t xml:space="preserve">U výpočtu daně z technických her dochází k menší modifikaci výpočtu oproti zbylým hazardním hrám s ohledem na existenci minimální dílčí daně z technických her. Obecně je minimální dílčí daň stanovení určité výše daně, která musí být jako nejnižší přípustná daň od poplatníka </w:t>
      </w:r>
      <w:r w:rsidRPr="00976A97">
        <w:lastRenderedPageBreak/>
        <w:t>vybrána, a to bez ohledu na výši daňového základu.</w:t>
      </w:r>
      <w:r w:rsidRPr="00976A97">
        <w:rPr>
          <w:rStyle w:val="Znakapoznpodarou"/>
          <w:rFonts w:ascii="Times New Roman" w:hAnsi="Times New Roman"/>
        </w:rPr>
        <w:footnoteReference w:id="152"/>
      </w:r>
      <w:r w:rsidRPr="00976A97">
        <w:t xml:space="preserve"> To znamená, že do dosažení určité výše dílčího základu daně, bude díky existenci minimální dílčí daně stále stejná výše dílčí daně z technických her. Dílčí daň počne lineárně růst v závislosti na výši dílčího základu daně až po překročení částky, která odpovídá minimální dílčí dani z technických her. Zákonem o dani z hazardních her je výše minimální dílčí daně stanovena na 9 200 Kč za každou povolenou herní pozici.</w:t>
      </w:r>
      <w:r w:rsidRPr="00976A97">
        <w:rPr>
          <w:rStyle w:val="Znakapoznpodarou"/>
          <w:rFonts w:ascii="Times New Roman" w:hAnsi="Times New Roman"/>
        </w:rPr>
        <w:footnoteReference w:id="153"/>
      </w:r>
      <w:r w:rsidRPr="00976A97">
        <w:t xml:space="preserve">  Velikost minimální dílčí daně tedy závisí na počtu povolených herních pozic. Herní pozicí se přitom myslí přístupové místo k technické hře, prostřednictvím kterého je možné hazardní hru ovládat a které je součástí koncového zařízení.</w:t>
      </w:r>
      <w:r w:rsidRPr="00976A97">
        <w:rPr>
          <w:rStyle w:val="Znakapoznpodarou"/>
          <w:rFonts w:ascii="Times New Roman" w:hAnsi="Times New Roman"/>
        </w:rPr>
        <w:footnoteReference w:id="154"/>
      </w:r>
      <w:r w:rsidRPr="00976A97">
        <w:t xml:space="preserve"> Minimální dílčí daň nahrazuje pevnou část dílčího odvodu z výherních hracích přístrojů a jiných technických herních zařízení. </w:t>
      </w:r>
    </w:p>
    <w:p w14:paraId="77DBF9FB" w14:textId="77777777" w:rsidR="00A02C80" w:rsidRDefault="00A02C80" w:rsidP="00A02C80">
      <w:pPr>
        <w:pStyle w:val="Dalodstavce"/>
      </w:pPr>
      <w:r w:rsidRPr="00976A97">
        <w:t>Způsob výpočtu dílčí daně z technických her</w:t>
      </w:r>
      <w:r>
        <w:rPr>
          <w:rStyle w:val="Znakapoznpodarou"/>
          <w:rFonts w:ascii="Times New Roman" w:hAnsi="Times New Roman"/>
        </w:rPr>
        <w:footnoteReference w:id="155"/>
      </w:r>
      <w:r w:rsidRPr="00976A97">
        <w:t xml:space="preserve"> je konstruován obdobně jako u ostatních hazardních her. Nejprve se dílčí základ daně zaokrouhlí na stokoruny nahoru a poté se vynásobí sazbou daně. Posléze musíme výsledek porovnat s vypočtenou minimální dílčí daní z technických her. V případě, že námi první vypočtený výsledek bude nižší než vypočtená minimální dílčí daň, bude dílčí daní z technických her minimální dílčí daň. Pokud dojdeme k vyšší částce, bude dílčí daní tento součin dílčího základu daně a jeho sazby.</w:t>
      </w:r>
    </w:p>
    <w:p w14:paraId="4D1212E9" w14:textId="77777777" w:rsidR="00A02C80" w:rsidRPr="00976A97" w:rsidRDefault="00A02C80" w:rsidP="00A02C80">
      <w:pPr>
        <w:pStyle w:val="Nadpis2"/>
      </w:pPr>
      <w:bookmarkStart w:id="39" w:name="_Toc44451453"/>
      <w:r>
        <w:t>Zdaňovací období</w:t>
      </w:r>
      <w:r w:rsidR="009F6943">
        <w:t xml:space="preserve"> daně z hazardních her</w:t>
      </w:r>
      <w:bookmarkEnd w:id="39"/>
    </w:p>
    <w:p w14:paraId="496C50E2" w14:textId="77777777" w:rsidR="00A02C80" w:rsidRPr="00976A97" w:rsidRDefault="00A02C80" w:rsidP="00A02C80">
      <w:pPr>
        <w:pStyle w:val="Odstavec1"/>
      </w:pPr>
      <w:r w:rsidRPr="00976A97">
        <w:t xml:space="preserve">Zdaňovací období je časové vymezení </w:t>
      </w:r>
      <w:r>
        <w:t xml:space="preserve">předmětu a </w:t>
      </w:r>
      <w:r w:rsidRPr="00976A97">
        <w:t>základu daně. Jedná se o časově ohraničený interval, za který se stanovuje základ daně a její výše.</w:t>
      </w:r>
      <w:r w:rsidRPr="00976A97">
        <w:rPr>
          <w:rStyle w:val="Znakapoznpodarou"/>
          <w:rFonts w:ascii="Times New Roman" w:hAnsi="Times New Roman"/>
        </w:rPr>
        <w:footnoteReference w:id="156"/>
      </w:r>
      <w:r w:rsidRPr="00976A97">
        <w:t xml:space="preserve"> Za toto období se pak daň hradí. Provozování hazardních her není jednorázovou skutečností, ale jedná se o dlouhotrvající opakující </w:t>
      </w:r>
      <w:r w:rsidR="00D70DFC">
        <w:t xml:space="preserve">se </w:t>
      </w:r>
      <w:r w:rsidRPr="00976A97">
        <w:t>skutečnost, proto je daň z hazardních her daní s pravidelnou periodicitou výběru. V nové právní úpravě došlo ke zkrácení zdaňovacího období. Namísto ročního odvodového období</w:t>
      </w:r>
      <w:r w:rsidRPr="00976A97">
        <w:rPr>
          <w:rStyle w:val="Znakapoznpodarou"/>
          <w:rFonts w:ascii="Times New Roman" w:hAnsi="Times New Roman"/>
        </w:rPr>
        <w:footnoteReference w:id="157"/>
      </w:r>
      <w:r w:rsidRPr="00976A97">
        <w:t xml:space="preserve"> je zdaňovacím obdobím daně z hazardních her kalendářní čtvrtletí.</w:t>
      </w:r>
      <w:r w:rsidRPr="00976A97">
        <w:rPr>
          <w:rStyle w:val="Znakapoznpodarou"/>
          <w:rFonts w:ascii="Times New Roman" w:hAnsi="Times New Roman"/>
        </w:rPr>
        <w:footnoteReference w:id="158"/>
      </w:r>
    </w:p>
    <w:p w14:paraId="5B67B894" w14:textId="77777777" w:rsidR="00A02C80" w:rsidRPr="00976A97" w:rsidRDefault="00A02C80" w:rsidP="00A02C80">
      <w:pPr>
        <w:pStyle w:val="Dalodstavce"/>
      </w:pPr>
      <w:r w:rsidRPr="00976A97">
        <w:lastRenderedPageBreak/>
        <w:t>Zkrácením zdaňovacího období je dle důvodové zprávy zejména sledováno snížení administrativního zatížení správce daně. A to hlavně, protože odpadne institut záloh na daně. Díky vypuštění institutu záloh na daň se má zamezit obcházení zálohové povinnosti.</w:t>
      </w:r>
      <w:r w:rsidRPr="00976A97">
        <w:rPr>
          <w:rStyle w:val="Znakapoznpodarou"/>
          <w:rFonts w:ascii="Times New Roman" w:hAnsi="Times New Roman"/>
        </w:rPr>
        <w:footnoteReference w:id="159"/>
      </w:r>
      <w:r w:rsidRPr="00976A97">
        <w:t xml:space="preserve"> Dřívější úprava totiž neupravovala režim jejich stanovení. Díky tomu se zálohy nevyměřovaly, tudíž správce neměl žádný nástroj, díky kterému by mohl zálohy zpochybnit a upravit jejich výši. Provozovatelé mohli účelně vykazovat v průběžných čtvrtletních hlášeních nižší zálohy a oddálili si tím placení daně až po samotné skončení zdaňovací období, kdy teprve vyrovnali celkovou výši odvodu z loterií a jiných podobných her.</w:t>
      </w:r>
      <w:r w:rsidRPr="00976A97">
        <w:rPr>
          <w:rStyle w:val="Znakapoznpodarou"/>
          <w:rFonts w:ascii="Times New Roman" w:hAnsi="Times New Roman"/>
        </w:rPr>
        <w:footnoteReference w:id="160"/>
      </w:r>
    </w:p>
    <w:p w14:paraId="3520F4BC" w14:textId="77777777" w:rsidR="00A02C80" w:rsidRDefault="00A02C80" w:rsidP="00A02C80">
      <w:pPr>
        <w:pStyle w:val="Dalodstavce"/>
      </w:pPr>
      <w:r w:rsidRPr="00976A97">
        <w:t>Na druhou stranu by nemělo být zdaňovací období ani příliš krátké. Při stanovení nepřiměřeně krátkého zdaňovacího období by se mohli provozovatelé dostat do svízelné situace. V krátkodobém horizontu by totiž mohlo docházet k situaci, kde by vyplacené výhry mohly převýšit přijaté vklady, čímž by výnosy z činnosti provozovatele nemusely pokrýt ani náklady spojené s</w:t>
      </w:r>
      <w:r w:rsidR="009A0907">
        <w:t xml:space="preserve"> jeho</w:t>
      </w:r>
      <w:r w:rsidRPr="00976A97">
        <w:t> činností. K překlenutí této situace by mohlo dojít tak, že by se daňová ztráta uplatnila v následujícím daňovém období, kde by provozovatel dosáhl kladného daňového základu. Nicméně zákon o dani z hazardních her nic takového neupravuje. Asociace provozovatelů kursových sázek sice v rámci vnějšího připomínkového řízení nadnesla výše zmíněný problém. M</w:t>
      </w:r>
      <w:r w:rsidR="00197640">
        <w:t>F</w:t>
      </w:r>
      <w:r w:rsidRPr="00976A97">
        <w:t xml:space="preserve"> však dospělo k názoru, že zkrácením zdaňovacího období na čtvrt roku, je spíše nepatrné, že daná situace nastane.</w:t>
      </w:r>
      <w:r w:rsidR="00197640" w:rsidRPr="00976A97">
        <w:rPr>
          <w:rStyle w:val="Znakapoznpodarou"/>
          <w:rFonts w:ascii="Times New Roman" w:hAnsi="Times New Roman"/>
        </w:rPr>
        <w:footnoteReference w:id="161"/>
      </w:r>
    </w:p>
    <w:p w14:paraId="4C59AA83" w14:textId="77777777" w:rsidR="00A02C80" w:rsidRPr="00976A97" w:rsidRDefault="00A02C80" w:rsidP="00A02C80">
      <w:pPr>
        <w:pStyle w:val="Nadpis2"/>
      </w:pPr>
      <w:bookmarkStart w:id="40" w:name="_Toc44451454"/>
      <w:r>
        <w:t>Rozpočtové určení daně</w:t>
      </w:r>
      <w:r w:rsidR="00720D45">
        <w:t xml:space="preserve"> z hazardních her</w:t>
      </w:r>
      <w:bookmarkEnd w:id="40"/>
    </w:p>
    <w:p w14:paraId="26EF31BE" w14:textId="77777777" w:rsidR="00A02C80" w:rsidRPr="00976A97" w:rsidRDefault="00A02C80" w:rsidP="00684D96">
      <w:pPr>
        <w:pStyle w:val="Odstavec1"/>
      </w:pPr>
      <w:r w:rsidRPr="00976A97">
        <w:t>Dalším konstrukčním prvkem daně z hazardních her je rozpočtové určení daně. Rozpočtové určení daně nám vytyčuje, do kterého rozpočtu daná daň nebo její část plyne.</w:t>
      </w:r>
      <w:r w:rsidRPr="00976A97">
        <w:rPr>
          <w:rStyle w:val="Znakapoznpodarou"/>
          <w:rFonts w:ascii="Times New Roman" w:hAnsi="Times New Roman"/>
        </w:rPr>
        <w:footnoteReference w:id="162"/>
      </w:r>
      <w:r w:rsidRPr="00976A97">
        <w:t xml:space="preserve"> Daně včetně příslušenství jsou obecně příjmem státního rozpočtu. Což znamená, že pokud není rozdílné úpravy </w:t>
      </w:r>
      <w:r w:rsidRPr="00976A97">
        <w:lastRenderedPageBreak/>
        <w:t>ve zvláštním právním předpise, je daň vždy jen příjmem státního rozpočtu.</w:t>
      </w:r>
      <w:r w:rsidRPr="00976A97">
        <w:rPr>
          <w:rStyle w:val="Znakapoznpodarou"/>
          <w:rFonts w:ascii="Times New Roman" w:hAnsi="Times New Roman"/>
        </w:rPr>
        <w:footnoteReference w:id="163"/>
      </w:r>
      <w:r w:rsidR="00684D96">
        <w:t xml:space="preserve"> </w:t>
      </w:r>
      <w:r w:rsidRPr="00976A97">
        <w:t>Z teoretického hlediska dochází k dělení na výlučné daně a sdílené daně. Pro výlučné daně je specifické, že jejich výnos plyne pouze do jednoho veřejného rozpočtu, ať již dle obecného pravidla do státního rozpočtu, nebo na základě speciálního pravidla výnos plyne do obecních rozpočtů, krajských rozpočtů nebo popřípadě do dalších veřejných rozpočtů. Naopak u sdílených daní dochází k rozdělování výnosu mezi vícero veřejných rozpočtů.</w:t>
      </w:r>
      <w:r w:rsidRPr="00976A97">
        <w:rPr>
          <w:rStyle w:val="Znakapoznpodarou"/>
          <w:rFonts w:ascii="Times New Roman" w:hAnsi="Times New Roman"/>
        </w:rPr>
        <w:footnoteReference w:id="164"/>
      </w:r>
    </w:p>
    <w:p w14:paraId="41540ACF" w14:textId="77777777" w:rsidR="00A02C80" w:rsidRPr="00976A97" w:rsidRDefault="00A02C80" w:rsidP="00A02C80">
      <w:pPr>
        <w:pStyle w:val="Dalodstavce"/>
      </w:pPr>
      <w:r w:rsidRPr="00976A97">
        <w:t>Daň z hazardních her je daní sdílenou, u které došlo k prolomení obecného pravidla ve prospěch rozpočtů obcí, takže výnos plyne jak do státního rozpočtu, tak i do rozpočtu obce.</w:t>
      </w:r>
      <w:r w:rsidRPr="00976A97">
        <w:rPr>
          <w:rStyle w:val="Znakapoznpodarou"/>
          <w:rFonts w:ascii="Times New Roman" w:hAnsi="Times New Roman"/>
        </w:rPr>
        <w:footnoteReference w:id="165"/>
      </w:r>
      <w:r w:rsidRPr="00976A97">
        <w:t xml:space="preserve"> Konstrukci sdílené daně zákonodárce převzal z loterního zákona.</w:t>
      </w:r>
      <w:r w:rsidRPr="00976A97">
        <w:rPr>
          <w:rStyle w:val="Znakapoznpodarou"/>
          <w:rFonts w:ascii="Times New Roman" w:hAnsi="Times New Roman"/>
        </w:rPr>
        <w:footnoteReference w:id="166"/>
      </w:r>
      <w:r w:rsidRPr="00976A97">
        <w:t xml:space="preserve"> Důvodová zpráva blíže neuvádí důvod zachování právní kontinuity. Nicméně</w:t>
      </w:r>
      <w:r w:rsidR="00BB3C4F">
        <w:t xml:space="preserve"> jedním z nejčastěji zmiňovaných argumentů</w:t>
      </w:r>
      <w:r w:rsidRPr="00976A97">
        <w:t>, z jakého důvodu má být i obec příjemcem výnosu daně, je zejména fakt, že škodlivými následky hraní hazardních her je nejvíce zasažena obec, když na jejím území jsou herní prostory umístěny.</w:t>
      </w:r>
      <w:r w:rsidRPr="00976A97">
        <w:rPr>
          <w:rStyle w:val="Znakapoznpodarou"/>
          <w:rFonts w:ascii="Times New Roman" w:hAnsi="Times New Roman"/>
        </w:rPr>
        <w:footnoteReference w:id="167"/>
      </w:r>
      <w:r w:rsidRPr="00976A97">
        <w:t xml:space="preserve"> Dle dlouhodobých výzkumů dochází například ke zvýšení kriminality v blízkosti umístění heren, rozvoji zastaváren nebo je lokace heren pojena s vyšší mírou poskytování nebankovních finančních úvěrů.</w:t>
      </w:r>
      <w:r w:rsidRPr="00976A97">
        <w:rPr>
          <w:rStyle w:val="Znakapoznpodarou"/>
          <w:rFonts w:ascii="Times New Roman" w:hAnsi="Times New Roman"/>
        </w:rPr>
        <w:footnoteReference w:id="168"/>
      </w:r>
      <w:r w:rsidRPr="00976A97">
        <w:t xml:space="preserve"> Obce by nebyly schopny na svém území potírat negativní následky bez obstojných finančních zdrojů. Proto je nezbytné, aby stát vyčlenil část daňových výnosů </w:t>
      </w:r>
      <w:r w:rsidR="000D6E6B">
        <w:t xml:space="preserve">i </w:t>
      </w:r>
      <w:r w:rsidRPr="00976A97">
        <w:t>pro obce. Výnos z daně hazardních her může tak obec využít k potlačení těchto nežádoucích následků spojených s hraním hazardních her na jejím území.</w:t>
      </w:r>
    </w:p>
    <w:p w14:paraId="502F774C" w14:textId="77777777" w:rsidR="00A02C80" w:rsidRPr="00976A97" w:rsidRDefault="00A02C80" w:rsidP="00A02C80">
      <w:pPr>
        <w:pStyle w:val="Dalodstavce"/>
      </w:pPr>
      <w:r w:rsidRPr="00976A97">
        <w:t>Je vhodné zmínit, že se objevují i protichůdné názory.  V souladu s tímto názorem, by měla být tato daň výlučná a plynout pouze do státního rozpočtu a v případě zachování konstrukce sdílené daně by se měl výnos z daně pro obce co nejvíce minimalizovat.</w:t>
      </w:r>
      <w:r w:rsidRPr="00976A97">
        <w:rPr>
          <w:rStyle w:val="Znakapoznpodarou"/>
          <w:rFonts w:ascii="Times New Roman" w:hAnsi="Times New Roman"/>
        </w:rPr>
        <w:footnoteReference w:id="169"/>
      </w:r>
      <w:r w:rsidRPr="00976A97">
        <w:t xml:space="preserve"> Hlavním důvodem pro tuto konstrukci je skutečnost, že výše výnosu daně se odvozuje podle </w:t>
      </w:r>
      <w:r w:rsidRPr="00976A97">
        <w:lastRenderedPageBreak/>
        <w:t>počtu povolených herních prostorů na jejím území,</w:t>
      </w:r>
      <w:r w:rsidRPr="00976A97">
        <w:rPr>
          <w:rStyle w:val="Znakapoznpodarou"/>
          <w:rFonts w:ascii="Times New Roman" w:hAnsi="Times New Roman"/>
        </w:rPr>
        <w:footnoteReference w:id="170"/>
      </w:r>
      <w:r w:rsidRPr="00976A97">
        <w:t xml:space="preserve"> díky čemuž by mohli mít obce zájem na tom, aby na jejím území bylo vybudováno co nejvíce herních prostor</w:t>
      </w:r>
      <w:r>
        <w:t>ů</w:t>
      </w:r>
      <w:r w:rsidRPr="00976A97">
        <w:t xml:space="preserve"> a tím obec získala vysoký výnos z této daně.</w:t>
      </w:r>
      <w:r w:rsidRPr="00976A97">
        <w:rPr>
          <w:rStyle w:val="Znakapoznpodarou"/>
          <w:rFonts w:ascii="Times New Roman" w:hAnsi="Times New Roman"/>
        </w:rPr>
        <w:footnoteReference w:id="171"/>
      </w:r>
      <w:r w:rsidRPr="00976A97">
        <w:t xml:space="preserve"> Obec takovým postupem bude sice finančně prosperovat, ale na druhou stranu existence mnoho herních prostorů je s ohledem na negativní stránky tohoto průmyslu pro obyvatele nežádoucí.</w:t>
      </w:r>
    </w:p>
    <w:p w14:paraId="48007F1E" w14:textId="77777777" w:rsidR="00A02C80" w:rsidRPr="004E570C" w:rsidRDefault="00A02C80" w:rsidP="004E570C">
      <w:pPr>
        <w:pStyle w:val="Dalodstavce"/>
      </w:pPr>
      <w:r w:rsidRPr="00976A97">
        <w:t>V návaznosti na využití výnosu daně se nyní budu krátce zabývat účelovostí daně. Daň z hazardních her sleduje jednu ze základních zásad rozpočtového práva, a to zásadu neúčelovosti příjmů a účelovosti výdajů veřejných rozpočtů.</w:t>
      </w:r>
      <w:r w:rsidR="004E570C">
        <w:rPr>
          <w:rStyle w:val="Znakapoznpodarou"/>
        </w:rPr>
        <w:footnoteReference w:id="172"/>
      </w:r>
      <w:r w:rsidRPr="00976A97">
        <w:t xml:space="preserve"> Daň z hazardních her je tedy neúčelová. Což znamená, že není a</w:t>
      </w:r>
      <w:r w:rsidR="004E570C">
        <w:t xml:space="preserve"> </w:t>
      </w:r>
      <w:r w:rsidRPr="00976A97">
        <w:t>priori určeno, na jaký výdaj veřejného rozpočtu má být výnos daně užit.</w:t>
      </w:r>
      <w:r w:rsidRPr="00976A97">
        <w:rPr>
          <w:rStyle w:val="Znakapoznpodarou"/>
          <w:rFonts w:ascii="Times New Roman" w:hAnsi="Times New Roman"/>
        </w:rPr>
        <w:footnoteReference w:id="173"/>
      </w:r>
      <w:r w:rsidR="004E570C">
        <w:t xml:space="preserve"> </w:t>
      </w:r>
      <w:r w:rsidRPr="00976A97">
        <w:t>V loterním zákoně bylo ustanovení o slevě na odvodu z loterií a jiných podobných her,</w:t>
      </w:r>
      <w:r w:rsidRPr="00976A97">
        <w:rPr>
          <w:rStyle w:val="Znakapoznpodarou"/>
          <w:rFonts w:ascii="Times New Roman" w:hAnsi="Times New Roman"/>
        </w:rPr>
        <w:footnoteReference w:id="174"/>
      </w:r>
      <w:r w:rsidRPr="00976A97">
        <w:t xml:space="preserve"> které fakticky představovalo částečnou účelovost daně. Slevu mohl poplatník uplatnit, pokud poskytl peněžitý dar Českému olympijskému výboru. MF do nové právní úpravy slevu na dani zakotvit nechtělo, a to hned z několika následujících důvodů. Za prvé se jedná o účelové vázání výnosu daně ve prospěch Českého olympijského týmu, což je v rozporu se základní zásadou rozpočtového práva neúčelovosti příjmů. Navíc tímto dochází k omezení rozpočtové pravomoci parlamentu, když je zákonem vyňata tato částka, se kterou nemohou disponovat při každoročním sestavování a schvalování rozpočtu. Vedle toho panovaly obavy ze zvýšeného korupčního rizika.</w:t>
      </w:r>
      <w:r w:rsidRPr="00976A97">
        <w:rPr>
          <w:rStyle w:val="Znakapoznpodarou"/>
          <w:rFonts w:ascii="Times New Roman" w:hAnsi="Times New Roman"/>
        </w:rPr>
        <w:footnoteReference w:id="175"/>
      </w:r>
      <w:r w:rsidRPr="00976A97">
        <w:t xml:space="preserve"> Posledním důvodem nevčlenění slevy na dani do nové právní úpravy je dle důvodové zprávy možný rozpor s unijním právem, konkrétně by tato sleva na dani mohla představovat veřejnou podporu, která není slučitelná s vnitřním trhem EU.</w:t>
      </w:r>
      <w:r w:rsidRPr="00976A97">
        <w:rPr>
          <w:rStyle w:val="Znakapoznpodarou"/>
          <w:rFonts w:ascii="Times New Roman" w:hAnsi="Times New Roman"/>
        </w:rPr>
        <w:footnoteReference w:id="176"/>
      </w:r>
      <w:r w:rsidRPr="00976A97">
        <w:t xml:space="preserve"> </w:t>
      </w:r>
    </w:p>
    <w:p w14:paraId="561979F0" w14:textId="77777777" w:rsidR="00A02C80" w:rsidRPr="00976A97" w:rsidRDefault="00A02C80" w:rsidP="00A02C80">
      <w:pPr>
        <w:pStyle w:val="Dalodstavce"/>
        <w:rPr>
          <w:shd w:val="clear" w:color="auto" w:fill="FFFFFF"/>
        </w:rPr>
      </w:pPr>
      <w:r w:rsidRPr="00976A97">
        <w:t xml:space="preserve">V loterním zákoně se výnos odvodu pro účely rozpočtového určení dělil na dvě části, a to na </w:t>
      </w:r>
      <w:r w:rsidRPr="00976A97">
        <w:rPr>
          <w:shd w:val="clear" w:color="auto" w:fill="FFFFFF"/>
        </w:rPr>
        <w:t>část odvodu z loterií a jiných podobných her ve výši dílčího odvodu z výherních hracích přístrojů a jiných technických herních zařízení a zbývající část odvodu.</w:t>
      </w:r>
      <w:r w:rsidRPr="00976A97">
        <w:rPr>
          <w:rStyle w:val="Znakapoznpodarou"/>
          <w:rFonts w:eastAsiaTheme="majorEastAsia"/>
          <w:shd w:val="clear" w:color="auto" w:fill="FFFFFF"/>
        </w:rPr>
        <w:footnoteReference w:id="177"/>
      </w:r>
      <w:r w:rsidRPr="00976A97">
        <w:rPr>
          <w:shd w:val="clear" w:color="auto" w:fill="FFFFFF"/>
        </w:rPr>
        <w:t xml:space="preserve"> Podobně je tomu i tak </w:t>
      </w:r>
      <w:r w:rsidRPr="00976A97">
        <w:rPr>
          <w:shd w:val="clear" w:color="auto" w:fill="FFFFFF"/>
        </w:rPr>
        <w:lastRenderedPageBreak/>
        <w:t>v právní úpravě daně z hazardních her, kde se pro účely rozpočtového určení výnos daně z hazardních her rozděluje na dvě části. Jedná se o část, která odpovídá dílčí dani z technických her</w:t>
      </w:r>
      <w:r w:rsidRPr="00976A97">
        <w:rPr>
          <w:rStyle w:val="Znakapoznpodarou"/>
          <w:shd w:val="clear" w:color="auto" w:fill="FFFFFF"/>
        </w:rPr>
        <w:footnoteReference w:id="178"/>
      </w:r>
      <w:r w:rsidRPr="00976A97">
        <w:rPr>
          <w:shd w:val="clear" w:color="auto" w:fill="FFFFFF"/>
        </w:rPr>
        <w:t xml:space="preserve"> a na část, která odpovídá ostatním dílčím daním.</w:t>
      </w:r>
      <w:r w:rsidRPr="00976A97">
        <w:rPr>
          <w:rStyle w:val="Znakapoznpodarou"/>
          <w:rFonts w:eastAsiaTheme="majorEastAsia"/>
          <w:shd w:val="clear" w:color="auto" w:fill="FFFFFF"/>
        </w:rPr>
        <w:footnoteReference w:id="179"/>
      </w:r>
      <w:r w:rsidRPr="00976A97">
        <w:rPr>
          <w:shd w:val="clear" w:color="auto" w:fill="FFFFFF"/>
        </w:rPr>
        <w:t xml:space="preserve"> Rozdělení výnosu bylo dle důvodové zprávy nutné „</w:t>
      </w:r>
      <w:r w:rsidRPr="00976A97">
        <w:rPr>
          <w:i/>
        </w:rPr>
        <w:t>(i) s ohledem na jiný poměr, ve kterém se výnos těchto dílčích daní rozděluje mezi státní rozpočet a rozpočty obcí, a (ii) s ohledem na jiný způsob rozdělení části určené do rozpočtů obcí mezi jednotlivé obce, který je u dílčí daně z technických her vázán na počet povolených herních pozic v jednotlivých obcích.“</w:t>
      </w:r>
      <w:r w:rsidRPr="00976A97">
        <w:rPr>
          <w:rStyle w:val="Znakapoznpodarou"/>
          <w:rFonts w:eastAsiaTheme="majorEastAsia"/>
          <w:i/>
        </w:rPr>
        <w:footnoteReference w:id="180"/>
      </w:r>
    </w:p>
    <w:p w14:paraId="2A67D670" w14:textId="77777777" w:rsidR="00A02C80" w:rsidRPr="00976A97" w:rsidRDefault="00A02C80" w:rsidP="00A02C80">
      <w:pPr>
        <w:pStyle w:val="Nadpis3"/>
        <w:spacing w:line="360" w:lineRule="auto"/>
        <w:jc w:val="both"/>
        <w:rPr>
          <w:rFonts w:ascii="Times New Roman" w:hAnsi="Times New Roman" w:cs="Times New Roman"/>
          <w:shd w:val="clear" w:color="auto" w:fill="FFFFFF"/>
        </w:rPr>
      </w:pPr>
      <w:bookmarkStart w:id="41" w:name="_Toc23362438"/>
      <w:r w:rsidRPr="00976A97">
        <w:rPr>
          <w:rFonts w:ascii="Times New Roman" w:hAnsi="Times New Roman" w:cs="Times New Roman"/>
          <w:shd w:val="clear" w:color="auto" w:fill="FFFFFF"/>
        </w:rPr>
        <w:t>Rozpočtové určení u dílčí daně z technických her</w:t>
      </w:r>
      <w:bookmarkEnd w:id="41"/>
    </w:p>
    <w:p w14:paraId="6C9A4FE4" w14:textId="77777777" w:rsidR="00A02C80" w:rsidRPr="00976A97" w:rsidRDefault="00A02C80" w:rsidP="00A02C80">
      <w:pPr>
        <w:pStyle w:val="Odstavec1"/>
      </w:pPr>
      <w:r w:rsidRPr="00976A97">
        <w:t>Část celostátního hrubého výnosu daně z hazardních her odpovídající výši dílčí daně z technických her se dělí mezi státní rozpočet a obecní rozpočet. Co se týče poměru, ve kterém se o výnos dělí, došlo k mírnému navýšení ve prospěch obcí oproti úpravě v loterním zákoně.</w:t>
      </w:r>
      <w:r w:rsidRPr="00976A97">
        <w:rPr>
          <w:rStyle w:val="Znakapoznpodarou"/>
        </w:rPr>
        <w:footnoteReference w:id="181"/>
      </w:r>
      <w:r w:rsidRPr="00976A97">
        <w:t xml:space="preserve"> Z 65% části náleží rozpočtům obcí a z 35% části plyne do státního rozpočtu. Přitom se nepředpokládá, že by v důsledku navýšení procentuální části patřící obcím, došlo k navýšení celkových příjmů rozpočtů obcí.</w:t>
      </w:r>
      <w:r w:rsidRPr="00976A97">
        <w:rPr>
          <w:rStyle w:val="Znakapoznpodarou"/>
        </w:rPr>
        <w:footnoteReference w:id="182"/>
      </w:r>
      <w:r w:rsidRPr="00976A97">
        <w:t xml:space="preserve"> Což může být dáno zejména celkovým zpřísněním regulace této oblasti.</w:t>
      </w:r>
    </w:p>
    <w:p w14:paraId="76F7C96C" w14:textId="05B06B41" w:rsidR="00A02C80" w:rsidRPr="00976A97" w:rsidRDefault="00A02C80" w:rsidP="00A02C80">
      <w:pPr>
        <w:pStyle w:val="Dalodstavce"/>
      </w:pPr>
      <w:r w:rsidRPr="00976A97">
        <w:t xml:space="preserve">Část celostátního hrubého výnosu daně z hazardních her ve výši dílčí daně z technických her určeného pro obce je rozdělován mezi všechny obce v rámci území České republiky, které disponují herními prostory s povolenými koncovými zařízeními na svém území první den bezprostředně předcházející zdaňovacímu období. Je nutné zdůraznit, že pro účely rozdělení této části výnosu se berou v potaz pouze koncová zařízení uvedená v povolení k umístění herního prostoru, nelegální provozování technické hry není rozhodující při výpočtu podílu, kterým se obec podílí na celkovém poměru. Zároveň není nutné, aby koncová herní zařízení byla fakticky provozována. K výpočtu postačí pouhá faktická existence povolení. K procentuální částce, která náleží obci, se dostaneme tak, že vydělíme součet všech herních pozic jednotlivých povolených koncových zařízení na území dané obce, součtem všech herních pozic </w:t>
      </w:r>
      <w:r w:rsidRPr="00976A97">
        <w:lastRenderedPageBreak/>
        <w:t xml:space="preserve">jednotlivých povolených koncových zařízení nacházející se na území České republiky. Jak již tedy bylo uvedeno výše, čím více povolených koncových zařízení, tím více peněžních prostředků poputuje do rozpočtu obce. Naopak pokud obce na svém území ve vztahu k technickým hrám upřednostňují prohibitivní </w:t>
      </w:r>
      <w:r w:rsidR="0072007C">
        <w:t>¨¨</w:t>
      </w:r>
      <w:r w:rsidRPr="00976A97">
        <w:t>politiku, tak se na této části celostátního hrubého výnosu daně podílet nebudou.</w:t>
      </w:r>
    </w:p>
    <w:p w14:paraId="1AF72E25" w14:textId="77777777" w:rsidR="00A02C80" w:rsidRPr="00976A97" w:rsidRDefault="00A02C80" w:rsidP="00A02C80">
      <w:pPr>
        <w:pStyle w:val="Dalodstavce"/>
      </w:pPr>
      <w:r w:rsidRPr="00976A97">
        <w:t>Z důvodů zajištění informovanosti obcí a správce daně a také zvýšení právní jistoty bude MF zveřejňovat procentní podíly jednotlivých obcí na dílčí dani z technických her pro každé zdaňovací období, a to jak způsobem umožňující dálkový přístup, tak i tradičně na své úřední desce.</w:t>
      </w:r>
      <w:r w:rsidRPr="00976A97">
        <w:rPr>
          <w:rStyle w:val="Znakapoznpodarou"/>
          <w:rFonts w:eastAsiaTheme="majorEastAsia"/>
        </w:rPr>
        <w:footnoteReference w:id="183"/>
      </w:r>
      <w:r w:rsidRPr="00976A97">
        <w:t xml:space="preserve"> K uveřejnění těchto procentních podílů musí dojít minimálně měsíc před začátkem zdaňovacího období.</w:t>
      </w:r>
    </w:p>
    <w:p w14:paraId="17B2094D" w14:textId="77777777" w:rsidR="00A02C80" w:rsidRPr="00976A97" w:rsidRDefault="00A02C80" w:rsidP="000D6E6B">
      <w:pPr>
        <w:pStyle w:val="Nadpis3"/>
        <w:keepNext/>
        <w:spacing w:line="360" w:lineRule="auto"/>
        <w:ind w:left="1077" w:hanging="1077"/>
        <w:jc w:val="both"/>
        <w:rPr>
          <w:rFonts w:ascii="Times New Roman" w:hAnsi="Times New Roman" w:cs="Times New Roman"/>
        </w:rPr>
      </w:pPr>
      <w:bookmarkStart w:id="42" w:name="_Toc23362439"/>
      <w:r w:rsidRPr="00976A97">
        <w:rPr>
          <w:rFonts w:ascii="Times New Roman" w:hAnsi="Times New Roman" w:cs="Times New Roman"/>
        </w:rPr>
        <w:t>Část celostátního hrubého výnosu daně z hazardních her odpovídající výši ostatním dílčím daním</w:t>
      </w:r>
      <w:bookmarkEnd w:id="42"/>
    </w:p>
    <w:p w14:paraId="241B89DE" w14:textId="77777777" w:rsidR="00A02C80" w:rsidRPr="00976A97" w:rsidRDefault="00A02C80" w:rsidP="00A02C80">
      <w:pPr>
        <w:pStyle w:val="Odstavec1"/>
      </w:pPr>
      <w:r w:rsidRPr="00976A97">
        <w:t>Část celostátního hrubého výnosu daně z hazardních her odpovídající výši ostatním dílčím daní, vyjma dílčí daně z technických her, se rovněž dělí mezi státní rozpočet a obecní rozpočet v poměru 7:3. Naprosto shodné procentuální řešení bylo i v případě odvodu z loterií a jiných podobných her. Při výpočtu rozdělování daně mezi jednotlivé obce již nehraje roli, kolik povolených koncových zařízení se na území obce objevuje, protože dochází k rozdělení daně mezi všechny obce, přičemž výpočet je obdobný jako při výpočtu procentního podílu u výnosu daně z příjmů právnických osob.</w:t>
      </w:r>
      <w:r w:rsidRPr="00976A97">
        <w:rPr>
          <w:rStyle w:val="Znakapoznpodarou"/>
          <w:rFonts w:eastAsiaTheme="majorEastAsia"/>
        </w:rPr>
        <w:footnoteReference w:id="184"/>
      </w:r>
    </w:p>
    <w:p w14:paraId="4F84DAA5" w14:textId="77777777" w:rsidR="00A02C80" w:rsidRPr="00976A97" w:rsidRDefault="00A02C80" w:rsidP="00A02C80">
      <w:pPr>
        <w:pStyle w:val="Nadpis3"/>
        <w:spacing w:line="360" w:lineRule="auto"/>
        <w:jc w:val="both"/>
        <w:rPr>
          <w:rFonts w:ascii="Times New Roman" w:hAnsi="Times New Roman" w:cs="Times New Roman"/>
        </w:rPr>
      </w:pPr>
      <w:bookmarkStart w:id="43" w:name="_Toc23362440"/>
      <w:r w:rsidRPr="00976A97">
        <w:rPr>
          <w:rFonts w:ascii="Times New Roman" w:hAnsi="Times New Roman" w:cs="Times New Roman"/>
        </w:rPr>
        <w:t>Příslušenství daně</w:t>
      </w:r>
      <w:bookmarkEnd w:id="43"/>
    </w:p>
    <w:p w14:paraId="36C4D358" w14:textId="77777777" w:rsidR="00A02C80" w:rsidRPr="00976A97" w:rsidRDefault="00A02C80" w:rsidP="00A02C80">
      <w:pPr>
        <w:pStyle w:val="Odstavec1"/>
      </w:pPr>
      <w:r w:rsidRPr="00976A97">
        <w:t>Jako poslední nám zbývá rozpočtové určení příslušenství daně. Příslušenstvím daně jsou úroky, penále,</w:t>
      </w:r>
      <w:r w:rsidR="00450BE9">
        <w:t xml:space="preserve"> peněžní</w:t>
      </w:r>
      <w:r w:rsidRPr="00976A97">
        <w:t xml:space="preserve"> pokuty a náklady řízení, které jsou uloženy nebo vzniknou na základě daňového zákona. Úroky, penále a pokuta za opožděné tvrzení daně obecně sledují stejný osud jako daň.</w:t>
      </w:r>
      <w:r w:rsidRPr="00976A97">
        <w:rPr>
          <w:rStyle w:val="Znakapoznpodarou"/>
          <w:rFonts w:eastAsiaTheme="majorEastAsia"/>
        </w:rPr>
        <w:footnoteReference w:id="185"/>
      </w:r>
    </w:p>
    <w:p w14:paraId="37ECA3EC" w14:textId="77777777" w:rsidR="00B4078A" w:rsidRDefault="00A02C80" w:rsidP="00A02C80">
      <w:pPr>
        <w:pStyle w:val="Dalodstavce"/>
      </w:pPr>
      <w:r w:rsidRPr="00976A97">
        <w:lastRenderedPageBreak/>
        <w:t xml:space="preserve">V případě daně z hazardních her se bude jednat o úrok z posečkané částky, úrok z prodlení a penále. Pokuta za opožděné tvrzení daně se zde totiž neuplatňuje, protože v případě nepodání daňového přiznání v zákonné lhůtě, se má daň za tvrzenou </w:t>
      </w:r>
      <w:r w:rsidR="000D6E6B">
        <w:t>v nulové výši</w:t>
      </w:r>
      <w:r w:rsidRPr="00976A97">
        <w:t>. Výše zmíněné příslušenství daně aplikovatelné u daně z hazardních her by tak obecně sledovalo osud daně, tudíž by bylo jak příjmem státního rozpočtu, tak i obecního. Jelikož se nejednalo o markantní částky a převádění těchto prostředků obcím se nejevilo jako hospodárné řešení, zákonodárce stanovil, že příslušenství daně, kter</w:t>
      </w:r>
      <w:r>
        <w:t>é</w:t>
      </w:r>
      <w:r w:rsidRPr="00976A97">
        <w:t xml:space="preserve"> její osud sleduje, bude příjmem jen státního rozpočtu.</w:t>
      </w:r>
      <w:r w:rsidRPr="00976A97">
        <w:rPr>
          <w:rStyle w:val="Znakapoznpodarou"/>
          <w:rFonts w:eastAsiaTheme="majorEastAsia"/>
        </w:rPr>
        <w:footnoteReference w:id="186"/>
      </w:r>
      <w:r w:rsidRPr="00976A97">
        <w:t xml:space="preserve"> Loterní zákon rozpočtové určení příslušenství daně neupravoval, subsidiárně se tak použila úprava obsažená v</w:t>
      </w:r>
      <w:r w:rsidR="00F62B77">
        <w:t xml:space="preserve"> daňovém řádu, </w:t>
      </w:r>
      <w:r w:rsidRPr="00976A97">
        <w:t>tj. příslušenství sledovalo osud daně a dělilo se tedy mezi obecní a státní rozpočty ve stanoveném poměru.</w:t>
      </w:r>
    </w:p>
    <w:p w14:paraId="0C595D1E" w14:textId="77777777" w:rsidR="00A02C80" w:rsidRDefault="00A02C80" w:rsidP="00A02C80">
      <w:pPr>
        <w:pStyle w:val="Nadpis1"/>
      </w:pPr>
      <w:bookmarkStart w:id="44" w:name="_Toc44451455"/>
      <w:r>
        <w:lastRenderedPageBreak/>
        <w:t>Správa daně</w:t>
      </w:r>
      <w:r w:rsidR="00B91AFA">
        <w:t xml:space="preserve"> z hazardních her</w:t>
      </w:r>
      <w:bookmarkEnd w:id="44"/>
    </w:p>
    <w:p w14:paraId="5B560D35" w14:textId="77777777" w:rsidR="00A02C80" w:rsidRPr="00976A97" w:rsidRDefault="00A02C80" w:rsidP="00A02C80">
      <w:pPr>
        <w:pStyle w:val="Odstavec1"/>
      </w:pPr>
      <w:r w:rsidRPr="00976A97">
        <w:t>Správou daně ve smyslu daňového řádu můžeme chápat jako postup správců daně a realizaci práv</w:t>
      </w:r>
      <w:r w:rsidR="00AD4629">
        <w:t xml:space="preserve"> a povinností osob zúčastněných</w:t>
      </w:r>
      <w:r w:rsidRPr="00976A97">
        <w:t xml:space="preserve"> za účelem správného zjištění a stanovení daně</w:t>
      </w:r>
      <w:r w:rsidR="00AD4629">
        <w:t>,</w:t>
      </w:r>
      <w:r w:rsidRPr="00976A97">
        <w:t xml:space="preserve"> a následného zabezpečení jejího uhrazení.</w:t>
      </w:r>
      <w:r w:rsidRPr="00976A97">
        <w:rPr>
          <w:rStyle w:val="Znakapoznpodarou"/>
          <w:rFonts w:ascii="Times New Roman" w:hAnsi="Times New Roman"/>
        </w:rPr>
        <w:footnoteReference w:id="187"/>
      </w:r>
      <w:r w:rsidRPr="00976A97">
        <w:t xml:space="preserve"> V loterním zákoně speciální úprava správy odvodu absentovala a postupovalo se </w:t>
      </w:r>
      <w:r w:rsidR="00E45562">
        <w:t>výlučně</w:t>
      </w:r>
      <w:r w:rsidRPr="00976A97">
        <w:t xml:space="preserve"> podle daňového řádu.</w:t>
      </w:r>
      <w:r w:rsidRPr="00976A97">
        <w:rPr>
          <w:rStyle w:val="Znakapoznpodarou"/>
          <w:rFonts w:ascii="Times New Roman" w:hAnsi="Times New Roman"/>
        </w:rPr>
        <w:footnoteReference w:id="188"/>
      </w:r>
      <w:r w:rsidRPr="00976A97">
        <w:t xml:space="preserve"> Pro správu daně z hazardních her se také obecně použije právní úprava správy daně obsažená v daňovém řádu. Nicméně v části druhé zákona o dani z hazardních her jsou upravena ustanovení vztahující se ke správě daně z hazardních her, jež jsou lex speci</w:t>
      </w:r>
      <w:r w:rsidR="00BB00A4">
        <w:t>alis v</w:t>
      </w:r>
      <w:r w:rsidR="00AC35B8">
        <w:t>ůči úpravě v daňovém řádu, který</w:t>
      </w:r>
      <w:r w:rsidR="00BB00A4">
        <w:t xml:space="preserve"> v oblasti </w:t>
      </w:r>
      <w:r w:rsidR="00AC35B8">
        <w:t xml:space="preserve">správy </w:t>
      </w:r>
      <w:r w:rsidR="00BB00A4">
        <w:t>daní vystupuje jako lex generalis.</w:t>
      </w:r>
      <w:r w:rsidRPr="00976A97">
        <w:rPr>
          <w:rStyle w:val="Znakapoznpodarou"/>
          <w:rFonts w:ascii="Times New Roman" w:hAnsi="Times New Roman"/>
        </w:rPr>
        <w:footnoteReference w:id="189"/>
      </w:r>
      <w:r w:rsidRPr="00976A97">
        <w:t xml:space="preserve"> Zvláštní úprava obsažená v zákoně o dani z hazardních her má přednost před obecnou úpravou v daňovém řádu. Subsidiárně se daňový řád použije tam, kde daná problematika není upravena zákonem o dani z hazardních her.</w:t>
      </w:r>
      <w:r w:rsidRPr="00976A97">
        <w:rPr>
          <w:rStyle w:val="Znakapoznpodarou"/>
          <w:rFonts w:ascii="Times New Roman" w:hAnsi="Times New Roman"/>
        </w:rPr>
        <w:footnoteReference w:id="190"/>
      </w:r>
      <w:r w:rsidRPr="00976A97">
        <w:t xml:space="preserve"> S ohledem na specifika vycházející z předmětu správy daně, tj. daně sensu largo,</w:t>
      </w:r>
      <w:r w:rsidR="008F439B">
        <w:rPr>
          <w:rStyle w:val="Znakapoznpodarou"/>
        </w:rPr>
        <w:footnoteReference w:id="191"/>
      </w:r>
      <w:r w:rsidR="008F439B">
        <w:t xml:space="preserve"> se při výkonu správy daní</w:t>
      </w:r>
      <w:r w:rsidRPr="00976A97">
        <w:t xml:space="preserve"> dle správního řádu nepostupuje ani subsidiárně. Navíc právní úprava správy daně v daňovém řádu je natolik komplexní, že by obecně aplikace správního řádu přicházela v</w:t>
      </w:r>
      <w:r w:rsidR="00EC3295">
        <w:t> </w:t>
      </w:r>
      <w:r w:rsidRPr="00976A97">
        <w:t>úvahu</w:t>
      </w:r>
      <w:r w:rsidR="00EC3295">
        <w:t xml:space="preserve"> </w:t>
      </w:r>
      <w:r w:rsidR="00BB00A4">
        <w:t xml:space="preserve">opravdu </w:t>
      </w:r>
      <w:r w:rsidRPr="00976A97">
        <w:t>jen ojediněle.</w:t>
      </w:r>
      <w:r w:rsidRPr="00976A97">
        <w:rPr>
          <w:rStyle w:val="Znakapoznpodarou"/>
          <w:rFonts w:ascii="Times New Roman" w:hAnsi="Times New Roman"/>
        </w:rPr>
        <w:footnoteReference w:id="192"/>
      </w:r>
    </w:p>
    <w:p w14:paraId="0F4584C5" w14:textId="307B0C9D" w:rsidR="00A02C80" w:rsidRPr="00976A97" w:rsidRDefault="00A02C80" w:rsidP="00A02C80">
      <w:pPr>
        <w:pStyle w:val="Dalodstavce"/>
      </w:pPr>
      <w:r w:rsidRPr="00976A97">
        <w:t xml:space="preserve">K realizaci správy daně dochází prostřednictvím činností subjektů správy daně. Na jedné straně </w:t>
      </w:r>
      <w:r w:rsidRPr="00A02C80">
        <w:rPr>
          <w:rStyle w:val="DalodstavceChar"/>
        </w:rPr>
        <w:t>procesn</w:t>
      </w:r>
      <w:r w:rsidR="00782CA5">
        <w:rPr>
          <w:rStyle w:val="DalodstavceChar"/>
        </w:rPr>
        <w:t>ě</w:t>
      </w:r>
      <w:r w:rsidR="0078782B">
        <w:t xml:space="preserve"> </w:t>
      </w:r>
      <w:r w:rsidRPr="00976A97">
        <w:t xml:space="preserve">daňověprávního vztahu stojí správce daně jako orgán veřejné moci, na druhé straně to jsou pak daňové subjekty, tedy plátce a poplatník. </w:t>
      </w:r>
      <w:r w:rsidR="00A86251">
        <w:t>Loterní zákon explicite vymezoval věcnou příslušnost správce daně, která příslušela finančním úřadům</w:t>
      </w:r>
      <w:r w:rsidRPr="00976A97">
        <w:t>.</w:t>
      </w:r>
      <w:r w:rsidRPr="00976A97">
        <w:rPr>
          <w:rStyle w:val="Znakapoznpodarou"/>
          <w:rFonts w:ascii="Times New Roman" w:hAnsi="Times New Roman"/>
        </w:rPr>
        <w:footnoteReference w:id="193"/>
      </w:r>
      <w:r w:rsidR="0097311C">
        <w:t xml:space="preserve"> </w:t>
      </w:r>
      <w:r w:rsidRPr="00976A97">
        <w:t xml:space="preserve"> Z hlediska absence úpravy správce daně v zákoně o dani z hazardních her, je nutné vyjít z obecné úpravy v</w:t>
      </w:r>
      <w:r>
        <w:t> </w:t>
      </w:r>
      <w:r w:rsidRPr="00976A97">
        <w:t>zákoně</w:t>
      </w:r>
      <w:r>
        <w:t xml:space="preserve"> č. 456/2011 Sb., Zákon</w:t>
      </w:r>
      <w:r w:rsidRPr="00976A97">
        <w:t xml:space="preserve"> o Finanční správě České republiky</w:t>
      </w:r>
      <w:r w:rsidR="006A5680">
        <w:t>, ve znění pozdějších předpisů (dále jen „zákon o Finanční správě“)</w:t>
      </w:r>
      <w:r w:rsidR="00EF2D7B">
        <w:t>,</w:t>
      </w:r>
      <w:r w:rsidRPr="00976A97">
        <w:t xml:space="preserve"> a v daňovém řádu. Abychom určili správce daně, který je oprávněn k výkonu správy daně z hazardních her, bude nejdříve nutné </w:t>
      </w:r>
      <w:r w:rsidR="0062601C">
        <w:t>určení</w:t>
      </w:r>
      <w:r w:rsidRPr="00976A97">
        <w:t xml:space="preserve"> věcné, místní a v některých případech i speciální </w:t>
      </w:r>
      <w:r w:rsidRPr="00976A97">
        <w:lastRenderedPageBreak/>
        <w:t>osobní příslušnosti.</w:t>
      </w:r>
      <w:r w:rsidR="00DA34F1">
        <w:rPr>
          <w:rStyle w:val="Znakapoznpodarou"/>
        </w:rPr>
        <w:footnoteReference w:id="194"/>
      </w:r>
      <w:r w:rsidRPr="00976A97">
        <w:t xml:space="preserve"> </w:t>
      </w:r>
      <w:r w:rsidR="00A8040D">
        <w:t>Jak plyne z obecné úpravy, v</w:t>
      </w:r>
      <w:r w:rsidRPr="00976A97">
        <w:t>ěcně příslušné ke s</w:t>
      </w:r>
      <w:r w:rsidR="00285A55">
        <w:t>právě daně</w:t>
      </w:r>
      <w:r w:rsidR="00EF2D7B">
        <w:t xml:space="preserve"> z hazardních her v prvním</w:t>
      </w:r>
      <w:r w:rsidRPr="00976A97">
        <w:t xml:space="preserve"> stupni jsou </w:t>
      </w:r>
      <w:r w:rsidR="00DB7081">
        <w:t>též</w:t>
      </w:r>
      <w:r w:rsidR="0014205D">
        <w:t xml:space="preserve"> </w:t>
      </w:r>
      <w:r w:rsidRPr="00976A97">
        <w:t>finanční úřady.</w:t>
      </w:r>
      <w:r w:rsidRPr="00976A97">
        <w:rPr>
          <w:rStyle w:val="Znakapoznpodarou"/>
          <w:rFonts w:ascii="Times New Roman" w:hAnsi="Times New Roman"/>
        </w:rPr>
        <w:footnoteReference w:id="195"/>
      </w:r>
      <w:r w:rsidRPr="00976A97">
        <w:t xml:space="preserve"> </w:t>
      </w:r>
      <w:r w:rsidR="008D641C">
        <w:t>Troufám si říci</w:t>
      </w:r>
      <w:r w:rsidR="00A8040D">
        <w:t>, že z</w:t>
      </w:r>
      <w:r w:rsidR="004D6591">
        <w:t xml:space="preserve">vláštní ustanovení o věcné příslušnosti správce daně bylo </w:t>
      </w:r>
      <w:r w:rsidR="00A8040D">
        <w:t>nesmyslně a nadbytečně implementováno do loterního zákona, když de facto jen parafrázovalo obecnou úpra</w:t>
      </w:r>
      <w:r w:rsidR="00B67C1D">
        <w:t xml:space="preserve">vu </w:t>
      </w:r>
      <w:r w:rsidR="00191654">
        <w:t>obsaženou v zákoně</w:t>
      </w:r>
      <w:r w:rsidR="00B67C1D">
        <w:t xml:space="preserve"> o Finanční správě, dle které by se při absenci této normy postupovalo.</w:t>
      </w:r>
      <w:r w:rsidR="00A8040D">
        <w:t xml:space="preserve"> </w:t>
      </w:r>
      <w:r w:rsidR="008D641C">
        <w:t>Místní příslušnost byla za účinnosti loterního zákona</w:t>
      </w:r>
      <w:r w:rsidR="00D35936">
        <w:t xml:space="preserve"> shodně</w:t>
      </w:r>
      <w:r w:rsidR="0010788B">
        <w:t xml:space="preserve"> jako nyní ponechána na obecné </w:t>
      </w:r>
      <w:r w:rsidR="008D641C">
        <w:t xml:space="preserve">úpravě </w:t>
      </w:r>
      <w:r w:rsidR="006A6FF7">
        <w:t>daňového</w:t>
      </w:r>
      <w:r w:rsidR="008D641C">
        <w:t xml:space="preserve"> řádu. </w:t>
      </w:r>
      <w:r w:rsidRPr="00976A97">
        <w:t xml:space="preserve">Místní příslušnost správce daně se </w:t>
      </w:r>
      <w:r w:rsidR="003B4A62">
        <w:t xml:space="preserve">tradičně </w:t>
      </w:r>
      <w:r w:rsidR="00CE35D9">
        <w:t>řídí</w:t>
      </w:r>
      <w:r w:rsidR="003B4A62">
        <w:t xml:space="preserve"> umístění</w:t>
      </w:r>
      <w:r w:rsidR="00202474">
        <w:t>m</w:t>
      </w:r>
      <w:r w:rsidR="003B4A62">
        <w:t xml:space="preserve"> daňové</w:t>
      </w:r>
      <w:r w:rsidR="00CE35D9">
        <w:t>ho</w:t>
      </w:r>
      <w:r w:rsidR="003B4A62">
        <w:t xml:space="preserve"> subjektu. </w:t>
      </w:r>
      <w:r w:rsidR="00A86EAB">
        <w:t xml:space="preserve">Základním kritériem </w:t>
      </w:r>
      <w:r w:rsidR="005C0162">
        <w:t xml:space="preserve">jejího </w:t>
      </w:r>
      <w:r w:rsidR="00A86EAB">
        <w:t xml:space="preserve">určení </w:t>
      </w:r>
      <w:r w:rsidR="005C0162">
        <w:t>u</w:t>
      </w:r>
      <w:r w:rsidR="00A86EAB">
        <w:t xml:space="preserve"> právnických osob je její sídlo. Daňový řád </w:t>
      </w:r>
      <w:r w:rsidR="00BA1327">
        <w:t xml:space="preserve">jej </w:t>
      </w:r>
      <w:r w:rsidR="00A86EAB">
        <w:t>vymezuje jako adresu, pod kterou je právnická osoba zapsána v příslušném veřejném rejstříku.</w:t>
      </w:r>
      <w:r w:rsidR="0014602A">
        <w:t xml:space="preserve"> Pokud vznik právnické osoby není podmíněn zápisem do veřejného rejstříku, považuje se za sídlo adresa, kde fakticky sídlí.</w:t>
      </w:r>
      <w:r w:rsidR="00BA1327">
        <w:rPr>
          <w:rStyle w:val="Znakapoznpodarou"/>
        </w:rPr>
        <w:footnoteReference w:id="196"/>
      </w:r>
      <w:r w:rsidR="0014602A">
        <w:t xml:space="preserve"> </w:t>
      </w:r>
      <w:r w:rsidR="0010788B">
        <w:t>U fyzických osob je pak takovým kritériem místo pobytu</w:t>
      </w:r>
      <w:r w:rsidR="00D35936">
        <w:t>, přičemž pobytem daňový řád chápe zásadně místo trvalého pobytu</w:t>
      </w:r>
      <w:r w:rsidR="00605E85">
        <w:t>,</w:t>
      </w:r>
      <w:r w:rsidR="00605E85">
        <w:rPr>
          <w:rStyle w:val="Znakapoznpodarou"/>
        </w:rPr>
        <w:footnoteReference w:id="197"/>
      </w:r>
      <w:r w:rsidR="00605E85">
        <w:t xml:space="preserve"> tak jak je uvedeno v registru obyvatel</w:t>
      </w:r>
      <w:r w:rsidR="005C0162">
        <w:t>,</w:t>
      </w:r>
      <w:r w:rsidR="006A6FF7">
        <w:t xml:space="preserve"> a to</w:t>
      </w:r>
      <w:r w:rsidR="00D35936">
        <w:t xml:space="preserve"> </w:t>
      </w:r>
      <w:r w:rsidR="00817A9A">
        <w:t>i přesto</w:t>
      </w:r>
      <w:r w:rsidR="005C0162">
        <w:t>že se</w:t>
      </w:r>
      <w:r w:rsidR="00817A9A">
        <w:t xml:space="preserve"> osoba na daném místě skutečně nezdržuje. </w:t>
      </w:r>
      <w:r w:rsidR="00D35936">
        <w:t xml:space="preserve">Daňový řád </w:t>
      </w:r>
      <w:r w:rsidR="005C0162">
        <w:t>se</w:t>
      </w:r>
      <w:r w:rsidR="00817A9A">
        <w:t xml:space="preserve"> totiž</w:t>
      </w:r>
      <w:r w:rsidR="005C0162">
        <w:t xml:space="preserve"> u způsobu </w:t>
      </w:r>
      <w:r w:rsidR="0062601C">
        <w:t>stanovení</w:t>
      </w:r>
      <w:r w:rsidR="005C0162">
        <w:t xml:space="preserve"> místn</w:t>
      </w:r>
      <w:r w:rsidR="0062601C">
        <w:t>í</w:t>
      </w:r>
      <w:r w:rsidR="005C0162">
        <w:t xml:space="preserve"> přísluš</w:t>
      </w:r>
      <w:r w:rsidR="0062601C">
        <w:t xml:space="preserve">nosti </w:t>
      </w:r>
      <w:r w:rsidR="005C0162">
        <w:t xml:space="preserve">správce daně </w:t>
      </w:r>
      <w:r w:rsidR="00D35936">
        <w:t xml:space="preserve">odklání od důrazu na </w:t>
      </w:r>
      <w:r w:rsidR="005C0162">
        <w:t>faktický</w:t>
      </w:r>
      <w:r w:rsidR="00D35936">
        <w:t xml:space="preserve"> stav</w:t>
      </w:r>
      <w:r w:rsidR="005C0162">
        <w:t xml:space="preserve"> </w:t>
      </w:r>
      <w:r w:rsidR="00D35936">
        <w:t>věcí</w:t>
      </w:r>
      <w:r w:rsidR="005C0162">
        <w:t xml:space="preserve">, když upřednostňuje obecný zájem na právní jistotě. </w:t>
      </w:r>
      <w:r w:rsidR="004C796B" w:rsidRPr="00976A97">
        <w:t>Jelikož novou právní úpravou došlo k otevření českého t</w:t>
      </w:r>
      <w:r w:rsidR="004C796B">
        <w:t xml:space="preserve">rhu zahraničním subjektům, které </w:t>
      </w:r>
      <w:r w:rsidR="004C796B" w:rsidRPr="00976A97">
        <w:t>jsou také poplatníky daně, je nutné určit správce daně i vzhledem k těmto subjektům. Z výš</w:t>
      </w:r>
      <w:r w:rsidR="004C796B">
        <w:t>e uvedeného je zřejmé, že obecný princip umístění daňového subjektu v daném případě aplikovat nelze</w:t>
      </w:r>
      <w:r w:rsidR="004C796B" w:rsidRPr="00976A97">
        <w:t xml:space="preserve">, protože zahraniční provozovatelé hazardních her budou mít </w:t>
      </w:r>
      <w:r w:rsidR="004C796B">
        <w:t xml:space="preserve">zpravidla </w:t>
      </w:r>
      <w:r w:rsidR="004C796B" w:rsidRPr="00976A97">
        <w:t>sídlo mimo území Če</w:t>
      </w:r>
      <w:r w:rsidR="0078141C">
        <w:t>ské republiky. T</w:t>
      </w:r>
      <w:r w:rsidR="00147960">
        <w:t>o</w:t>
      </w:r>
      <w:r w:rsidR="0078141C">
        <w:t>to obecn</w:t>
      </w:r>
      <w:r w:rsidR="00147960">
        <w:t>é</w:t>
      </w:r>
      <w:r w:rsidR="0078141C">
        <w:t xml:space="preserve"> pravidl</w:t>
      </w:r>
      <w:r w:rsidR="00147960">
        <w:t>o</w:t>
      </w:r>
      <w:r w:rsidR="0078141C">
        <w:t xml:space="preserve"> nebud</w:t>
      </w:r>
      <w:r w:rsidR="00147960">
        <w:t>e</w:t>
      </w:r>
      <w:r w:rsidR="0078141C">
        <w:t xml:space="preserve"> aplikovateln</w:t>
      </w:r>
      <w:r w:rsidR="00147960">
        <w:t>é</w:t>
      </w:r>
      <w:r w:rsidR="0078141C">
        <w:t xml:space="preserve"> ani u svěřenských fondů, které z povahy věci </w:t>
      </w:r>
      <w:r w:rsidR="0062601C">
        <w:t xml:space="preserve">sídlem </w:t>
      </w:r>
      <w:r w:rsidR="00F5192E">
        <w:t xml:space="preserve">ani </w:t>
      </w:r>
      <w:r w:rsidR="0078141C">
        <w:t xml:space="preserve">nedisponují. Pro </w:t>
      </w:r>
      <w:r w:rsidR="009A720B">
        <w:t>t</w:t>
      </w:r>
      <w:r w:rsidR="0078141C">
        <w:t xml:space="preserve">yto </w:t>
      </w:r>
      <w:r w:rsidR="009A720B">
        <w:t>případy se uplatní podpůrné pravidlo, kdy místní příslušnost náleží Finančnímu úřadu pro hlavní město Prahu</w:t>
      </w:r>
      <w:r w:rsidR="004C796B" w:rsidRPr="00976A97">
        <w:t>.</w:t>
      </w:r>
      <w:r w:rsidR="004C796B" w:rsidRPr="00976A97">
        <w:rPr>
          <w:rStyle w:val="Znakapoznpodarou"/>
          <w:rFonts w:ascii="Times New Roman" w:hAnsi="Times New Roman"/>
        </w:rPr>
        <w:footnoteReference w:id="198"/>
      </w:r>
      <w:r w:rsidR="004C796B" w:rsidRPr="00976A97">
        <w:t xml:space="preserve"> </w:t>
      </w:r>
      <w:r w:rsidR="00365ACD">
        <w:t xml:space="preserve">Jak jsem uvedla výše, </w:t>
      </w:r>
      <w:r w:rsidR="000C2DE7">
        <w:t>u vybraných subjektů</w:t>
      </w:r>
      <w:r w:rsidR="00365ACD">
        <w:t xml:space="preserve"> </w:t>
      </w:r>
      <w:r w:rsidR="000819C5">
        <w:t>se uplatní speciální osobní příslušnost ke Specializovanému finančnímu úřadu</w:t>
      </w:r>
      <w:r w:rsidR="003E69BE">
        <w:t xml:space="preserve"> (dále jen „SFÚ“</w:t>
      </w:r>
      <w:r w:rsidR="000C2DE7">
        <w:t>), který disponuje shodnými věcnými kompetencemi jako finanční úřady.</w:t>
      </w:r>
      <w:r w:rsidR="00D4096F">
        <w:t xml:space="preserve"> Od finančních úřadů se liší právě osobní působností, kdy </w:t>
      </w:r>
      <w:r w:rsidR="00DB7081">
        <w:t xml:space="preserve">SFÚ </w:t>
      </w:r>
      <w:r w:rsidR="00D4096F">
        <w:t>spravuje velké a specifické daňové subjekty. Mezi tyto subjekty mohou spadat i poplatníci daně z hazardních her</w:t>
      </w:r>
      <w:r w:rsidRPr="00976A97">
        <w:t xml:space="preserve">, kterými jsou právnické osoby založené za účelem podnikání a </w:t>
      </w:r>
      <w:r w:rsidR="00A4166E">
        <w:t>so</w:t>
      </w:r>
      <w:r w:rsidR="00F63AD8">
        <w:t xml:space="preserve">učasně docílí obratu </w:t>
      </w:r>
      <w:r w:rsidR="00F63AD8">
        <w:lastRenderedPageBreak/>
        <w:t>vyššího</w:t>
      </w:r>
      <w:r w:rsidR="00A4166E">
        <w:t xml:space="preserve"> než dvě</w:t>
      </w:r>
      <w:r w:rsidR="001415A6">
        <w:t xml:space="preserve"> miliard</w:t>
      </w:r>
      <w:r w:rsidR="00A4166E">
        <w:t>y</w:t>
      </w:r>
      <w:r w:rsidR="001C610F">
        <w:t xml:space="preserve"> českých korun</w:t>
      </w:r>
      <w:r w:rsidR="00D4096F">
        <w:t>.</w:t>
      </w:r>
      <w:r w:rsidRPr="00976A97">
        <w:rPr>
          <w:rStyle w:val="Znakapoznpodarou"/>
          <w:rFonts w:ascii="Times New Roman" w:hAnsi="Times New Roman"/>
        </w:rPr>
        <w:footnoteReference w:id="199"/>
      </w:r>
      <w:r w:rsidRPr="00976A97">
        <w:t xml:space="preserve"> Je také nutné podotknout, že k řádné správě daně z hazardních her je mnohdy nezbytné, aby správce daně disponoval značně odbornými znalostmi z oblasti hazardních her, a vzhledem k tomu, že se jedná o relativně novou problematiku, může dojít k situaci, kdy místně příslušný finanční úřad nebude v určitých př</w:t>
      </w:r>
      <w:r w:rsidR="00CD6869">
        <w:t xml:space="preserve">ípadech dostatečně kvalifikován, eventuálně daňovým subjektem bude nelegální provozovatel, který se správcem daně nebude </w:t>
      </w:r>
      <w:r w:rsidR="00285A55">
        <w:t xml:space="preserve">ochoten </w:t>
      </w:r>
      <w:r w:rsidR="00CD6869">
        <w:t>spolupracovat.</w:t>
      </w:r>
      <w:r w:rsidRPr="00976A97">
        <w:t xml:space="preserve"> Místně příslušný správce daně je oprávněn využít institutu delegace místní příslušnosti k výkonu správy daně na jiného věcně příslušného správce.</w:t>
      </w:r>
      <w:r w:rsidRPr="00976A97">
        <w:rPr>
          <w:rStyle w:val="Znakapoznpodarou"/>
          <w:rFonts w:ascii="Times New Roman" w:hAnsi="Times New Roman"/>
        </w:rPr>
        <w:footnoteReference w:id="200"/>
      </w:r>
      <w:r w:rsidRPr="00976A97">
        <w:t xml:space="preserve"> Delegace je obecně možná v případě potřebnosti mimořádných odborných znalostí pro výkon správy daně nebo za předpokladu její účelnosti. </w:t>
      </w:r>
      <w:r w:rsidR="006A54FE">
        <w:t xml:space="preserve">V případě </w:t>
      </w:r>
      <w:r w:rsidR="00254AE3">
        <w:t xml:space="preserve">poplatníka daně z </w:t>
      </w:r>
      <w:r w:rsidR="006A54FE">
        <w:t xml:space="preserve">hazardních her by se dalo polemizovat o delegaci právě na </w:t>
      </w:r>
      <w:r w:rsidR="003E69BE">
        <w:t>SFÚ</w:t>
      </w:r>
      <w:r w:rsidR="006A54FE">
        <w:t>. Jedná se o vysoce odborně zaměřený státní orgán s celorepublikovou územní působností</w:t>
      </w:r>
      <w:r w:rsidR="009425EA">
        <w:t xml:space="preserve">, který má navíc bohatou praxi </w:t>
      </w:r>
      <w:r w:rsidR="007675E1">
        <w:t xml:space="preserve">v oblasti hazardních her, </w:t>
      </w:r>
      <w:r w:rsidR="009425EA">
        <w:t>neboť</w:t>
      </w:r>
      <w:r w:rsidR="007675E1">
        <w:t xml:space="preserve"> v období </w:t>
      </w:r>
      <w:r w:rsidR="00D74175">
        <w:t xml:space="preserve">od </w:t>
      </w:r>
      <w:r w:rsidR="007675E1">
        <w:t>roku 2013 až</w:t>
      </w:r>
      <w:r w:rsidR="00D74175">
        <w:t xml:space="preserve"> do</w:t>
      </w:r>
      <w:r w:rsidR="007675E1">
        <w:t xml:space="preserve"> roku 2017 vykonával státní dozor nad loteriemi.</w:t>
      </w:r>
      <w:r w:rsidR="007675E1">
        <w:rPr>
          <w:rStyle w:val="Znakapoznpodarou"/>
        </w:rPr>
        <w:footnoteReference w:id="201"/>
      </w:r>
    </w:p>
    <w:p w14:paraId="79033D39" w14:textId="77777777" w:rsidR="00A02C80" w:rsidRPr="00976A97" w:rsidRDefault="00A02C80" w:rsidP="00A02C80">
      <w:pPr>
        <w:pStyle w:val="Dalodstavce"/>
      </w:pPr>
      <w:r w:rsidRPr="00976A97">
        <w:t xml:space="preserve">V obecné rovině daňového práva je správce daně vázán mlčenlivostí, to znamená, že není oprávněn poskytovat informace o skutečnostech, o kterých </w:t>
      </w:r>
      <w:r w:rsidR="007503F8">
        <w:t xml:space="preserve">se </w:t>
      </w:r>
      <w:r w:rsidR="00254AE3">
        <w:t xml:space="preserve">z titulu své účasti na správě daně </w:t>
      </w:r>
      <w:r w:rsidRPr="00976A97">
        <w:t>o daňovém subjektu dozvěděl. Nicméně je možné prolomení povinnosti mlčenlivosti úředních osob a osob zúčastněných na správě daní na základě ustanovení daňového řádu.</w:t>
      </w:r>
      <w:r w:rsidRPr="00976A97">
        <w:rPr>
          <w:rStyle w:val="Znakapoznpodarou"/>
          <w:rFonts w:ascii="Times New Roman" w:hAnsi="Times New Roman"/>
        </w:rPr>
        <w:footnoteReference w:id="202"/>
      </w:r>
      <w:r w:rsidRPr="00976A97">
        <w:t xml:space="preserve"> Kromě uvedených výjimek ze zákazu poskytování informací v daňovém řádu došlo i k zakotvení prolomení mlčenlivosti správce daně přímo v zákoně o dani z hazardních her.</w:t>
      </w:r>
      <w:r w:rsidRPr="00976A97">
        <w:rPr>
          <w:rStyle w:val="Znakapoznpodarou"/>
          <w:rFonts w:ascii="Times New Roman" w:hAnsi="Times New Roman"/>
        </w:rPr>
        <w:footnoteReference w:id="203"/>
      </w:r>
      <w:r w:rsidRPr="00976A97">
        <w:t xml:space="preserve"> Díky tomuto ustanovení, které je speciální k ustanovení v daňovém řádu upravující daňovou mlčenlivost,</w:t>
      </w:r>
      <w:r w:rsidRPr="00976A97">
        <w:rPr>
          <w:rStyle w:val="Znakapoznpodarou"/>
          <w:rFonts w:ascii="Times New Roman" w:hAnsi="Times New Roman"/>
        </w:rPr>
        <w:footnoteReference w:id="204"/>
      </w:r>
      <w:r w:rsidRPr="00976A97">
        <w:t xml:space="preserve"> má správce daně informační povinnost vůči MF. Aby správce daně mohl jisté informace MF poskytnout a zároveň tím nedošlo k porušení povinnosti mlčenlivosti dle daňového řádu, musí být splněno několik následujících podmínek. Dle dikce ustanovení mohou být takovými informace jen ty, které přímo souvisí s porušením povinností při správě </w:t>
      </w:r>
      <w:r w:rsidRPr="00976A97">
        <w:lastRenderedPageBreak/>
        <w:t>daně z hazardních her. Může se jednat například o informování dozorového orgánu o nedoplatcích na dani z hazardních her. Navíc je správce daně oprávněn tyto informace poskytnout jen MF, které je orgánem jak povolujícím, tak i dozorujícím, jelikož zahajuje a vede řízení v souvislosti se zrušením základního povolení v případech, kdy byly naplněny podmínky pro zrušení základního povolení.</w:t>
      </w:r>
      <w:r w:rsidRPr="00976A97">
        <w:rPr>
          <w:rStyle w:val="Znakapoznpodarou"/>
          <w:rFonts w:ascii="Times New Roman" w:hAnsi="Times New Roman"/>
        </w:rPr>
        <w:footnoteReference w:id="205"/>
      </w:r>
      <w:r w:rsidRPr="00976A97">
        <w:t xml:space="preserve"> Správce daně poskytne MF veškeré informace ohledně daňového subjektu týkající se porušení povinností vyplývající ze zákona o dani z hazardních her. Na základě těchto informací MF uváží, zda jednáním daňového subjektu dochází k tak závažnému nebo opakovanému porušování zákona o dani z hazardních her, aby zahájilo řízení o zrušení základního povolení. Poskytnuté informace mohou sloužit výhradně pro účely řízení o zrušení základního povolení. Na rozdíl od obecné informační povinnosti upravené daňovým řádem, kde se v mnoha případech informace poskytují až na základě žádosti veřejného orgánu, k poskytování informací na základě zákona o dani z hazardních her není nutná žádost orgánu, nýbrž se od správce daně očekává, že sám aktivně bez žádosti oprávněného orgánu bude tyto informace poskytovat.</w:t>
      </w:r>
    </w:p>
    <w:p w14:paraId="0C50B4BD" w14:textId="77777777" w:rsidR="00A02C80" w:rsidRPr="00976A97" w:rsidRDefault="00A02C80" w:rsidP="00A02C80">
      <w:pPr>
        <w:pStyle w:val="Dalodstavce"/>
      </w:pPr>
      <w:r w:rsidRPr="00976A97">
        <w:t>K efektivnímu výběru daně z hazardních her by měly posloužit i informace poskytnuté obecními úřady. V loterním zákoně absentovalo sp</w:t>
      </w:r>
      <w:r w:rsidR="0047160C">
        <w:t>eciální ustanovení vůči daňovému</w:t>
      </w:r>
      <w:r w:rsidRPr="00976A97">
        <w:t xml:space="preserve"> řádu,</w:t>
      </w:r>
      <w:r w:rsidRPr="00976A97">
        <w:rPr>
          <w:rStyle w:val="Znakapoznpodarou"/>
          <w:rFonts w:ascii="Times New Roman" w:hAnsi="Times New Roman"/>
        </w:rPr>
        <w:footnoteReference w:id="206"/>
      </w:r>
      <w:r w:rsidRPr="00976A97">
        <w:t xml:space="preserve"> proto byly správcům odvodů poskytovány informace ze strany obecních úřadů jen na základě daňového řádu. Nicméně v praxi docházelo k situacím, kdy správce daně nezískal veškeré potřebné informac</w:t>
      </w:r>
      <w:r w:rsidR="0047160C">
        <w:t>e ke správě odvodu. Zejména byli</w:t>
      </w:r>
      <w:r w:rsidRPr="00976A97">
        <w:t xml:space="preserve"> správci dezinformováni ohledně výherních hracích automatů povolených obcemi.</w:t>
      </w:r>
      <w:r>
        <w:rPr>
          <w:rStyle w:val="Znakapoznpodarou"/>
          <w:rFonts w:ascii="Times New Roman" w:hAnsi="Times New Roman"/>
        </w:rPr>
        <w:footnoteReference w:id="207"/>
      </w:r>
      <w:r w:rsidRPr="00976A97">
        <w:t xml:space="preserve"> Proto zákon o dani z hazardních her na danou nedostatečnou právní úpravu reaguje speciálním ustanovením vůči daňovému řádu. Na základě tohoto ustanovení jsou obecní úřady povinny poskytnout správci daně z hazardních her zákonem vymezené informace ohledně vydání, změny či zrušení povolení k umístění herního prostoru a o ohlášených hazardních hrách, jejichž provozování je předmětem daně z hazardních her, tedy o turnaj</w:t>
      </w:r>
      <w:r>
        <w:t>ích</w:t>
      </w:r>
      <w:r w:rsidRPr="00976A97">
        <w:t xml:space="preserve"> malého rozsahu a tombol</w:t>
      </w:r>
      <w:r>
        <w:t>ách</w:t>
      </w:r>
      <w:r w:rsidRPr="00976A97">
        <w:t xml:space="preserve"> s herní jistinou nad 100 000 Kč.  Dále obecní úřady muse</w:t>
      </w:r>
      <w:r>
        <w:t>jí</w:t>
      </w:r>
      <w:r w:rsidRPr="00976A97">
        <w:t xml:space="preserve"> poskytnout veškeré ostatní informace, které jsou pro řádnou správu daně z hazardních her potřebné a obecní úřad je získal v rámci výkonu své působnosti.</w:t>
      </w:r>
      <w:r w:rsidRPr="00976A97">
        <w:rPr>
          <w:rStyle w:val="Znakapoznpodarou"/>
          <w:rFonts w:ascii="Times New Roman" w:hAnsi="Times New Roman"/>
        </w:rPr>
        <w:t xml:space="preserve"> </w:t>
      </w:r>
      <w:r w:rsidRPr="00976A97">
        <w:rPr>
          <w:rStyle w:val="Znakapoznpodarou"/>
          <w:rFonts w:ascii="Times New Roman" w:hAnsi="Times New Roman"/>
        </w:rPr>
        <w:footnoteReference w:id="208"/>
      </w:r>
      <w:r w:rsidRPr="00976A97">
        <w:t xml:space="preserve"> Jak už </w:t>
      </w:r>
      <w:r w:rsidRPr="00976A97">
        <w:lastRenderedPageBreak/>
        <w:t>bylo pojednáno v kapitole první, může poskytování těchto informací ze strany obecního úřadu posloužit správci daně k odhalení nelegálně provozovaných her na území obce.</w:t>
      </w:r>
      <w:r>
        <w:t xml:space="preserve"> </w:t>
      </w:r>
      <w:r w:rsidRPr="00976A97">
        <w:t>Motivací pro obce m</w:t>
      </w:r>
      <w:r>
        <w:t>ůže</w:t>
      </w:r>
      <w:r w:rsidRPr="00976A97">
        <w:t xml:space="preserve"> být </w:t>
      </w:r>
      <w:r>
        <w:t xml:space="preserve">zejména </w:t>
      </w:r>
      <w:r w:rsidRPr="00976A97">
        <w:t>existence pokuty za nesplnění povinnosti nepeněžité povahy.</w:t>
      </w:r>
      <w:r w:rsidRPr="00976A97">
        <w:rPr>
          <w:rStyle w:val="Znakapoznpodarou"/>
          <w:rFonts w:ascii="Times New Roman" w:hAnsi="Times New Roman"/>
        </w:rPr>
        <w:footnoteReference w:id="209"/>
      </w:r>
      <w:r w:rsidRPr="00976A97">
        <w:t xml:space="preserve"> Poskytování informací správci daně, buď na základě informační povinnosti upravené daňovým řádem</w:t>
      </w:r>
      <w:r w:rsidR="0047160C">
        <w:t>,</w:t>
      </w:r>
      <w:r w:rsidRPr="00976A97">
        <w:t xml:space="preserve"> nebo zvláštním zákonem</w:t>
      </w:r>
      <w:r>
        <w:t>,</w:t>
      </w:r>
      <w:r w:rsidRPr="00976A97">
        <w:t xml:space="preserve"> je považováno za oznamovací povinnost. Porušením této povinnosti může být subjektu uložena pokuta až do výše 500 000 Kč. Sankce může být udělena v případě úplného i jen částečného nesplnění oznamovací povinnosti, nebo pokud byla splněna opožděně.</w:t>
      </w:r>
      <w:r w:rsidRPr="00976A97">
        <w:rPr>
          <w:rStyle w:val="Znakapoznpodarou"/>
          <w:rFonts w:ascii="Times New Roman" w:hAnsi="Times New Roman"/>
        </w:rPr>
        <w:footnoteReference w:id="210"/>
      </w:r>
    </w:p>
    <w:p w14:paraId="0F32620C" w14:textId="77777777" w:rsidR="00A02C80" w:rsidRPr="00976A97" w:rsidRDefault="0005138C" w:rsidP="00A02C80">
      <w:pPr>
        <w:pStyle w:val="Dalodstavce"/>
      </w:pPr>
      <w:r>
        <w:t>S</w:t>
      </w:r>
      <w:r w:rsidR="00A02C80" w:rsidRPr="00976A97">
        <w:t>pr</w:t>
      </w:r>
      <w:r w:rsidR="003E0E13">
        <w:t xml:space="preserve">áva daně </w:t>
      </w:r>
      <w:r w:rsidR="007629BA">
        <w:t xml:space="preserve">zpravidla </w:t>
      </w:r>
      <w:r w:rsidR="003E0E13">
        <w:t xml:space="preserve">probíhá v rámci řízení, kdy </w:t>
      </w:r>
      <w:r w:rsidR="00902EF0">
        <w:t>páteří správy daní je právě řízení daňové</w:t>
      </w:r>
      <w:r w:rsidR="003E0E13">
        <w:t xml:space="preserve">. </w:t>
      </w:r>
      <w:r w:rsidR="00902EF0">
        <w:t>Účel daňového řízení plně koresponduje s </w:t>
      </w:r>
      <w:r w:rsidR="00404F14">
        <w:t>cílem</w:t>
      </w:r>
      <w:r w:rsidR="00902EF0">
        <w:t xml:space="preserve"> správy daní, když oběma procesy má být dosaženo správného zjištění a stanovení daně a následně </w:t>
      </w:r>
      <w:r w:rsidR="00134D12">
        <w:t xml:space="preserve">i </w:t>
      </w:r>
      <w:r w:rsidR="00EA3A97">
        <w:t>její inkasování</w:t>
      </w:r>
      <w:r w:rsidR="00902EF0">
        <w:t xml:space="preserve">. </w:t>
      </w:r>
      <w:r w:rsidR="00134D12">
        <w:t>Avšak na rozdíl od správy daní, kdy předmětem jsou daně obecně, předmětem daňového řízení už je pouze konkrétní daň</w:t>
      </w:r>
      <w:r w:rsidR="007629BA">
        <w:t>, která je posuzována vzhledem k určitému zdaňovacímu období, případně ve vztahu k jednotlivé skutečnosti</w:t>
      </w:r>
      <w:r w:rsidR="00134D12">
        <w:t>.</w:t>
      </w:r>
      <w:r w:rsidR="00134D12">
        <w:rPr>
          <w:rStyle w:val="Znakapoznpodarou"/>
        </w:rPr>
        <w:footnoteReference w:id="211"/>
      </w:r>
      <w:r w:rsidR="007629BA">
        <w:t xml:space="preserve"> </w:t>
      </w:r>
      <w:r w:rsidR="003E0E13">
        <w:t>Daňové řízení je ovládáno zásadou autoaplikace</w:t>
      </w:r>
      <w:r w:rsidR="00E315EA">
        <w:t>, která spočívá v tom, že k zahájení tohoto řízení má dojít primárně z iniciativy daňového subjektu prostřednictvím daňového přiznání, ve kterém je daňový subjekt povinen sám na sebe aplikovat daň</w:t>
      </w:r>
      <w:r w:rsidR="00134D12">
        <w:t>ověprávní normy</w:t>
      </w:r>
      <w:r w:rsidR="00E315EA">
        <w:t xml:space="preserve"> tak</w:t>
      </w:r>
      <w:r w:rsidR="00134D12">
        <w:t>,</w:t>
      </w:r>
      <w:r w:rsidR="00E315EA">
        <w:t xml:space="preserve"> aby správně vyčíslil svou daň.</w:t>
      </w:r>
      <w:r w:rsidR="00D82906">
        <w:rPr>
          <w:rStyle w:val="Znakapoznpodarou"/>
        </w:rPr>
        <w:footnoteReference w:id="212"/>
      </w:r>
      <w:r w:rsidR="00A02C80" w:rsidRPr="00976A97">
        <w:t xml:space="preserve"> </w:t>
      </w:r>
      <w:r w:rsidR="00227FA1">
        <w:t xml:space="preserve">Opodstatnění této zásady je </w:t>
      </w:r>
      <w:r w:rsidR="0073083A">
        <w:t xml:space="preserve">ryze </w:t>
      </w:r>
      <w:r w:rsidR="00227FA1">
        <w:t xml:space="preserve">logické, neboť daňový subjekt je sám nejlépe obeznámen </w:t>
      </w:r>
      <w:r w:rsidR="00C54CB2">
        <w:t>o svých ekonomických aktivitách</w:t>
      </w:r>
      <w:r w:rsidR="0073083A">
        <w:t xml:space="preserve">. </w:t>
      </w:r>
      <w:r w:rsidR="002431AB">
        <w:t>A</w:t>
      </w:r>
      <w:r w:rsidR="00BE795B">
        <w:t>utoritativní aplika</w:t>
      </w:r>
      <w:r w:rsidR="002431AB">
        <w:t>ce</w:t>
      </w:r>
      <w:r w:rsidR="00BE795B">
        <w:t xml:space="preserve"> daňověprávních norem správcem daně</w:t>
      </w:r>
      <w:r w:rsidR="00360E6E">
        <w:t xml:space="preserve"> přichází v úvahu</w:t>
      </w:r>
      <w:r w:rsidR="00BE795B">
        <w:t xml:space="preserve"> teprve až sekundárně, kdy </w:t>
      </w:r>
      <w:r w:rsidR="00896AF9">
        <w:t xml:space="preserve">daňový subjekt svou </w:t>
      </w:r>
      <w:r w:rsidR="005D019D">
        <w:t xml:space="preserve">daňovou </w:t>
      </w:r>
      <w:r w:rsidR="00896AF9">
        <w:t xml:space="preserve">povinnost nesplní dobrovolně a její splnění musí být vynuceno státní mocí. </w:t>
      </w:r>
      <w:r w:rsidR="00134D12">
        <w:t>Daňové řízení o dani z hazardních her je</w:t>
      </w:r>
      <w:r w:rsidR="00165C92">
        <w:t xml:space="preserve"> také </w:t>
      </w:r>
      <w:r w:rsidR="00C159AE">
        <w:t xml:space="preserve">primárně založeno </w:t>
      </w:r>
      <w:r w:rsidR="00165C92">
        <w:t>na aktivitě poplatníka, který je povinen podat daňové přiznání</w:t>
      </w:r>
      <w:r w:rsidR="00A02C80" w:rsidRPr="00976A97">
        <w:t>.</w:t>
      </w:r>
      <w:r w:rsidR="00A02C80" w:rsidRPr="00976A97">
        <w:rPr>
          <w:rStyle w:val="Znakapoznpodarou"/>
          <w:rFonts w:ascii="Times New Roman" w:hAnsi="Times New Roman"/>
        </w:rPr>
        <w:footnoteReference w:id="213"/>
      </w:r>
      <w:r w:rsidR="00A02C80" w:rsidRPr="00976A97">
        <w:t xml:space="preserve"> Daňové přiznání je formulářovým podáním,</w:t>
      </w:r>
      <w:r w:rsidR="00EE3190">
        <w:t xml:space="preserve"> které lze </w:t>
      </w:r>
      <w:r w:rsidR="00FD1A37">
        <w:t>obecně</w:t>
      </w:r>
      <w:r w:rsidR="00EE3190">
        <w:t xml:space="preserve"> podat na předepsaném tiskopise MF v listinné podobě nebo ve formě datové</w:t>
      </w:r>
      <w:r w:rsidR="00A02C80" w:rsidRPr="00976A97">
        <w:t xml:space="preserve"> zprávy.</w:t>
      </w:r>
      <w:r w:rsidR="00A02C80" w:rsidRPr="00976A97">
        <w:rPr>
          <w:rStyle w:val="Znakapoznpodarou"/>
          <w:rFonts w:ascii="Times New Roman" w:hAnsi="Times New Roman"/>
        </w:rPr>
        <w:footnoteReference w:id="214"/>
      </w:r>
      <w:r w:rsidR="00A02C80" w:rsidRPr="00976A97">
        <w:t xml:space="preserve"> </w:t>
      </w:r>
      <w:r w:rsidR="002123CB">
        <w:t>Se zřetelem ke snaze o elektronizaci daňové správy</w:t>
      </w:r>
      <w:r w:rsidR="00A02C80" w:rsidRPr="00976A97">
        <w:t xml:space="preserve"> zákon o dani z hazardních her zavádí pro poplatníky povinnost </w:t>
      </w:r>
      <w:r w:rsidR="002123CB">
        <w:t xml:space="preserve">učinit </w:t>
      </w:r>
      <w:r w:rsidR="00A02C80" w:rsidRPr="00976A97">
        <w:t>podání</w:t>
      </w:r>
      <w:r w:rsidR="002123CB">
        <w:t xml:space="preserve"> výhradně</w:t>
      </w:r>
      <w:r w:rsidR="00A02C80" w:rsidRPr="00976A97">
        <w:t xml:space="preserve"> ve formě datové </w:t>
      </w:r>
      <w:r w:rsidR="00A02C80" w:rsidRPr="00976A97">
        <w:lastRenderedPageBreak/>
        <w:t>zprávy,</w:t>
      </w:r>
      <w:r w:rsidR="002123CB">
        <w:rPr>
          <w:rStyle w:val="Znakapoznpodarou"/>
        </w:rPr>
        <w:footnoteReference w:id="215"/>
      </w:r>
      <w:r w:rsidR="00A02C80" w:rsidRPr="00976A97">
        <w:t xml:space="preserve"> čímž explicitně dochází k vyloučení možnosti využít písemné tiskopisy.</w:t>
      </w:r>
      <w:r w:rsidR="000A52CE">
        <w:t xml:space="preserve"> N</w:t>
      </w:r>
      <w:r w:rsidR="00A02C80" w:rsidRPr="00976A97">
        <w:t>edodržení zákonem požadované formy podání</w:t>
      </w:r>
      <w:r w:rsidR="000A52CE">
        <w:t xml:space="preserve"> je sice</w:t>
      </w:r>
      <w:r w:rsidR="00A02C80" w:rsidRPr="00976A97">
        <w:t xml:space="preserve"> jednou z vad podání, která zakládá </w:t>
      </w:r>
      <w:r w:rsidR="000A52CE">
        <w:t>jeho neúčinnost</w:t>
      </w:r>
      <w:r w:rsidR="00A02C80" w:rsidRPr="00976A97">
        <w:t>. V případě, že se ale jedná jen o nedodržení povinnosti podat podání elektronicky, hledí se na něj jako na podání řádně podané.</w:t>
      </w:r>
      <w:r w:rsidR="00A02C80" w:rsidRPr="00976A97">
        <w:rPr>
          <w:rStyle w:val="Znakapoznpodarou"/>
          <w:rFonts w:ascii="Times New Roman" w:hAnsi="Times New Roman"/>
        </w:rPr>
        <w:footnoteReference w:id="216"/>
      </w:r>
      <w:r w:rsidR="00A02C80" w:rsidRPr="00976A97">
        <w:t xml:space="preserve"> Podmínkou aplikace této výjimky je však sdělení druhů podání, na které se výjimka vztahuje, správcem daně. Hlášení k záloze na odvod z loterií a jiných podobných her na seznamu podání bylo uvedeno.</w:t>
      </w:r>
      <w:r w:rsidR="00A02C80" w:rsidRPr="00976A97">
        <w:rPr>
          <w:rStyle w:val="Znakapoznpodarou"/>
          <w:rFonts w:ascii="Times New Roman" w:hAnsi="Times New Roman"/>
        </w:rPr>
        <w:footnoteReference w:id="217"/>
      </w:r>
      <w:r w:rsidR="00A02C80" w:rsidRPr="00976A97">
        <w:t xml:space="preserve"> Proto by se dalo očekávat, že na daný seznam přibude </w:t>
      </w:r>
      <w:r w:rsidR="00A02C80">
        <w:t xml:space="preserve">časem </w:t>
      </w:r>
      <w:r w:rsidR="00A02C80" w:rsidRPr="00976A97">
        <w:t xml:space="preserve">i daň z hazardních her. I přestože by takto podané podání bylo účinné, </w:t>
      </w:r>
      <w:r>
        <w:t>negativním následkem nedodržení formy podání je u</w:t>
      </w:r>
      <w:r w:rsidR="00A02C80" w:rsidRPr="00976A97">
        <w:t xml:space="preserve">ložení </w:t>
      </w:r>
      <w:r w:rsidR="00BC5AE8">
        <w:t>peněžité sankce</w:t>
      </w:r>
      <w:r>
        <w:t xml:space="preserve"> daňovému subjektu</w:t>
      </w:r>
      <w:r w:rsidR="00DF7D88">
        <w:t>.</w:t>
      </w:r>
      <w:r w:rsidR="00A02C80" w:rsidRPr="00976A97">
        <w:rPr>
          <w:rStyle w:val="Znakapoznpodarou"/>
          <w:rFonts w:ascii="Times New Roman" w:hAnsi="Times New Roman"/>
        </w:rPr>
        <w:footnoteReference w:id="218"/>
      </w:r>
      <w:r w:rsidR="00A02C80" w:rsidRPr="00976A97">
        <w:t xml:space="preserve"> Lhůta pro podání </w:t>
      </w:r>
      <w:r w:rsidR="00263917">
        <w:t xml:space="preserve">řádného </w:t>
      </w:r>
      <w:r w:rsidR="00A02C80" w:rsidRPr="00976A97">
        <w:t>daňového přiznání je</w:t>
      </w:r>
      <w:r w:rsidR="00EA3A97">
        <w:t xml:space="preserve"> plně v dispozici daňového řádu</w:t>
      </w:r>
      <w:r w:rsidR="00263917">
        <w:t xml:space="preserve"> a její délka se odvíjí od délky zdaňovacího období</w:t>
      </w:r>
      <w:r w:rsidR="005C7DE7">
        <w:t>, za které je</w:t>
      </w:r>
      <w:r w:rsidR="00356FA7">
        <w:t xml:space="preserve"> daň</w:t>
      </w:r>
      <w:r w:rsidR="005C7DE7">
        <w:t xml:space="preserve"> vyměřována</w:t>
      </w:r>
      <w:r w:rsidR="00263917">
        <w:t xml:space="preserve">. U daní se zdaňovacím obdobím kratším než jeden rok, kam spadá i daň z hazardních her, se daňové přiznání podává do 25 dnů </w:t>
      </w:r>
      <w:r w:rsidR="00A02C80" w:rsidRPr="00976A97">
        <w:t>po uplynutí zdaňovacího období.</w:t>
      </w:r>
      <w:r w:rsidR="00A02C80" w:rsidRPr="00976A97">
        <w:rPr>
          <w:rStyle w:val="Znakapoznpodarou"/>
          <w:rFonts w:ascii="Times New Roman" w:hAnsi="Times New Roman"/>
        </w:rPr>
        <w:footnoteReference w:id="219"/>
      </w:r>
      <w:r w:rsidR="00A02C80" w:rsidRPr="00976A97">
        <w:t xml:space="preserve"> Tato lhůta nelze prodloužit. A to ani v případě, kdy by daňové přiznání poplatníka daně z hazardních her bylo podáno </w:t>
      </w:r>
      <w:r w:rsidR="005C7DE7">
        <w:t xml:space="preserve">v zastoupení </w:t>
      </w:r>
      <w:r w:rsidR="00A02C80" w:rsidRPr="00976A97">
        <w:t>a</w:t>
      </w:r>
      <w:r w:rsidR="00D524CC">
        <w:t>dvokátem nebo daňovým poradcem.</w:t>
      </w:r>
    </w:p>
    <w:p w14:paraId="1AE8205B" w14:textId="77777777" w:rsidR="00A02C80" w:rsidRDefault="00A02C80" w:rsidP="00A02C80">
      <w:pPr>
        <w:pStyle w:val="Dalodstavce"/>
      </w:pPr>
      <w:r w:rsidRPr="00976A97">
        <w:t>Na základě podaného daňového přiznání dochází v obecném režimu</w:t>
      </w:r>
      <w:r w:rsidR="000B74DB">
        <w:t xml:space="preserve"> podle daňového řádu</w:t>
      </w:r>
      <w:r>
        <w:t xml:space="preserve"> ke</w:t>
      </w:r>
      <w:r w:rsidRPr="00976A97">
        <w:t xml:space="preserve"> stanovení daně až rozhodnutím správce daně. Což znamená, že správnost deklarovaných údajů v přiznání správce daně v rámci vyměřovacího </w:t>
      </w:r>
      <w:r w:rsidR="00E61710">
        <w:t>řízení</w:t>
      </w:r>
      <w:r w:rsidRPr="00976A97">
        <w:t xml:space="preserve"> musí nejdříve posoudit, a pokud dospěje k názoru, že tvrzení uvedená daňovým subjektem jsou dle něj správná a úplná, ukončí správce vyměřovací </w:t>
      </w:r>
      <w:r w:rsidR="00D80D34">
        <w:t>proces</w:t>
      </w:r>
      <w:r w:rsidRPr="00976A97">
        <w:t xml:space="preserve"> vydáním platebního výměru. Ve snaze o snížení administrativní náročnosti postupu při správě daně z hazardních her došlo k modi</w:t>
      </w:r>
      <w:r w:rsidR="00B17773">
        <w:t xml:space="preserve">fikaci </w:t>
      </w:r>
      <w:r w:rsidR="009507C0">
        <w:t>vyměřovacího řízení za</w:t>
      </w:r>
      <w:r w:rsidR="00553F44">
        <w:t>vedením institutu samovyměření, jehož podstatou je stanovení daně ze zákona</w:t>
      </w:r>
      <w:r w:rsidR="00D47551">
        <w:t>, aniž by správce uvedené tvrzení podrobil jakékoliv revizi.</w:t>
      </w:r>
      <w:r w:rsidR="00553F44">
        <w:t xml:space="preserve"> </w:t>
      </w:r>
      <w:r w:rsidRPr="00976A97">
        <w:t>Zákon</w:t>
      </w:r>
      <w:r w:rsidR="00610303">
        <w:t xml:space="preserve"> o dani z hazardních her</w:t>
      </w:r>
      <w:r w:rsidRPr="00976A97">
        <w:t xml:space="preserve"> rozlišuje </w:t>
      </w:r>
      <w:r w:rsidR="00C52A8A">
        <w:t xml:space="preserve">mezi </w:t>
      </w:r>
      <w:r w:rsidRPr="00976A97">
        <w:t>samovyměření</w:t>
      </w:r>
      <w:r w:rsidR="00C52A8A">
        <w:t>m</w:t>
      </w:r>
      <w:r w:rsidRPr="00976A97">
        <w:t xml:space="preserve"> daně na </w:t>
      </w:r>
      <w:r w:rsidR="00610303">
        <w:t xml:space="preserve">základě podaného </w:t>
      </w:r>
      <w:r w:rsidRPr="00976A97">
        <w:lastRenderedPageBreak/>
        <w:t>daňového přiznání</w:t>
      </w:r>
      <w:r>
        <w:rPr>
          <w:rStyle w:val="Znakapoznpodarou"/>
          <w:rFonts w:ascii="Times New Roman" w:hAnsi="Times New Roman"/>
        </w:rPr>
        <w:footnoteReference w:id="220"/>
      </w:r>
      <w:r w:rsidRPr="00976A97">
        <w:t xml:space="preserve"> a při jeho nepodání.</w:t>
      </w:r>
      <w:r w:rsidR="00C40C44">
        <w:rPr>
          <w:rStyle w:val="Znakapoznpodarou"/>
        </w:rPr>
        <w:footnoteReference w:id="221"/>
      </w:r>
      <w:r w:rsidRPr="00976A97">
        <w:t xml:space="preserve"> V prvním z případů to znamená, že daňový subjekt podá daňové přiznání a daň se </w:t>
      </w:r>
      <w:r w:rsidR="00610303">
        <w:t xml:space="preserve">ex lege </w:t>
      </w:r>
      <w:r w:rsidRPr="00976A97">
        <w:t>vyměří ve</w:t>
      </w:r>
      <w:r w:rsidR="00553F44">
        <w:t xml:space="preserve"> výši tvrzené daňovým subjektem</w:t>
      </w:r>
      <w:r w:rsidR="00E5355A">
        <w:t>, bez toho</w:t>
      </w:r>
      <w:r w:rsidR="00880A70">
        <w:t>,</w:t>
      </w:r>
      <w:r w:rsidR="00E5355A">
        <w:t xml:space="preserve"> aniž by takto vyměřenou daň musel správce autoritativně potvrdit, </w:t>
      </w:r>
      <w:r w:rsidR="0095145B">
        <w:t>jako je tomu v rámci vyměřovacího řízení dle daňového řádu</w:t>
      </w:r>
      <w:r w:rsidR="00411F35">
        <w:t>, kdy je správce nucen vydat platební výměr.</w:t>
      </w:r>
      <w:r w:rsidR="00F955D8">
        <w:t xml:space="preserve"> Okamžikem </w:t>
      </w:r>
      <w:r w:rsidR="00F955D8" w:rsidRPr="00976A97">
        <w:t>vyměření je</w:t>
      </w:r>
      <w:r w:rsidR="00F955D8">
        <w:t xml:space="preserve"> den</w:t>
      </w:r>
      <w:r w:rsidR="00F955D8" w:rsidRPr="00976A97">
        <w:t xml:space="preserve"> uplynutí lhůty pro podání daňového </w:t>
      </w:r>
      <w:r w:rsidR="00F955D8">
        <w:t xml:space="preserve">přiznání. </w:t>
      </w:r>
      <w:r w:rsidR="00E64D0D">
        <w:t>Alternativně by v</w:t>
      </w:r>
      <w:r w:rsidR="00F955D8">
        <w:t xml:space="preserve"> daném případě bylo možné </w:t>
      </w:r>
      <w:r w:rsidR="00E64D0D">
        <w:t>posunout</w:t>
      </w:r>
      <w:r w:rsidR="00360C9C">
        <w:t xml:space="preserve"> okamžik stanovení daně </w:t>
      </w:r>
      <w:r w:rsidR="00E64D0D">
        <w:t>již na</w:t>
      </w:r>
      <w:r w:rsidR="00F955D8">
        <w:t xml:space="preserve"> den podání přiznání.</w:t>
      </w:r>
      <w:r w:rsidR="00147FD3">
        <w:t xml:space="preserve"> </w:t>
      </w:r>
      <w:r w:rsidR="0082284B">
        <w:t xml:space="preserve">Pochopitelně by ve stejný den nastala i její splatnost. Navíc by subjekt nebyl oprávněn podat opravné daňové přiznání, neboť </w:t>
      </w:r>
      <w:r w:rsidR="00205494">
        <w:t xml:space="preserve">to nemůže být podáno po </w:t>
      </w:r>
      <w:r w:rsidR="00AE3BBC">
        <w:t xml:space="preserve">lhůtě pro podání </w:t>
      </w:r>
      <w:r w:rsidR="005B6FFA">
        <w:t xml:space="preserve">řádného </w:t>
      </w:r>
      <w:r w:rsidR="00AE3BBC">
        <w:t>daňového přiznání</w:t>
      </w:r>
      <w:r w:rsidR="00254AD0">
        <w:t>. K opravě poslední známé daňové povinnosti</w:t>
      </w:r>
      <w:r w:rsidR="009C7D8B">
        <w:t xml:space="preserve"> </w:t>
      </w:r>
      <w:r w:rsidR="003F3AA9">
        <w:t>by mohlo dojít jedině cestou</w:t>
      </w:r>
      <w:r w:rsidR="00145A73">
        <w:t xml:space="preserve"> </w:t>
      </w:r>
      <w:r w:rsidR="003F3AA9">
        <w:t xml:space="preserve">dodatečného daňového přiznání. </w:t>
      </w:r>
      <w:r w:rsidR="00F955D8">
        <w:t>Jak jsem uvedla výše, poplatník</w:t>
      </w:r>
      <w:r w:rsidR="007274D1">
        <w:t>ovi daně</w:t>
      </w:r>
      <w:r w:rsidR="00F955D8">
        <w:t xml:space="preserve"> z hazardních her je zákonem sice uložena povinnost podat daňové přiznání, nicméně tato povinnost</w:t>
      </w:r>
      <w:r w:rsidR="00E64D0D">
        <w:t xml:space="preserve"> není</w:t>
      </w:r>
      <w:r w:rsidR="00F955D8">
        <w:t xml:space="preserve"> absolutní, neboť p</w:t>
      </w:r>
      <w:r w:rsidRPr="00976A97">
        <w:t xml:space="preserve">okud </w:t>
      </w:r>
      <w:r w:rsidR="00411F35">
        <w:t>do konce lhůty pro podání daňového přiznání daňový subjekt svou povinnost tvrzení nesplní, vyměří se</w:t>
      </w:r>
      <w:r w:rsidR="00F955D8">
        <w:t xml:space="preserve"> mu</w:t>
      </w:r>
      <w:r w:rsidR="00411F35">
        <w:t xml:space="preserve"> daň v nulové výši. </w:t>
      </w:r>
      <w:r w:rsidR="00E64D0D">
        <w:t xml:space="preserve">Dále zákon o dani z hazardních her explicitně vylučuje možnost uložení pokuty za opožděné tvrzení daně. Nicméně si myslím, že </w:t>
      </w:r>
      <w:r w:rsidR="007274D1">
        <w:t xml:space="preserve">předmětné </w:t>
      </w:r>
      <w:r w:rsidR="00E64D0D">
        <w:t xml:space="preserve">ustanovení je </w:t>
      </w:r>
      <w:r w:rsidR="007274D1">
        <w:t>nadbytečné. Předpokladem pro uložení této sankce je nepodání daňového přiznání, přičemž díky právní fikci podání daňového přiznání v nulové výši taková situace nikdy nenastane.</w:t>
      </w:r>
    </w:p>
    <w:p w14:paraId="562E0D29" w14:textId="77777777" w:rsidR="00A02C80" w:rsidRPr="00976A97" w:rsidRDefault="00041E2D" w:rsidP="00723D26">
      <w:pPr>
        <w:pStyle w:val="Dalodstavce"/>
      </w:pPr>
      <w:r>
        <w:t>Pokud daňový subjekt zjistil po stanovení daně, tedy po ukončení vyměřovacího řízení, že poslední známá daň</w:t>
      </w:r>
      <w:r w:rsidR="004F7C76">
        <w:t>ová povinnost</w:t>
      </w:r>
      <w:r>
        <w:t xml:space="preserve"> není ve správné výši, může zahájit doměřovací řízení podáním dodatečného daňového přiznání. Je ovšem nutné uvést, že </w:t>
      </w:r>
      <w:r w:rsidR="00723D26">
        <w:t>pokud nově stanovená daň má být vyšší než ta poslední, nejedná se o právo, nýbrž o povinnost.</w:t>
      </w:r>
      <w:r w:rsidR="00723D26">
        <w:rPr>
          <w:rStyle w:val="Znakapoznpodarou"/>
        </w:rPr>
        <w:footnoteReference w:id="222"/>
      </w:r>
      <w:r w:rsidR="00723D26">
        <w:t xml:space="preserve"> </w:t>
      </w:r>
      <w:r w:rsidR="00A02C80" w:rsidRPr="00976A97">
        <w:t xml:space="preserve">I v případě doměřovacího řízení došlo k modifikaci díky zakotvení institutu samodoměření. </w:t>
      </w:r>
      <w:r w:rsidR="00723D26">
        <w:t>Stejně jako v</w:t>
      </w:r>
      <w:r w:rsidR="0055751B">
        <w:t> rámci vyměřovacího řízení</w:t>
      </w:r>
      <w:r w:rsidR="00723D26">
        <w:t xml:space="preserve">, </w:t>
      </w:r>
      <w:r w:rsidR="0055751B">
        <w:t xml:space="preserve">dochází ke stanovení daně v rámci doměřovacího řízení ze zákona bez </w:t>
      </w:r>
      <w:r w:rsidR="00723D26">
        <w:t>ingerence správce daně.</w:t>
      </w:r>
      <w:r w:rsidR="00A02C80" w:rsidRPr="00976A97">
        <w:t xml:space="preserve"> </w:t>
      </w:r>
      <w:r w:rsidR="00723D26">
        <w:t>N</w:t>
      </w:r>
      <w:r w:rsidR="00A02C80" w:rsidRPr="00976A97">
        <w:t>eboť se daň samodoměření ve výši tvrzeného rozdílu oproti výši poslední známé daně z hazardních her uvedené poplatníkem v dodatečném daňovém přiznání.</w:t>
      </w:r>
      <w:r w:rsidR="00A02C80">
        <w:rPr>
          <w:rStyle w:val="Znakapoznpodarou"/>
          <w:rFonts w:ascii="Times New Roman" w:hAnsi="Times New Roman"/>
        </w:rPr>
        <w:footnoteReference w:id="223"/>
      </w:r>
      <w:r w:rsidR="00A02C80" w:rsidRPr="00976A97">
        <w:t xml:space="preserve"> </w:t>
      </w:r>
      <w:r w:rsidR="00C52A8A">
        <w:t xml:space="preserve">Vzhledem k tomu, že není </w:t>
      </w:r>
      <w:r w:rsidR="006F4E2D">
        <w:t xml:space="preserve">ustanovena </w:t>
      </w:r>
      <w:r w:rsidR="00C52A8A">
        <w:t>lhůta pro podání</w:t>
      </w:r>
      <w:r w:rsidR="006F4E2D">
        <w:t xml:space="preserve"> dodatečného daňového přiznání</w:t>
      </w:r>
      <w:r w:rsidR="00C52A8A">
        <w:t xml:space="preserve">, </w:t>
      </w:r>
      <w:r w:rsidR="009F05D1">
        <w:t>k následnému stanovení daně dochází dnem podání</w:t>
      </w:r>
      <w:r w:rsidR="006F4E2D">
        <w:t>.</w:t>
      </w:r>
      <w:r w:rsidR="006F4E2D">
        <w:rPr>
          <w:rStyle w:val="Znakapoznpodarou"/>
        </w:rPr>
        <w:footnoteReference w:id="224"/>
      </w:r>
    </w:p>
    <w:p w14:paraId="3FBBD063" w14:textId="77777777" w:rsidR="00A02C80" w:rsidRPr="00976A97" w:rsidRDefault="00A02C80" w:rsidP="00A02C80">
      <w:pPr>
        <w:pStyle w:val="Dalodstavce"/>
      </w:pPr>
      <w:r w:rsidRPr="00976A97">
        <w:lastRenderedPageBreak/>
        <w:t xml:space="preserve">S ohledem na </w:t>
      </w:r>
      <w:r w:rsidR="00C52A8A">
        <w:t>značnou modifikaci nalézací roviny správy daní</w:t>
      </w:r>
      <w:r w:rsidRPr="00976A97">
        <w:t xml:space="preserve"> bylo nutné implementovat do zákona o dani z hazardních her speciální úpravu institutu poslední známé daně. Poslední známá daň je sice v daňovém řádu obecně upravena, a to jako „</w:t>
      </w:r>
      <w:r w:rsidRPr="00976A97">
        <w:rPr>
          <w:i/>
          <w:iCs/>
        </w:rPr>
        <w:t>výsledná daň, jak byla správcem daně dosud pravomocně stanovena v dosavadním průběhu daňového řízení o této dani.“</w:t>
      </w:r>
      <w:r w:rsidRPr="00976A97">
        <w:rPr>
          <w:rStyle w:val="Znakapoznpodarou"/>
          <w:rFonts w:ascii="Times New Roman" w:hAnsi="Times New Roman"/>
          <w:i/>
          <w:iCs/>
        </w:rPr>
        <w:footnoteReference w:id="225"/>
      </w:r>
      <w:r w:rsidRPr="00976A97">
        <w:rPr>
          <w:i/>
          <w:iCs/>
        </w:rPr>
        <w:t xml:space="preserve"> </w:t>
      </w:r>
      <w:r w:rsidRPr="00976A97">
        <w:t xml:space="preserve">Ale z dikce ustanovení už nám musí být jasné, že takto vyjádřená poslední známá daň není aplikovatelná v případě daně z hazardních her, jelikož </w:t>
      </w:r>
      <w:r>
        <w:t xml:space="preserve">v takto vymezené definici poslední známé daně </w:t>
      </w:r>
      <w:r w:rsidRPr="00976A97">
        <w:t>se bere v úvahu pouze stanovená daň pravomocným rozhodnutím správce daně. Kdežto v případě daně z hazardní</w:t>
      </w:r>
      <w:r w:rsidR="00924194">
        <w:t>ch her dochází k vyměření daně</w:t>
      </w:r>
      <w:r w:rsidRPr="00976A97">
        <w:t xml:space="preserve"> ex lege na základě podaného řádného daňového přiznání, případně nepodaného daňového přiznání. Pro účely správy daně z hazardních her je poslední známá daň definována jako součet daně vyměřené na základě podaného či nepodaného přiznání a případného rozdílu doměřeného na základě dodatečného přiznání a případného rozdílu pravomocně doměřeného z moci úřední.</w:t>
      </w:r>
      <w:r>
        <w:rPr>
          <w:rStyle w:val="Znakapoznpodarou"/>
          <w:rFonts w:ascii="Times New Roman" w:hAnsi="Times New Roman"/>
        </w:rPr>
        <w:footnoteReference w:id="226"/>
      </w:r>
      <w:r w:rsidRPr="00976A97">
        <w:t xml:space="preserve"> Výše poslední známé daně je shodná s výší daně samovyměřené na základě podaného či nepodaného daňového přiznání, za předpokladu, že ještě nedošlo k jejímu doměření. Zjednodušeně řečeno, výše poslední známé daně je totožná s vyčíslením daně v řádném nebo opravném daňovém přiznání. Pokud subjekt daňové přiznání nepodal, výše poslední známé daně je pak</w:t>
      </w:r>
      <w:r>
        <w:t xml:space="preserve"> rovna nule</w:t>
      </w:r>
      <w:r w:rsidRPr="00976A97">
        <w:t>. Pokud subjekt podá dodatečné daňové přiznání, dostaneme se k výši poslední známé daně tak, že přičteme k výši samovyměřené daně rozdíl mezi výší samovyměřené daně a výší samodoměřené daně. Jestliže dojde k následnému doměření správcem daně z moci úřední, zjistíme výši poslední daně tak, že sečteme samovyměřenou výši daně s případným rozdílem mezi výší daně samovyměřené a výší daně samodoměřené a k této částce ještě připočteme případný rozdíl mezi výší daně samovyměřené a výší daně doměřené správcem. Je nutné zdůraznit, že pokud není dodatečný platební výměr pravomocný, nelze případný rozdíl mezi výší daně uvedenou v platebním výměru a výší daně samovyměřenou do výpočtu poslední známé daně zahrnout.</w:t>
      </w:r>
      <w:r>
        <w:t xml:space="preserve"> </w:t>
      </w:r>
      <w:r w:rsidRPr="00976A97">
        <w:t xml:space="preserve">I když byl režim samovyměření pojat po vzoru jiných daňových zákonů, úprava poslední známé daně je odlišná než </w:t>
      </w:r>
      <w:r w:rsidRPr="00976A97">
        <w:lastRenderedPageBreak/>
        <w:t>v těchto zákonech, kde byla vymezena jako daň ve výši tvrzené v daňovém přiznání nebo ve výši stanovené správcem.</w:t>
      </w:r>
      <w:r w:rsidRPr="00976A97">
        <w:rPr>
          <w:rStyle w:val="Znakapoznpodarou"/>
          <w:rFonts w:ascii="Times New Roman" w:hAnsi="Times New Roman"/>
        </w:rPr>
        <w:footnoteReference w:id="227"/>
      </w:r>
      <w:r w:rsidRPr="00976A97">
        <w:t xml:space="preserve"> </w:t>
      </w:r>
      <w:r>
        <w:t>Nicméně musím konstatovat, že vymezení poslední známé daně jako součtu tří částek je mnohem přesnější.</w:t>
      </w:r>
    </w:p>
    <w:p w14:paraId="23362E6C" w14:textId="77777777" w:rsidR="00B07DF4" w:rsidRDefault="000055D4" w:rsidP="00B07DF4">
      <w:pPr>
        <w:pStyle w:val="Dalodstavce"/>
      </w:pPr>
      <w:r>
        <w:t>Logickým důsledkem</w:t>
      </w:r>
      <w:r w:rsidR="00B846FC">
        <w:t xml:space="preserve"> </w:t>
      </w:r>
      <w:r>
        <w:t>zavedení institutu samovyměření</w:t>
      </w:r>
      <w:r w:rsidR="00B846FC">
        <w:t xml:space="preserve"> </w:t>
      </w:r>
      <w:r>
        <w:t>je nemožnost</w:t>
      </w:r>
      <w:r w:rsidR="00B846FC">
        <w:t> vyměření daně správcem</w:t>
      </w:r>
      <w:r w:rsidR="00A35BF1">
        <w:t xml:space="preserve"> ex offo.</w:t>
      </w:r>
      <w:r w:rsidR="00755A48">
        <w:rPr>
          <w:rStyle w:val="Znakapoznpodarou"/>
        </w:rPr>
        <w:footnoteReference w:id="228"/>
      </w:r>
      <w:r w:rsidR="004B03AE">
        <w:t xml:space="preserve"> </w:t>
      </w:r>
      <w:r w:rsidR="00470A84">
        <w:t>V rámci vyměřovacího řízení došlo ke značnému omezení pravomocí správce daně a na druhou stranu je na daňový subjekt</w:t>
      </w:r>
      <w:r w:rsidR="00414209">
        <w:t xml:space="preserve"> kladena mnohem vyšší odpově</w:t>
      </w:r>
      <w:r w:rsidR="00100EED">
        <w:t>dnost za správné vyčíslení daně, neboť se daň automaticky stanoví ve výši tvrzené subjektem</w:t>
      </w:r>
      <w:r w:rsidR="008E73C2">
        <w:t>, a to</w:t>
      </w:r>
      <w:r w:rsidR="00100EED">
        <w:t xml:space="preserve"> bez </w:t>
      </w:r>
      <w:r w:rsidR="00CC1F1C">
        <w:t>jakéh</w:t>
      </w:r>
      <w:r w:rsidR="00F87322">
        <w:t>o</w:t>
      </w:r>
      <w:r w:rsidR="00EB6417">
        <w:t>ko</w:t>
      </w:r>
      <w:r w:rsidR="00F87322">
        <w:t xml:space="preserve">liv </w:t>
      </w:r>
      <w:r w:rsidR="00362404">
        <w:t xml:space="preserve">zásahu </w:t>
      </w:r>
      <w:r w:rsidR="00B3362B">
        <w:t>správce daně, jako je tomu v obecném režimu vyměřovací</w:t>
      </w:r>
      <w:r w:rsidR="007004D7">
        <w:t>ho</w:t>
      </w:r>
      <w:r w:rsidR="00B3362B">
        <w:t xml:space="preserve"> řízení.</w:t>
      </w:r>
      <w:r w:rsidR="00414209">
        <w:t xml:space="preserve"> Nicméně aby došlo k naplnění cíle s</w:t>
      </w:r>
      <w:r w:rsidR="00B96825">
        <w:t xml:space="preserve">právy daní, </w:t>
      </w:r>
      <w:r w:rsidR="00755A48">
        <w:t xml:space="preserve">tj. </w:t>
      </w:r>
      <w:r w:rsidR="00B96825">
        <w:t xml:space="preserve">stanovení </w:t>
      </w:r>
      <w:r w:rsidR="00577EE5">
        <w:t>materiálně správné</w:t>
      </w:r>
      <w:r w:rsidR="00B96825">
        <w:t xml:space="preserve"> výše daně, musí být správci</w:t>
      </w:r>
      <w:r w:rsidR="00A02C80" w:rsidRPr="00976A97">
        <w:t xml:space="preserve"> daně </w:t>
      </w:r>
      <w:r w:rsidR="00B96825">
        <w:t xml:space="preserve">ponechána </w:t>
      </w:r>
      <w:r w:rsidR="00A02C80" w:rsidRPr="00976A97">
        <w:t xml:space="preserve">možnost zkontrolovat daň tvrzenou poplatníkem a </w:t>
      </w:r>
      <w:r w:rsidR="00547D45" w:rsidRPr="00976A97">
        <w:t>eventuálně</w:t>
      </w:r>
      <w:r w:rsidR="00A02C80" w:rsidRPr="00976A97">
        <w:t xml:space="preserve"> </w:t>
      </w:r>
      <w:r w:rsidR="00F87322">
        <w:t xml:space="preserve">dána </w:t>
      </w:r>
      <w:r w:rsidR="00B96825">
        <w:t>možnost</w:t>
      </w:r>
      <w:r w:rsidR="00A02C80" w:rsidRPr="00976A97">
        <w:t xml:space="preserve"> </w:t>
      </w:r>
      <w:r w:rsidR="00547D45">
        <w:t xml:space="preserve">autoritativně </w:t>
      </w:r>
      <w:r w:rsidR="00A02C80" w:rsidRPr="00976A97">
        <w:t>doměřit rozdíl oproti poslední známé dani ex off</w:t>
      </w:r>
      <w:r w:rsidR="00A02C80">
        <w:t>ici</w:t>
      </w:r>
      <w:r w:rsidR="00A02C80" w:rsidRPr="00976A97">
        <w:t>o. Pravomoc správce daň doměřit plyne z daňového řádu.</w:t>
      </w:r>
      <w:r w:rsidR="00A02C80" w:rsidRPr="00976A97">
        <w:rPr>
          <w:rStyle w:val="Znakapoznpodarou"/>
          <w:rFonts w:ascii="Times New Roman" w:hAnsi="Times New Roman"/>
        </w:rPr>
        <w:footnoteReference w:id="229"/>
      </w:r>
      <w:r w:rsidR="00A02C80" w:rsidRPr="00976A97">
        <w:t xml:space="preserve"> I když je o poslední známé dani již pravomocně rozhodnuto, v rámci daňového procesu se neuplatňuje překážka rei iudicatae, neboli překážka věci pravomocně rozhodnuté.</w:t>
      </w:r>
      <w:r w:rsidR="00A02C80" w:rsidRPr="00976A97">
        <w:rPr>
          <w:rStyle w:val="Znakapoznpodarou"/>
          <w:rFonts w:ascii="Times New Roman" w:hAnsi="Times New Roman"/>
        </w:rPr>
        <w:footnoteReference w:id="230"/>
      </w:r>
      <w:r w:rsidR="00A02C80" w:rsidRPr="00976A97">
        <w:t xml:space="preserve"> Pokud se správce daně domnívá, že údaje uvedené v daňovém přiznání nejsou správné, úplné nebo průkazné, může tedy i po pravomocném stanovení daně, daň do správné výše doměřit, za předpokladu, že dodrží obecnou tříletou lhůtu pro </w:t>
      </w:r>
      <w:r w:rsidR="00FA4324">
        <w:t>její stanovení</w:t>
      </w:r>
      <w:r w:rsidR="00A02C80" w:rsidRPr="00976A97">
        <w:t>.</w:t>
      </w:r>
      <w:r w:rsidR="00A02C80" w:rsidRPr="002A7111">
        <w:rPr>
          <w:rStyle w:val="Znakapoznpodarou"/>
          <w:rFonts w:ascii="Times New Roman" w:hAnsi="Times New Roman"/>
        </w:rPr>
        <w:t xml:space="preserve"> </w:t>
      </w:r>
      <w:r w:rsidR="00A02C80" w:rsidRPr="00976A97">
        <w:rPr>
          <w:rStyle w:val="Znakapoznpodarou"/>
          <w:rFonts w:ascii="Times New Roman" w:hAnsi="Times New Roman"/>
        </w:rPr>
        <w:footnoteReference w:id="231"/>
      </w:r>
      <w:r w:rsidR="00B07DF4">
        <w:t xml:space="preserve"> </w:t>
      </w:r>
      <w:r w:rsidR="00A02C80" w:rsidRPr="00976A97">
        <w:t xml:space="preserve">K doměření </w:t>
      </w:r>
      <w:r w:rsidR="00B07DF4">
        <w:t xml:space="preserve">daně z hazardních her správcem daně </w:t>
      </w:r>
      <w:r w:rsidR="00A02C80" w:rsidRPr="00976A97">
        <w:t xml:space="preserve">může dojít </w:t>
      </w:r>
      <w:r w:rsidR="00B07DF4">
        <w:t>na základě postupu k odstranění pochybností, daňové kontroly a v neposlední řadě na základě nevyhovění výzvy k podání dodatečného daňového přiznání</w:t>
      </w:r>
      <w:r w:rsidR="00A02C80" w:rsidRPr="00976A97">
        <w:t>.</w:t>
      </w:r>
      <w:r w:rsidR="00B3362B">
        <w:t xml:space="preserve"> Správce daně by mezi těmito procesními prostředky neměl libovolně vybírat, musí se přiklonit k postupu, který je v závislosti k povaze konkrétního případu </w:t>
      </w:r>
      <w:r w:rsidR="003D0635">
        <w:t xml:space="preserve">vždy </w:t>
      </w:r>
      <w:r w:rsidR="00B3362B">
        <w:t>nejvhodnější.</w:t>
      </w:r>
    </w:p>
    <w:p w14:paraId="709FB182" w14:textId="77777777" w:rsidR="006F7A41" w:rsidRDefault="00A02C80" w:rsidP="00B07DF4">
      <w:pPr>
        <w:pStyle w:val="Dalodstavce"/>
      </w:pPr>
      <w:r w:rsidRPr="00976A97">
        <w:t>Prvním způsobem je doměření daně na základě postupu k odstranění pochybností.</w:t>
      </w:r>
      <w:r>
        <w:rPr>
          <w:rStyle w:val="Znakapoznpodarou"/>
          <w:rFonts w:ascii="Times New Roman" w:hAnsi="Times New Roman"/>
        </w:rPr>
        <w:footnoteReference w:id="232"/>
      </w:r>
      <w:r w:rsidRPr="00976A97">
        <w:t xml:space="preserve"> Jedná se o jeden z možných nástrojů k odstranění nejasností ve vztahu k p</w:t>
      </w:r>
      <w:r w:rsidR="003D0635">
        <w:t>odanému daňovému přiznání.</w:t>
      </w:r>
      <w:r w:rsidR="00755A48">
        <w:t xml:space="preserve"> </w:t>
      </w:r>
      <w:r w:rsidR="003D0635">
        <w:t>L</w:t>
      </w:r>
      <w:r w:rsidRPr="00976A97">
        <w:t xml:space="preserve">ze jej </w:t>
      </w:r>
      <w:r w:rsidR="00755A48">
        <w:t xml:space="preserve">tedy </w:t>
      </w:r>
      <w:r w:rsidRPr="00976A97">
        <w:t xml:space="preserve">využít jen za předpokladu, že subjekt podal daňové přiznání. </w:t>
      </w:r>
      <w:r w:rsidR="00E05DD9">
        <w:t xml:space="preserve">Obecně vzato lze </w:t>
      </w:r>
      <w:r w:rsidR="008D5144">
        <w:t>tohoto kontrolního postupu</w:t>
      </w:r>
      <w:r w:rsidR="00E05DD9">
        <w:t xml:space="preserve"> </w:t>
      </w:r>
      <w:r w:rsidR="008D5144">
        <w:t>dle daňového řádu</w:t>
      </w:r>
      <w:r w:rsidRPr="00976A97">
        <w:t xml:space="preserve"> využít jen v případě, kdy </w:t>
      </w:r>
      <w:r w:rsidRPr="00976A97">
        <w:lastRenderedPageBreak/>
        <w:t>ještě nedoš</w:t>
      </w:r>
      <w:r w:rsidR="008D5144">
        <w:t>lo k</w:t>
      </w:r>
      <w:r w:rsidR="00A715E3">
        <w:t xml:space="preserve"> pravomocnému</w:t>
      </w:r>
      <w:r w:rsidR="008D5144">
        <w:t xml:space="preserve"> </w:t>
      </w:r>
      <w:r w:rsidR="001B11E8">
        <w:t xml:space="preserve">rozhodnutí </w:t>
      </w:r>
      <w:r w:rsidR="008D5144">
        <w:t>stanovení daně</w:t>
      </w:r>
      <w:r w:rsidRPr="00976A97">
        <w:t>.</w:t>
      </w:r>
      <w:r w:rsidR="00577EE5">
        <w:rPr>
          <w:rStyle w:val="Znakapoznpodarou"/>
        </w:rPr>
        <w:footnoteReference w:id="233"/>
      </w:r>
      <w:r w:rsidRPr="00976A97">
        <w:t xml:space="preserve"> </w:t>
      </w:r>
      <w:r w:rsidR="00331653">
        <w:t xml:space="preserve">Výjimkou z tohoto pravidla budou právě daně, k jejichž stanovení dochází v režimu samovyměření, neboť zahájení postupu k odstranění pochybností bude </w:t>
      </w:r>
      <w:r w:rsidR="00E05DD9">
        <w:t xml:space="preserve">vždy </w:t>
      </w:r>
      <w:r w:rsidR="00331653">
        <w:t>přicházet v úvahu až po samovyměření daně</w:t>
      </w:r>
      <w:r w:rsidR="002F43D5">
        <w:t>. Avšak pouze</w:t>
      </w:r>
      <w:r w:rsidR="00331653">
        <w:t xml:space="preserve"> na základě podaného přiznání</w:t>
      </w:r>
      <w:r w:rsidR="002F43D5">
        <w:t>, nikoliv</w:t>
      </w:r>
      <w:r w:rsidR="00331653">
        <w:t xml:space="preserve"> </w:t>
      </w:r>
      <w:r w:rsidR="002F43D5">
        <w:t>za situace</w:t>
      </w:r>
      <w:r w:rsidR="00E05DD9" w:rsidRPr="00976A97">
        <w:t xml:space="preserve">, kdy se poplatníkovi </w:t>
      </w:r>
      <w:r w:rsidR="00E05DD9">
        <w:t xml:space="preserve">v režimu </w:t>
      </w:r>
      <w:r w:rsidR="00E05DD9" w:rsidRPr="00976A97">
        <w:t>samovym</w:t>
      </w:r>
      <w:r w:rsidR="00E05DD9">
        <w:t>ěření vyměří</w:t>
      </w:r>
      <w:r w:rsidR="00E05DD9" w:rsidRPr="00976A97">
        <w:t xml:space="preserve"> daň </w:t>
      </w:r>
      <w:r w:rsidR="00E05DD9">
        <w:t>v nulové výši</w:t>
      </w:r>
      <w:r w:rsidR="00E05DD9" w:rsidRPr="00976A97">
        <w:t xml:space="preserve"> na základě </w:t>
      </w:r>
      <w:r w:rsidR="00E05DD9">
        <w:t>právní fikce</w:t>
      </w:r>
      <w:r w:rsidR="00C33D66">
        <w:t xml:space="preserve"> podání daňového přiznání</w:t>
      </w:r>
      <w:r w:rsidR="00E05DD9" w:rsidRPr="00976A97">
        <w:t xml:space="preserve">. </w:t>
      </w:r>
      <w:r w:rsidR="00A85E8E">
        <w:t xml:space="preserve">Správce daně se může k tomuto postupu uchýlit </w:t>
      </w:r>
      <w:r w:rsidRPr="00976A97">
        <w:t>pouze při existenci konkrétních nejasností plynoucích z daňového přiznání</w:t>
      </w:r>
      <w:r w:rsidR="00A85E8E">
        <w:t xml:space="preserve">, neboť tento postup slouží </w:t>
      </w:r>
      <w:r w:rsidRPr="00976A97">
        <w:t xml:space="preserve">zejména k bezprostřednímu a neprodlenému odstranění těchto jednotlivých, dílčích nejasností. Absence konkrétních pochybností při využití tohoto procesního prostředku by mohlo zakládat pochyby o zákonnosti postupu správce daně. Doměřovací řízení se zahajuje výzvou adresovanou povinnému subjektu. Mezi podstatné náležitosti výzvy patří vylíčení konkrétních pochybností, stanovení lhůty pro splnění výzvy a poučení o následcích nečinnosti povinného subjektu. Pochybnosti musejí být ve výzvě formulovány dostatečně konkrétně, tak aby povinný subjekt byl schopen se k nim vyjádřit a fakticky je odstranit. Lhůta k nápravě musí být stanovena přiměřeně, přičemž nesmí být kratší </w:t>
      </w:r>
      <w:r w:rsidR="00DF48C9">
        <w:t>patnácti</w:t>
      </w:r>
      <w:r w:rsidRPr="00976A97">
        <w:t xml:space="preserve"> dnů.</w:t>
      </w:r>
      <w:r w:rsidR="007B614C" w:rsidRPr="00976A97">
        <w:rPr>
          <w:rStyle w:val="Znakapoznpodarou"/>
          <w:rFonts w:ascii="Times New Roman" w:hAnsi="Times New Roman"/>
        </w:rPr>
        <w:footnoteReference w:id="234"/>
      </w:r>
      <w:r w:rsidRPr="00976A97">
        <w:t xml:space="preserve"> Za situace, kdy se tímto postupem nedaří nesrovnalosti odstranit, může postup k odstranění pochybností vyústit v daňovou kontrolu, </w:t>
      </w:r>
      <w:r w:rsidR="00CD3F96">
        <w:t>v </w:t>
      </w:r>
      <w:r w:rsidR="007330BD">
        <w:t>rámci,</w:t>
      </w:r>
      <w:r w:rsidR="00CD3F96">
        <w:t xml:space="preserve"> které může proběhnout rozsáhlejší dokazování.</w:t>
      </w:r>
    </w:p>
    <w:p w14:paraId="3969C4FC" w14:textId="77777777" w:rsidR="00A02C80" w:rsidRPr="00976A97" w:rsidRDefault="00DF48C9" w:rsidP="00DF48C9">
      <w:pPr>
        <w:pStyle w:val="Dalodstavce"/>
      </w:pPr>
      <w:r>
        <w:t>Právě daňová kontrola je další</w:t>
      </w:r>
      <w:r w:rsidR="00C33D66">
        <w:t>m</w:t>
      </w:r>
      <w:r>
        <w:t xml:space="preserve"> z možných způsobů</w:t>
      </w:r>
      <w:r w:rsidR="001A1B98">
        <w:t>,</w:t>
      </w:r>
      <w:r>
        <w:t xml:space="preserve"> jak přistoupit k doměření daně z moci úřední</w:t>
      </w:r>
      <w:r w:rsidR="00A02C80" w:rsidRPr="00976A97">
        <w:t>.</w:t>
      </w:r>
      <w:r w:rsidR="00A02C80">
        <w:rPr>
          <w:rStyle w:val="Znakapoznpodarou"/>
          <w:rFonts w:ascii="Times New Roman" w:hAnsi="Times New Roman"/>
        </w:rPr>
        <w:footnoteReference w:id="235"/>
      </w:r>
      <w:r w:rsidR="00A02C80" w:rsidRPr="00976A97">
        <w:t xml:space="preserve"> Daňová kontrola je specifický</w:t>
      </w:r>
      <w:r w:rsidR="00B65F32">
        <w:t xml:space="preserve"> procesní</w:t>
      </w:r>
      <w:r w:rsidR="00A02C80" w:rsidRPr="00976A97">
        <w:t xml:space="preserve"> postup, díky kterému může správce</w:t>
      </w:r>
      <w:r w:rsidR="00A02C80" w:rsidRPr="00976A97">
        <w:rPr>
          <w:i/>
          <w:iCs/>
        </w:rPr>
        <w:t xml:space="preserve"> „prověřit ve vymezeném rozsahu splnění daňových povinností subjektů, okolnosti rozhodné pro stanovení daně a rovněž tvrzení daňových subjektů.“</w:t>
      </w:r>
      <w:r w:rsidR="00A02C80" w:rsidRPr="00976A97">
        <w:rPr>
          <w:rStyle w:val="Znakapoznpodarou"/>
          <w:rFonts w:ascii="Times New Roman" w:hAnsi="Times New Roman"/>
        </w:rPr>
        <w:footnoteReference w:id="236"/>
      </w:r>
      <w:r w:rsidR="00A02C80" w:rsidRPr="00976A97">
        <w:rPr>
          <w:i/>
          <w:iCs/>
        </w:rPr>
        <w:t xml:space="preserve"> </w:t>
      </w:r>
      <w:r w:rsidR="00A02C80" w:rsidRPr="00976A97">
        <w:t>Jinými slovy řečeno, jedná se o postup správce v daňovém řízení, při kterém se ověřuje, jestli daňový subjekt vyčíslil svou daň ve správné výši v souladu se skutečným stavem věci. U daňové kontroly není nutností existence konkrétních pochybností</w:t>
      </w:r>
      <w:r w:rsidR="0047160C">
        <w:t>,</w:t>
      </w:r>
      <w:r w:rsidR="00A02C80" w:rsidRPr="00976A97">
        <w:t xml:space="preserve"> jako je tomu u postupu k odstranění pochybností. </w:t>
      </w:r>
      <w:r w:rsidR="00961F5B">
        <w:t>K daňové kontrole by se měl správce daně uchýlit za předpoklad</w:t>
      </w:r>
      <w:r w:rsidR="003D0635">
        <w:t>u, že se jedná o příliš obecné a</w:t>
      </w:r>
      <w:r w:rsidR="00961F5B">
        <w:t xml:space="preserve"> rozsáhlé pochybnosti. </w:t>
      </w:r>
      <w:r w:rsidR="00A02C80" w:rsidRPr="00976A97">
        <w:t xml:space="preserve">Daňovou kontrolou se má </w:t>
      </w:r>
      <w:r w:rsidR="007B614C">
        <w:t xml:space="preserve">totiž </w:t>
      </w:r>
      <w:r w:rsidR="00A02C80" w:rsidRPr="00976A97">
        <w:t xml:space="preserve">zajistit rozsáhlé prověření řádného plnění daňových povinností subjektů, ačkoliv je pak tento proces časově mnohem náročnější nežli u postupu </w:t>
      </w:r>
      <w:r w:rsidR="00A02C80" w:rsidRPr="00976A97">
        <w:lastRenderedPageBreak/>
        <w:t>k odstranění pochybností. Daňová kontrola lze obecně zahájit kdykoliv během daňového řízení.</w:t>
      </w:r>
      <w:r w:rsidR="00A02C80" w:rsidRPr="00976A97">
        <w:rPr>
          <w:rStyle w:val="Znakapoznpodarou"/>
          <w:rFonts w:ascii="Times New Roman" w:hAnsi="Times New Roman"/>
        </w:rPr>
        <w:footnoteReference w:id="237"/>
      </w:r>
      <w:r w:rsidR="00A02C80" w:rsidRPr="00976A97">
        <w:t xml:space="preserve"> U daně z hazardních her ale na rozdíl od obecného režimu bude daňová kontrola probíhat vždy až po vyměření daně, respektive samovyměření.</w:t>
      </w:r>
      <w:r w:rsidR="007B614C">
        <w:rPr>
          <w:rStyle w:val="Znakapoznpodarou"/>
        </w:rPr>
        <w:footnoteReference w:id="238"/>
      </w:r>
      <w:r w:rsidR="00A02C80" w:rsidRPr="00976A97">
        <w:t xml:space="preserve"> K zahájení daňové kontroly dochází dnem, kdy správce kontrolu začal fakticky vykonávat. Tímto okamžikem už není daňový subjekt oprávněn podat dodatečné daňové přiznání.</w:t>
      </w:r>
      <w:r w:rsidR="00A02C80" w:rsidRPr="00976A97">
        <w:rPr>
          <w:rStyle w:val="Znakapoznpodarou"/>
          <w:rFonts w:ascii="Times New Roman" w:hAnsi="Times New Roman"/>
        </w:rPr>
        <w:t xml:space="preserve"> </w:t>
      </w:r>
      <w:r w:rsidR="00A02C80" w:rsidRPr="00976A97">
        <w:t>Daňová kontrola končí sepsáním zprávy o daňové kontrole,</w:t>
      </w:r>
      <w:r w:rsidR="00A02C80" w:rsidRPr="00976A97">
        <w:rPr>
          <w:rStyle w:val="Znakapoznpodarou"/>
          <w:rFonts w:ascii="Times New Roman" w:hAnsi="Times New Roman"/>
        </w:rPr>
        <w:t xml:space="preserve"> </w:t>
      </w:r>
      <w:r w:rsidR="00A02C80" w:rsidRPr="00976A97">
        <w:t>která slouží jako podklad pro následné doměření poslední známé daně.</w:t>
      </w:r>
      <w:r w:rsidR="00A02C80" w:rsidRPr="00976A97">
        <w:rPr>
          <w:rStyle w:val="Znakapoznpodarou"/>
          <w:rFonts w:ascii="Times New Roman" w:hAnsi="Times New Roman"/>
        </w:rPr>
        <w:t xml:space="preserve"> </w:t>
      </w:r>
      <w:r w:rsidR="00A02C80" w:rsidRPr="00976A97">
        <w:t>Správce daně tak může zahájit doměřovací řízení na základě výsl</w:t>
      </w:r>
      <w:r w:rsidR="007B614C">
        <w:t>edků provedené daňové kontroly, j</w:t>
      </w:r>
      <w:r w:rsidR="00A02C80" w:rsidRPr="00976A97">
        <w:t xml:space="preserve">estliže </w:t>
      </w:r>
      <w:r w:rsidR="00B65F32">
        <w:t>je z</w:t>
      </w:r>
      <w:r w:rsidR="007B614C">
        <w:t xml:space="preserve"> nich</w:t>
      </w:r>
      <w:r w:rsidR="00A02C80" w:rsidRPr="00976A97">
        <w:t xml:space="preserve"> z</w:t>
      </w:r>
      <w:r w:rsidR="0054234C">
        <w:t>řejmá změna poslední známé daně.</w:t>
      </w:r>
      <w:r w:rsidR="00A02C80" w:rsidRPr="00976A97">
        <w:t xml:space="preserve"> </w:t>
      </w:r>
      <w:r w:rsidR="0054234C">
        <w:t>Na</w:t>
      </w:r>
      <w:r w:rsidR="00A02C80" w:rsidRPr="00976A97">
        <w:t xml:space="preserve"> základě tohoto podkladu </w:t>
      </w:r>
      <w:r w:rsidR="003D0635">
        <w:t xml:space="preserve">pak </w:t>
      </w:r>
      <w:r w:rsidR="00A02C80" w:rsidRPr="00976A97">
        <w:t>vydá správce daně dodatečný platební výměr na novou výši daně.</w:t>
      </w:r>
      <w:r w:rsidR="00194C7B" w:rsidRPr="00976A97">
        <w:rPr>
          <w:rStyle w:val="Znakapoznpodarou"/>
          <w:rFonts w:ascii="Times New Roman" w:hAnsi="Times New Roman"/>
        </w:rPr>
        <w:footnoteReference w:id="239"/>
      </w:r>
    </w:p>
    <w:p w14:paraId="29B6BBA9" w14:textId="77777777" w:rsidR="00080161" w:rsidRDefault="00A02C80" w:rsidP="00133C04">
      <w:pPr>
        <w:pStyle w:val="Dalodstavce"/>
        <w:rPr>
          <w:rFonts w:asciiTheme="minorHAnsi" w:hAnsiTheme="minorHAnsi"/>
        </w:rPr>
      </w:pPr>
      <w:r w:rsidRPr="00976A97">
        <w:t>Posledním způsobem doměření daně z moci úřední je zahájení doměřovacího řízení na základě nevyhovění výzvy k podání dodatečného daňového přiznání.</w:t>
      </w:r>
      <w:r>
        <w:rPr>
          <w:rStyle w:val="Znakapoznpodarou"/>
          <w:rFonts w:ascii="Times New Roman" w:hAnsi="Times New Roman"/>
        </w:rPr>
        <w:footnoteReference w:id="240"/>
      </w:r>
      <w:r w:rsidRPr="00976A97">
        <w:t xml:space="preserve">  K vydání výzvy se zpravidla bude přistupovat za situace, kdy neproběhla daňová kontrola, ale správce v rámci své činnosti zjistil nové rozhodné skutečnosti, které zakládají důvodné pochybnosti o správném stanovení poslední známé daně. Správce daně je tedy oprávněn vyzvat poplatníka k podání dodatečného daňového přiznání. Podmínkou uplatnění tohoto postupu je existence důvodných okolností, které nasvědčují</w:t>
      </w:r>
      <w:r w:rsidR="00133C04">
        <w:t xml:space="preserve"> tomu</w:t>
      </w:r>
      <w:r w:rsidRPr="00976A97">
        <w:t>, že bude daň doměřena.</w:t>
      </w:r>
      <w:r w:rsidRPr="00976A97">
        <w:rPr>
          <w:rStyle w:val="Znakapoznpodarou"/>
          <w:rFonts w:ascii="Times New Roman" w:hAnsi="Times New Roman"/>
        </w:rPr>
        <w:footnoteReference w:id="241"/>
      </w:r>
      <w:r w:rsidRPr="00976A97">
        <w:t xml:space="preserve"> Pouhé spekulace o nepravdivosti výše daně nebudou stačit. Výzva musí být podložena kvalifikovanými důvody.</w:t>
      </w:r>
      <w:r w:rsidRPr="00976A97">
        <w:rPr>
          <w:rStyle w:val="Znakapoznpodarou"/>
          <w:rFonts w:ascii="Times New Roman" w:hAnsi="Times New Roman"/>
        </w:rPr>
        <w:footnoteReference w:id="242"/>
      </w:r>
      <w:r w:rsidRPr="00976A97">
        <w:t xml:space="preserve"> Jak naznačila důvodová zpráva, může se zvláště jednat o očividné chyby v řádném daňovém přiznání, které zapříčiňují nesprávnou výši výsledné daně.</w:t>
      </w:r>
      <w:r w:rsidRPr="00976A97">
        <w:rPr>
          <w:rStyle w:val="Znakapoznpodarou"/>
          <w:rFonts w:ascii="Times New Roman" w:hAnsi="Times New Roman"/>
        </w:rPr>
        <w:footnoteReference w:id="243"/>
      </w:r>
      <w:r w:rsidRPr="00976A97">
        <w:t xml:space="preserve"> Důvody musejí být ve výzvě popsány tak, aby poplatníkovi bylo patrné, z jakého důvodu musí podat dodatečné daňové přiznání. Vedle důvodů je další podstatnou náležitostí určení lhůty ke splnění povinnosti. Za situace, kdy poplatník v této lhůtě dodatečné daňové přiznání podá, nedochází k zahájení doměřovací řízení a daň se samodoměří do výše, v jaké je tvrzena.</w:t>
      </w:r>
      <w:r w:rsidRPr="00976A97">
        <w:rPr>
          <w:rStyle w:val="Znakapoznpodarou"/>
          <w:rFonts w:ascii="Times New Roman" w:hAnsi="Times New Roman"/>
        </w:rPr>
        <w:footnoteReference w:id="244"/>
      </w:r>
      <w:r w:rsidR="00133C04">
        <w:t xml:space="preserve"> </w:t>
      </w:r>
      <w:r w:rsidRPr="00976A97">
        <w:t xml:space="preserve">K zahájení doměřovací řízení </w:t>
      </w:r>
      <w:r w:rsidRPr="00976A97">
        <w:lastRenderedPageBreak/>
        <w:t>z moci úřední dochází až marným uplynutím lhůty pro podání</w:t>
      </w:r>
      <w:r>
        <w:t xml:space="preserve"> dodatečného daňového přiznání</w:t>
      </w:r>
      <w:r w:rsidRPr="00976A97">
        <w:t>.</w:t>
      </w:r>
      <w:r w:rsidRPr="00976A97">
        <w:rPr>
          <w:rStyle w:val="Znakapoznpodarou"/>
          <w:rFonts w:ascii="Times New Roman" w:hAnsi="Times New Roman"/>
        </w:rPr>
        <w:footnoteReference w:id="245"/>
      </w:r>
      <w:r w:rsidRPr="00976A97">
        <w:t xml:space="preserve"> Podle daňového řádu se zpravidla řízení zahajuje prvním úkonem správce vůči osobě povinné.</w:t>
      </w:r>
      <w:r w:rsidRPr="00976A97">
        <w:rPr>
          <w:rStyle w:val="Znakapoznpodarou"/>
          <w:rFonts w:ascii="Times New Roman" w:hAnsi="Times New Roman"/>
        </w:rPr>
        <w:footnoteReference w:id="246"/>
      </w:r>
      <w:r w:rsidRPr="00976A97">
        <w:t xml:space="preserve"> Bez absence speciálního </w:t>
      </w:r>
      <w:r w:rsidRPr="00715690">
        <w:rPr>
          <w:rFonts w:asciiTheme="minorHAnsi" w:hAnsiTheme="minorHAnsi"/>
        </w:rPr>
        <w:t>ustanovení o zahájení doměřovacího řízení</w:t>
      </w:r>
      <w:r w:rsidR="003D0635" w:rsidRPr="00715690">
        <w:rPr>
          <w:rFonts w:asciiTheme="minorHAnsi" w:hAnsiTheme="minorHAnsi"/>
        </w:rPr>
        <w:t xml:space="preserve"> v zákoně o dani z hazardních her</w:t>
      </w:r>
      <w:r w:rsidRPr="00715690">
        <w:rPr>
          <w:rFonts w:asciiTheme="minorHAnsi" w:hAnsiTheme="minorHAnsi"/>
        </w:rPr>
        <w:t xml:space="preserve"> by k zahájení řízení došlo již samotnou výzvou. Důsledkem toho by byla následná nemožnost samodoměření daně na základě podaného dodatečného daňového přiznání na výzvu správce, jelikož daň nelze samodoměřit v průběhu doměřovacího řízení</w:t>
      </w:r>
      <w:r w:rsidR="00540609" w:rsidRPr="00715690">
        <w:rPr>
          <w:rFonts w:asciiTheme="minorHAnsi" w:hAnsiTheme="minorHAnsi"/>
        </w:rPr>
        <w:t xml:space="preserve"> zahájeného správcem daně.</w:t>
      </w:r>
      <w:r w:rsidRPr="00715690">
        <w:rPr>
          <w:rStyle w:val="Znakapoznpodarou"/>
          <w:rFonts w:asciiTheme="minorHAnsi" w:hAnsiTheme="minorHAnsi"/>
        </w:rPr>
        <w:footnoteReference w:id="247"/>
      </w:r>
    </w:p>
    <w:p w14:paraId="6249FA24" w14:textId="77777777" w:rsidR="00A02C80" w:rsidRPr="00976A97" w:rsidRDefault="00A02C80" w:rsidP="00133C04">
      <w:pPr>
        <w:pStyle w:val="Dalodstavce"/>
      </w:pPr>
      <w:r w:rsidRPr="00715690">
        <w:rPr>
          <w:rFonts w:asciiTheme="minorHAnsi" w:hAnsiTheme="minorHAnsi"/>
        </w:rPr>
        <w:t>V průběhu doměřovacího řízení pak může být daň stanovena správcem daně za použití pomůcek, eventu</w:t>
      </w:r>
      <w:r w:rsidR="00067FD0" w:rsidRPr="00715690">
        <w:rPr>
          <w:rFonts w:asciiTheme="minorHAnsi" w:hAnsiTheme="minorHAnsi"/>
        </w:rPr>
        <w:t>á</w:t>
      </w:r>
      <w:r w:rsidRPr="00715690">
        <w:rPr>
          <w:rFonts w:asciiTheme="minorHAnsi" w:hAnsiTheme="minorHAnsi"/>
        </w:rPr>
        <w:t>lně se daň doměří sjednáním. Postup stanovení daně pomocí pomůcek a sjednáním je ponechán na daňovém řádu.</w:t>
      </w:r>
      <w:r w:rsidRPr="00715690">
        <w:rPr>
          <w:rStyle w:val="Znakapoznpodarou"/>
          <w:rFonts w:asciiTheme="minorHAnsi" w:hAnsiTheme="minorHAnsi"/>
        </w:rPr>
        <w:footnoteReference w:id="248"/>
      </w:r>
      <w:r w:rsidRPr="00715690">
        <w:rPr>
          <w:rFonts w:asciiTheme="minorHAnsi" w:hAnsiTheme="minorHAnsi"/>
        </w:rPr>
        <w:t xml:space="preserve"> Správce daně postup ke stanovení daně nemůže libovolně volit. Daňovým řádem se upřednostňuje stanovení dokazováním. Pomůcek se využije až v situaci, kdy daň nelz</w:t>
      </w:r>
      <w:r w:rsidR="00540609" w:rsidRPr="00715690">
        <w:rPr>
          <w:rFonts w:asciiTheme="minorHAnsi" w:hAnsiTheme="minorHAnsi"/>
        </w:rPr>
        <w:t xml:space="preserve">e spolehlivě určit dokazováním a </w:t>
      </w:r>
      <w:r w:rsidRPr="00715690">
        <w:rPr>
          <w:rFonts w:asciiTheme="minorHAnsi" w:hAnsiTheme="minorHAnsi"/>
        </w:rPr>
        <w:t xml:space="preserve">ke sjednání daně se přistoupí až v případě, kdy není možné daň stanovit </w:t>
      </w:r>
      <w:r w:rsidR="002919AB" w:rsidRPr="00715690">
        <w:rPr>
          <w:rFonts w:asciiTheme="minorHAnsi" w:hAnsiTheme="minorHAnsi"/>
        </w:rPr>
        <w:t xml:space="preserve">ani </w:t>
      </w:r>
      <w:r w:rsidRPr="00715690">
        <w:rPr>
          <w:rFonts w:asciiTheme="minorHAnsi" w:hAnsiTheme="minorHAnsi"/>
        </w:rPr>
        <w:t>pomůckami.</w:t>
      </w:r>
    </w:p>
    <w:p w14:paraId="4B0E1650" w14:textId="4E2E01E2" w:rsidR="00A02C80" w:rsidRDefault="00A02C80" w:rsidP="00A02C80">
      <w:pPr>
        <w:pStyle w:val="Dalodstavce"/>
      </w:pPr>
      <w:r w:rsidRPr="00976A97">
        <w:t xml:space="preserve">Může se stát, že poplatník podá dodatečné daňové přiznání až po marném uplynutí lhůty, tedy během </w:t>
      </w:r>
      <w:r w:rsidR="003D0635">
        <w:t xml:space="preserve">probíhajícího </w:t>
      </w:r>
      <w:r w:rsidRPr="00976A97">
        <w:t>doměřovacího řízení</w:t>
      </w:r>
      <w:r w:rsidR="003D0635">
        <w:t xml:space="preserve"> zahájeného správcem daně</w:t>
      </w:r>
      <w:r w:rsidRPr="00976A97">
        <w:t>. S touto skutečností zákon o dani z hazardních her pojí několik důsledků. Shodně s obecnou úpravou je správce daně povinen použít při doměření daně údaje z takto podaného přiznání.</w:t>
      </w:r>
      <w:r w:rsidRPr="00976A97">
        <w:rPr>
          <w:rStyle w:val="Znakapoznpodarou"/>
          <w:rFonts w:ascii="Times New Roman" w:hAnsi="Times New Roman"/>
        </w:rPr>
        <w:footnoteReference w:id="249"/>
      </w:r>
      <w:r w:rsidRPr="00976A97">
        <w:t xml:space="preserve"> To platí pouze</w:t>
      </w:r>
      <w:r w:rsidR="00482D06">
        <w:t>,</w:t>
      </w:r>
      <w:r w:rsidRPr="00976A97">
        <w:t xml:space="preserve"> pokud jsou údaje pravdivé, respektive korespondují se zjištěn</w:t>
      </w:r>
      <w:r>
        <w:t>í</w:t>
      </w:r>
      <w:r w:rsidRPr="00976A97">
        <w:t>mi správce. Na rozdíl od obecné úpravy podáním takového přiznání v průběhu doměřovací řízení ex off</w:t>
      </w:r>
      <w:r w:rsidR="002674B2">
        <w:t>ici</w:t>
      </w:r>
      <w:r w:rsidRPr="00976A97">
        <w:t>o nedochází k zahájení doměřovacího řízení z iniciativy poplatníka.</w:t>
      </w:r>
      <w:r w:rsidRPr="00976A97">
        <w:rPr>
          <w:rStyle w:val="Znakapoznpodarou"/>
          <w:rFonts w:ascii="Times New Roman" w:hAnsi="Times New Roman"/>
        </w:rPr>
        <w:footnoteReference w:id="250"/>
      </w:r>
      <w:r w:rsidRPr="00976A97">
        <w:t xml:space="preserve"> Domeřovací řízení se zpravidla zahajuje dnem, kdy správci byl</w:t>
      </w:r>
      <w:r w:rsidR="00DD1C3A">
        <w:t xml:space="preserve">o doručeno první podání ve věci. Tedy i podání dodatečného daňového přiznání po marném uplynutí lhůty má v obecné rovině daňového řádu za následek zahájení doměřovacího řízení. </w:t>
      </w:r>
      <w:r w:rsidR="00207BB7">
        <w:t>Při absenci speciální úpravy v zákoně o dani z hazardních her by tak byl s</w:t>
      </w:r>
      <w:r w:rsidR="00DD1C3A">
        <w:t xml:space="preserve">právce </w:t>
      </w:r>
      <w:r w:rsidR="00207BB7">
        <w:t xml:space="preserve">daně </w:t>
      </w:r>
      <w:r w:rsidR="00DD1C3A">
        <w:t xml:space="preserve">nucen </w:t>
      </w:r>
      <w:r w:rsidR="00207BB7">
        <w:t xml:space="preserve">první </w:t>
      </w:r>
      <w:r w:rsidR="00DD1C3A">
        <w:t>takto zahájené řízení ukončit</w:t>
      </w:r>
      <w:r w:rsidRPr="00976A97">
        <w:t xml:space="preserve"> a </w:t>
      </w:r>
      <w:r w:rsidRPr="00976A97">
        <w:lastRenderedPageBreak/>
        <w:t>následně pokračovat v řízení zahájeném z moci úřední.</w:t>
      </w:r>
      <w:r w:rsidRPr="00976A97">
        <w:rPr>
          <w:rStyle w:val="Znakapoznpodarou"/>
          <w:rFonts w:ascii="Times New Roman" w:hAnsi="Times New Roman"/>
        </w:rPr>
        <w:footnoteReference w:id="251"/>
      </w:r>
      <w:r w:rsidRPr="00976A97">
        <w:t xml:space="preserve"> </w:t>
      </w:r>
      <w:r w:rsidR="00D4364B">
        <w:t>Posledním důsledkem právě probíhající řízení zahájeného z moci úřední vznik překážky pro samodoměření daně na základě podání dodatečného daňového přiznání.</w:t>
      </w:r>
    </w:p>
    <w:p w14:paraId="767ACFBA" w14:textId="77777777" w:rsidR="003D0635" w:rsidRPr="00976A97" w:rsidRDefault="003D0635" w:rsidP="00A02C80">
      <w:pPr>
        <w:pStyle w:val="Dalodstavce"/>
      </w:pPr>
      <w:r>
        <w:t>K završení cíle správy daní dochází v platební rovině daňového řízení.</w:t>
      </w:r>
      <w:r w:rsidR="0087597A">
        <w:t xml:space="preserve"> Platební rovina správy daní probíhá zásadně paralelně s rovinou </w:t>
      </w:r>
      <w:r w:rsidR="00D524CC">
        <w:t>nalézací, což je způsobeno tím, že da</w:t>
      </w:r>
      <w:r w:rsidR="00AB5735">
        <w:t>ň se stává splatnou v nejzazší den lhůty</w:t>
      </w:r>
      <w:r w:rsidR="00D524CC">
        <w:t xml:space="preserve"> pro podání řádného daňového přiznání</w:t>
      </w:r>
      <w:r w:rsidR="00AB5735">
        <w:t>.</w:t>
      </w:r>
      <w:r w:rsidR="003E4F53">
        <w:t xml:space="preserve"> K samotnému uhrazení daně musí dojít nejpozději v den </w:t>
      </w:r>
      <w:r w:rsidR="00A732E0">
        <w:t>její splatnosti</w:t>
      </w:r>
      <w:r w:rsidR="002F6542">
        <w:t>, jinak se poplatník dostává do prodlení a vzniká mu tzv. nedoplatek, ze kterého vzniká úrok z prodlení.</w:t>
      </w:r>
      <w:r w:rsidR="00642182">
        <w:rPr>
          <w:rStyle w:val="Znakapoznpodarou"/>
        </w:rPr>
        <w:footnoteReference w:id="252"/>
      </w:r>
      <w:r w:rsidR="00A732E0">
        <w:t xml:space="preserve"> Poplatník může daň zaplatit v hotovosti, bezhotovostním převodem, případně přeplatkem na jiné dani.</w:t>
      </w:r>
      <w:r w:rsidR="00642182">
        <w:t xml:space="preserve"> </w:t>
      </w:r>
      <w:r w:rsidR="00BC05E4">
        <w:t xml:space="preserve">Určení dne platby </w:t>
      </w:r>
      <w:r w:rsidR="002F6542">
        <w:t xml:space="preserve">je důležité </w:t>
      </w:r>
      <w:r w:rsidR="00A74AC7">
        <w:t>vzhledem ke zmíněným úrokům z prodlení. U</w:t>
      </w:r>
      <w:r w:rsidR="00BC05E4">
        <w:t xml:space="preserve"> hotovostních plateb </w:t>
      </w:r>
      <w:r w:rsidR="00311C15">
        <w:t>určení dne problematické nebude. Za den platby se považuje den</w:t>
      </w:r>
      <w:r w:rsidR="008175EE">
        <w:t xml:space="preserve">, kdy úřední osoba převzala hotovost. U bezhotovostních plateb bude rozhodující den, kdy byla částka připsána na účet správce daně. </w:t>
      </w:r>
      <w:r w:rsidR="006F204F">
        <w:t>Primárně by měla být daň uhrazena v české měně. Nicméně pokud dojde k jejímu uhrazení bezhotovostním převodem v cizí měně, zaeviduje se na příslušný osobní daňový účet v hodnotě, v jaké byla připsána na účet správce daně v české měně.</w:t>
      </w:r>
      <w:r w:rsidR="00AD2BF3">
        <w:rPr>
          <w:rStyle w:val="Znakapoznpodarou"/>
        </w:rPr>
        <w:footnoteReference w:id="253"/>
      </w:r>
    </w:p>
    <w:p w14:paraId="60801C83" w14:textId="77777777" w:rsidR="00A02C80" w:rsidRDefault="00A02C80" w:rsidP="00947F41">
      <w:pPr>
        <w:pStyle w:val="Dalodstavce"/>
      </w:pPr>
      <w:r w:rsidRPr="00976A97">
        <w:t>Je zjevné, že správa daně z hazardních her se v mnoha ohledech liší od obecné úpravy obsažené v daňovém řádu, podle které se postupovalo za účinnosti loterního zákona, jelikož správa odvodu v loterním zákoně absentovala. A sám loterní zákon výslovně odkazoval na</w:t>
      </w:r>
      <w:r w:rsidR="0087152C">
        <w:t xml:space="preserve"> úpravu obsaženou v daňovém řádu</w:t>
      </w:r>
      <w:r w:rsidRPr="00976A97">
        <w:t>.</w:t>
      </w:r>
      <w:r w:rsidRPr="00976A97">
        <w:rPr>
          <w:rStyle w:val="Znakapoznpodarou"/>
          <w:rFonts w:ascii="Times New Roman" w:hAnsi="Times New Roman"/>
        </w:rPr>
        <w:footnoteReference w:id="254"/>
      </w:r>
      <w:r w:rsidRPr="00976A97">
        <w:t xml:space="preserve"> Stěžejní změnou je zejména implementace institutů samovyměření a samodoměření. Zákon o dani z hazardních her není jediným právním předpisem, kde</w:t>
      </w:r>
      <w:r w:rsidR="006C26F8">
        <w:t xml:space="preserve"> se </w:t>
      </w:r>
      <w:r w:rsidRPr="00976A97">
        <w:t>institut samovyměření objevil. Dílčí aspekty nalezneme i v zákoně o dani z přidané hodnoty v rámci režimu jednoho správního místa.</w:t>
      </w:r>
      <w:r w:rsidRPr="00976A97">
        <w:rPr>
          <w:rStyle w:val="Znakapoznpodarou"/>
          <w:rFonts w:ascii="Times New Roman" w:hAnsi="Times New Roman"/>
        </w:rPr>
        <w:footnoteReference w:id="255"/>
      </w:r>
      <w:r w:rsidRPr="00976A97">
        <w:t xml:space="preserve"> A s ohledem na výhody z této konstrukce speciálního stanovení daně by se dalo uvažovat i o plošné aplikaci na všechny daně, u kterých dochází ke stanovení na základě daňového přiznání. Nejenže se sníží administrativní náročnost, a to v tom smyslu, že </w:t>
      </w:r>
      <w:r w:rsidRPr="00976A97">
        <w:lastRenderedPageBreak/>
        <w:t>správce daně už nebude muset vydávat platební výměry</w:t>
      </w:r>
      <w:r w:rsidR="003D1AE0">
        <w:t>, které se za předpokladu, že v nich stanovená daň byla shodná s tvrzenou daní, ani daňovým subjektům nedoručovaly</w:t>
      </w:r>
      <w:r w:rsidRPr="00976A97">
        <w:t>. Samovyměření budou shledávat značně výhodnější i plátci, kteří nárokují nadměrné odpočty</w:t>
      </w:r>
      <w:r w:rsidR="00947F41">
        <w:t>, neboť současná právní úprava neumožňuje vracet nespornou část daňových odpočtů.</w:t>
      </w:r>
      <w:r w:rsidRPr="00976A97">
        <w:t xml:space="preserve"> V případě, že správce daně má pochybnosti, byť jen o části odpočtu, kterou plátce nárokuje, jsou plátci při současném modelu stanovení daně totiž nuceni čekat až na objasnění pochybností ohledně </w:t>
      </w:r>
      <w:r w:rsidR="009B3021">
        <w:t>t</w:t>
      </w:r>
      <w:r w:rsidR="00947F41">
        <w:t>ohoto zlomku nárokované částky.</w:t>
      </w:r>
      <w:r w:rsidRPr="00976A97">
        <w:rPr>
          <w:rStyle w:val="Znakapoznpodarou"/>
          <w:rFonts w:ascii="Times New Roman" w:hAnsi="Times New Roman"/>
        </w:rPr>
        <w:footnoteReference w:id="256"/>
      </w:r>
      <w:r w:rsidRPr="00976A97">
        <w:t xml:space="preserve"> </w:t>
      </w:r>
      <w:r w:rsidR="00947F41">
        <w:t xml:space="preserve">Neboť k vyplácení daňových odpočtů dochází až po vyměření daně správcem daně. Přičemž dle současné právní úpravy není možné, aby správce vydal rozhodnutí jen o části daně, vždy se musí jednat o daň celou. </w:t>
      </w:r>
      <w:r w:rsidRPr="00976A97">
        <w:t>Při zavedení samovyměření dochází ke stanovení daně ex lege uplynutím lhůty pro podání daňového přiznání. Plátci tak nebudou nuceni čekat na to, jak se správce s daňovým přiznání</w:t>
      </w:r>
      <w:r w:rsidR="0047160C">
        <w:t>m</w:t>
      </w:r>
      <w:r w:rsidRPr="00976A97">
        <w:t xml:space="preserve"> vypořádá. Další pozitivum, které uvítají subjekty podléhající registraci, je zejména fakt, že nebudou muset podávat oznámení správci daně o skutečnosti, že jim ve zdaňovacím období nevznikla žádná daňová povinnost, protože v případě nepodání daňového přiznání se bude daň </w:t>
      </w:r>
      <w:r w:rsidR="007E6B3C">
        <w:t xml:space="preserve">automaticky </w:t>
      </w:r>
      <w:r w:rsidRPr="00976A97">
        <w:t xml:space="preserve">považovat za tvrzenou </w:t>
      </w:r>
      <w:r w:rsidR="006C26F8">
        <w:t>v nulové výši</w:t>
      </w:r>
      <w:r w:rsidRPr="00976A97">
        <w:t>.</w:t>
      </w:r>
      <w:r w:rsidRPr="00976A97">
        <w:rPr>
          <w:rStyle w:val="Znakapoznpodarou"/>
          <w:rFonts w:ascii="Times New Roman" w:hAnsi="Times New Roman"/>
        </w:rPr>
        <w:footnoteReference w:id="257"/>
      </w:r>
    </w:p>
    <w:p w14:paraId="2DD2B6DE" w14:textId="77777777" w:rsidR="004C3A23" w:rsidRDefault="00A551C5" w:rsidP="00FA5CFD">
      <w:pPr>
        <w:pStyle w:val="Nadpis1"/>
        <w:numPr>
          <w:ilvl w:val="0"/>
          <w:numId w:val="0"/>
        </w:numPr>
        <w:ind w:left="360"/>
      </w:pPr>
      <w:bookmarkStart w:id="49" w:name="_Toc2781036"/>
      <w:bookmarkStart w:id="50" w:name="_Toc44451456"/>
      <w:r w:rsidRPr="00152A7A">
        <w:lastRenderedPageBreak/>
        <w:t>Závěr</w:t>
      </w:r>
      <w:bookmarkEnd w:id="49"/>
      <w:bookmarkEnd w:id="50"/>
    </w:p>
    <w:p w14:paraId="07BE1DFF" w14:textId="77777777" w:rsidR="00D63E35" w:rsidRDefault="00D63E35" w:rsidP="00C941AC">
      <w:pPr>
        <w:pStyle w:val="Odstavec1"/>
      </w:pPr>
    </w:p>
    <w:p w14:paraId="23916DB8" w14:textId="77777777" w:rsidR="00A02C80" w:rsidRPr="00976A97" w:rsidRDefault="00A02C80" w:rsidP="00A02C80">
      <w:pPr>
        <w:pStyle w:val="Odstavec1"/>
      </w:pPr>
      <w:r w:rsidRPr="00976A97">
        <w:t>S ohledem na právní úpravu obsaženou v loterním zákoně, která byla nesporně zastaralá</w:t>
      </w:r>
      <w:r w:rsidR="0047160C">
        <w:t>,</w:t>
      </w:r>
      <w:r w:rsidRPr="00976A97">
        <w:t xml:space="preserve"> a zjevně nedostačují, musím současnou právní úpravu hodnotit vcelku kladně. Hlavní pozitivum shledávám v otevření českého trhu provozovatelům hazardních her sídlících na území některého z členských států EU a států utvářející E</w:t>
      </w:r>
      <w:r>
        <w:t>vropský hospodářský prostor</w:t>
      </w:r>
      <w:r w:rsidRPr="00976A97">
        <w:t>, čímž došlo mimo jiné k odstranění nerovností v oblasti hospodářské soutěže, když i tito, dříve pololegální provozovatelé, budou poplatníky daně z hazardních her. Krokem vpřed je i bezesporu zdanění nelegálních provozovatelů hazardních her, protože skutečnost, že danou činnost provozují, ale neoprávněně, tedy bez držby nutného základního povolení nebo ohlášení, není důvodem</w:t>
      </w:r>
      <w:r w:rsidR="0047160C">
        <w:t>,</w:t>
      </w:r>
      <w:r w:rsidRPr="00976A97">
        <w:t xml:space="preserve"> aby nebyli poplatníky daně stejně jako subjekty, kteří činnost provozují v souladu se zákonem. Nesporným kladem je i ucelené zakotvení internetu jako obecné platformy pro provozování hazardních her. V neposlední řadě musím pozitivně hodnotit i to, že daň z hazardních her si nezachovala právní kontinuity s úpravou odvodu v tom smyslu, že již neobsahuje žádné korekční prvky, kterými by se dalo daň ponížit. </w:t>
      </w:r>
    </w:p>
    <w:p w14:paraId="1D2AFA85" w14:textId="77777777" w:rsidR="00A02C80" w:rsidRPr="00976A97" w:rsidRDefault="00A02C80" w:rsidP="00A02C80">
      <w:pPr>
        <w:pStyle w:val="Dalodstavce"/>
      </w:pPr>
      <w:r w:rsidRPr="00976A97">
        <w:t>I přesto, že současnou regulaci hazardních her považuji v mnoha ohledech za více než přínosnou, nejedná se o dokonalé ztvárnění systému zdanění hazardních her. Dopracovat se k ideální právní úpravě, která by však byla všestranně akceptována, je absolutně nerealizovatelné, a nejen proto, že se jedná o tak dynamickou oblast díky technologickému vývoji, ale také, protože je obtížné dostát konsensu u veřejnosti. Vždy budou proti sobě stát liberální názory přívrženců hazardních her a názory zastánců restriktivní regulace této oblasti, popřípadě zastánců absolutní prohibice.</w:t>
      </w:r>
    </w:p>
    <w:p w14:paraId="14D98F85" w14:textId="77777777" w:rsidR="00A02C80" w:rsidRPr="00976A97" w:rsidRDefault="00A02C80" w:rsidP="00A02C80">
      <w:pPr>
        <w:pStyle w:val="Dalodstavce"/>
      </w:pPr>
      <w:r w:rsidRPr="00976A97">
        <w:t>Osobně si myslím, že zakázání hazardních her by bylo spíše kontraproduktivní, a to v tom ohledu, že by vzrostl počet nelegáln</w:t>
      </w:r>
      <w:r>
        <w:t>ě provozovaných hazardních her</w:t>
      </w:r>
      <w:r w:rsidRPr="00976A97">
        <w:t>. Nejsem ani zastáncem liberálního přístupu, spíše se přikláním k restriktiv</w:t>
      </w:r>
      <w:r>
        <w:t>ní</w:t>
      </w:r>
      <w:r w:rsidRPr="00976A97">
        <w:t xml:space="preserve"> regulaci s důrazem na ochranu hráčů a společnosti před dopadem negativ plynoucích z tohoto průmyslu. Závěrem bych </w:t>
      </w:r>
      <w:r>
        <w:t xml:space="preserve">tedy </w:t>
      </w:r>
      <w:r w:rsidRPr="00976A97">
        <w:t>nastínila možné úvahy de lege ferenda v oblasti zdanění hazardních her jako možný nástroj restriktivních opatření.</w:t>
      </w:r>
    </w:p>
    <w:p w14:paraId="79639490" w14:textId="77777777" w:rsidR="00A02C80" w:rsidRPr="00976A97" w:rsidRDefault="00A02C80" w:rsidP="00080161">
      <w:pPr>
        <w:pStyle w:val="Dalodstavce"/>
      </w:pPr>
      <w:r w:rsidRPr="00976A97">
        <w:lastRenderedPageBreak/>
        <w:t>Fiskální funkce daně z hazardních her je, jak jsem již uvedla výše, beze sporu její nejdůležitější funkcí, když účelem daně je v první řadě zajištění příjmu státu a d</w:t>
      </w:r>
      <w:r w:rsidR="00080161">
        <w:t>alším veřejnoprávním korporacím.</w:t>
      </w:r>
      <w:r w:rsidRPr="00976A97">
        <w:rPr>
          <w:rStyle w:val="Znakapoznpodarou"/>
          <w:rFonts w:ascii="Times New Roman" w:hAnsi="Times New Roman"/>
        </w:rPr>
        <w:footnoteReference w:id="258"/>
      </w:r>
      <w:r w:rsidRPr="00976A97">
        <w:t xml:space="preserve"> Výnos daně z hazardních her není ani pro stát, ani pro obce bagatelní částkou a může být využít na různé veřejné výdaje, včetně minimalizace negativních následků spojených s oblastí hazardních her. Vedle toho ale ani funkce regulační nehraje zanedbatelný význam ve vztahu k hazardním hrám. Oblast hazardních her je velice specifická a nese s sebou spoustu negativ. Proto je žádoucí, aby stát danou oblast reguloval i nepřímo, a to nastavením adekvátní daňové politiky. Uvalení vyšší daně na aktivity, které stát považuje za škodlivé nebo nežádoucí, za účelem jejich omezení, je zcela běžné.</w:t>
      </w:r>
      <w:r w:rsidRPr="00976A97">
        <w:rPr>
          <w:rStyle w:val="Znakapoznpodarou"/>
          <w:rFonts w:ascii="Times New Roman" w:hAnsi="Times New Roman"/>
        </w:rPr>
        <w:footnoteReference w:id="259"/>
      </w:r>
      <w:r w:rsidR="00080161">
        <w:t xml:space="preserve"> </w:t>
      </w:r>
      <w:r w:rsidRPr="00976A97">
        <w:t>Nicméně v současné právní úpravě se dle mého názoru spíše promítla snaha o odrazení potencionálních a současných provozovatelů od výkonu této činnosti, když ve vztahu k účastníkům hry volil stát spíše liberální přístup, kdy výhry zůstaly daní nezatíženy a jsou nadále předmětem osvobození od daně z příjmů fyzických osob.</w:t>
      </w:r>
      <w:r w:rsidRPr="00976A97">
        <w:rPr>
          <w:rStyle w:val="Znakapoznpodarou"/>
          <w:rFonts w:ascii="Times New Roman" w:hAnsi="Times New Roman"/>
        </w:rPr>
        <w:footnoteReference w:id="260"/>
      </w:r>
      <w:r w:rsidRPr="00976A97">
        <w:t xml:space="preserve"> I když se vyšší zdanění provozovatelů hazardních her fakticky může přenést na hráče, a to zejména v podobě ceny za poskytované služby v oblasti hazardních her, většina účastníků hry si to v důsledku ani neuvědomí. Proto si myslím, že optimální nastavení daňové politiky výher by mohlo vést aspoň k mírnému snížení počtu zájemců o hazardní hry, protože by si existence daně byli plně vědomi. Navíc stát tak umožňuje účastníkovi hry si relativně jednoduše pro sebe získat určitý finanční příjem. Samozřejmě takový závěr není univerzálně akceptovatelný. Jako stěžejní argument proti zdanění výher je uváděna skutečnost, že účastníkem vynaložené finanční prostředky k účasti na hazardní hře už jsou de</w:t>
      </w:r>
      <w:r w:rsidR="00BF6B94">
        <w:t xml:space="preserve"> </w:t>
      </w:r>
      <w:r w:rsidRPr="00976A97">
        <w:t>facto jednou zdaněny a při uvalení daně na výhru by se jednalo o dvojí zdanění.</w:t>
      </w:r>
      <w:r w:rsidRPr="00976A97">
        <w:rPr>
          <w:rStyle w:val="Znakapoznpodarou"/>
          <w:rFonts w:ascii="Times New Roman" w:hAnsi="Times New Roman"/>
        </w:rPr>
        <w:footnoteReference w:id="261"/>
      </w:r>
      <w:r w:rsidR="00B437DC">
        <w:t xml:space="preserve">  S tímto názorem se příliš neztotožňuji.</w:t>
      </w:r>
      <w:r w:rsidR="009D26C4">
        <w:t xml:space="preserve"> </w:t>
      </w:r>
      <w:r w:rsidR="00F8692D">
        <w:t xml:space="preserve">V takovém případě bychom totiž mohli eventuálně považovat i daň z přidané hodnoty za dvojí zdanění. </w:t>
      </w:r>
      <w:r w:rsidRPr="00976A97">
        <w:t xml:space="preserve">Co se týká způsobu zdanění, nabízí se dvě možnosti. Zdanění výhry v obecném základu daně jako ostatní příjmy nebo formou srážkové daně. Srážková daň je sice z hlediska administrativní náročnosti správy daně mnohem </w:t>
      </w:r>
      <w:r w:rsidRPr="00976A97">
        <w:lastRenderedPageBreak/>
        <w:t xml:space="preserve">vhodnější, jelikož je daň odváděna správci daně provozovatelem, na druhou stranu tento model zdanění výher nezohledňuje výdaje, kterými by bylo možné základ daně ponížit. Do základu daně vstupují pouze výhry, nikoliv vložené vklady, jejichž celková výše může </w:t>
      </w:r>
      <w:r>
        <w:t xml:space="preserve">mnohdy </w:t>
      </w:r>
      <w:r w:rsidRPr="00976A97">
        <w:t xml:space="preserve">převyšovat i </w:t>
      </w:r>
      <w:r>
        <w:t xml:space="preserve">výši </w:t>
      </w:r>
      <w:r w:rsidRPr="00976A97">
        <w:t>výhr</w:t>
      </w:r>
      <w:r>
        <w:t>y</w:t>
      </w:r>
      <w:r w:rsidRPr="00976A97">
        <w:t xml:space="preserve">. V takovém případě by byl účinek daně pro poplatníka likvidační. Naopak při zdanění výher na základě daňového přiznání může účastník hry příjem, resp. výhru, snížit o výdaje, které musel vynaložit k jeho dosažení, tedy vložené vklady. Tento způsob zdanění výher více reflektuje obecný daňový princip založený na zdaňování rozdílu mezi výnosy a náklady. Avšak zásadním nedostatkem tohoto modelu zdanění je </w:t>
      </w:r>
      <w:r w:rsidR="0071056B" w:rsidRPr="00976A97">
        <w:t>narůst</w:t>
      </w:r>
      <w:r w:rsidR="00080161">
        <w:t xml:space="preserve"> daňových subjektů.</w:t>
      </w:r>
      <w:r w:rsidRPr="00976A97">
        <w:rPr>
          <w:rStyle w:val="Znakapoznpodarou"/>
          <w:rFonts w:ascii="Times New Roman" w:hAnsi="Times New Roman"/>
        </w:rPr>
        <w:footnoteReference w:id="262"/>
      </w:r>
      <w:r w:rsidRPr="00976A97">
        <w:t xml:space="preserve"> V závěru bych ještě chtěla uvést, že výhry ze znalostních a vědomostních soutěží daní zatíženy jsou. Přitom míra společenské škodlivosti u takových her je v porovnání s hazardními hrami zanedbatelná. Proto neshledávám žádný důvod, aby i v případě výher z hazardních her, nedošlo k jejímu zdanění. Zatížení výhry daní přitom není ve světě žádnou ojedinělostí. Ke zdanění výher dochází například v USA, kde je výhra zatížena federální daní ve výši 25 %, ve Francii, kde je výhra zatížena 12% daní a v právní úpravě Španělska je výhra předmětem daně z příjmu fyzických osob.</w:t>
      </w:r>
      <w:r w:rsidRPr="00976A97">
        <w:rPr>
          <w:rStyle w:val="Znakapoznpodarou"/>
          <w:rFonts w:ascii="Times New Roman" w:hAnsi="Times New Roman"/>
        </w:rPr>
        <w:footnoteReference w:id="263"/>
      </w:r>
      <w:r w:rsidRPr="00976A97">
        <w:t xml:space="preserve"> </w:t>
      </w:r>
    </w:p>
    <w:p w14:paraId="7C4761CD" w14:textId="4097FF93" w:rsidR="00A02C80" w:rsidRPr="00976A97" w:rsidRDefault="00A02C80" w:rsidP="00A02C80">
      <w:pPr>
        <w:pStyle w:val="Dalodstavce"/>
      </w:pPr>
      <w:r w:rsidRPr="00976A97">
        <w:t>Jak jsem již nastínila v úvodu, daně by zpravidla neměly být účelově vymezeny. Což znamená, že by se nemělo vytýčit, na co se výnos daně využije.</w:t>
      </w:r>
      <w:r w:rsidRPr="00976A97">
        <w:rPr>
          <w:rStyle w:val="Znakapoznpodarou"/>
          <w:rFonts w:ascii="Times New Roman" w:hAnsi="Times New Roman"/>
        </w:rPr>
        <w:footnoteReference w:id="264"/>
      </w:r>
      <w:r w:rsidRPr="00976A97">
        <w:t xml:space="preserve"> I přesto se domnívám, že by se v případě daně z hazardních her mohla zavést alespoň částečná účelovost daně. Důvod pro takové řešení zejména shledávám v negativních externalitách spojených s hraním hazardních her. Výnos daně by měl být primárně uplatněn na potírání těchto negativních externalit. Proto bych považovala za vhodné, aby se určitá procentuální část výnosu daně použila na podporu zvyšování úrovně kvality poskytovaných preventivních a léčebných programů pro patologické hráče. Částečnou účelovost daně z hazardních her navrhoval v průběhu projednávání návrhu zákona o dani z hazardních her i poslanec Bartošek. Podle něj by část celostátního hrubého výnosu daně měla být výhradně použita na protidrogovou politiku v oblasti hazardních her. </w:t>
      </w:r>
      <w:r w:rsidRPr="00976A97">
        <w:lastRenderedPageBreak/>
        <w:t>Jednalo se o tu část celostátního hrubého výnosu daně, která byla výlučně příjmem státního rozpočtu, přičemž podíl obcí měl zůstat nedotčen.</w:t>
      </w:r>
      <w:r w:rsidRPr="00976A97">
        <w:rPr>
          <w:rStyle w:val="Znakapoznpodarou"/>
          <w:rFonts w:ascii="Times New Roman" w:hAnsi="Times New Roman"/>
        </w:rPr>
        <w:footnoteReference w:id="265"/>
      </w:r>
      <w:r w:rsidRPr="00976A97">
        <w:t xml:space="preserve"> Návrh se bohužel do právní úpravy nepromítl.</w:t>
      </w:r>
    </w:p>
    <w:p w14:paraId="598001AA" w14:textId="2D957DE2" w:rsidR="00A02C80" w:rsidRPr="00976A97" w:rsidRDefault="00A02C80" w:rsidP="00A02C80">
      <w:pPr>
        <w:pStyle w:val="Dalodstavce"/>
      </w:pPr>
      <w:r w:rsidRPr="00976A97">
        <w:t>Další změnu bych uvítala v případě sazby daně. Zdaněním činností, se kterými je přímo spojeno vytváření negativních externalit, se zabýval ekonom Pigou. V souladu s jeho názorem je vhodné na tyto činnosti uvalit vyšší daň, přičemž výše zdanění by měla odpovídat míře vzniklých nepříznivých vlivů dopadajících na společnost způsobených takovou činností, tak aby došlo k internalizaci externalit, tedy v případě hazardních her uvalit vyšší míru zdanění na ty druhy her, které jsou společensky nebezpečnější.</w:t>
      </w:r>
      <w:r w:rsidRPr="00976A97">
        <w:rPr>
          <w:rStyle w:val="Znakapoznpodarou"/>
          <w:rFonts w:ascii="Times New Roman" w:hAnsi="Times New Roman"/>
        </w:rPr>
        <w:t xml:space="preserve"> </w:t>
      </w:r>
      <w:r w:rsidRPr="00976A97">
        <w:rPr>
          <w:rStyle w:val="Znakapoznpodarou"/>
          <w:rFonts w:ascii="Times New Roman" w:hAnsi="Times New Roman"/>
        </w:rPr>
        <w:footnoteReference w:id="266"/>
      </w:r>
      <w:r w:rsidRPr="00976A97">
        <w:t xml:space="preserve"> Jak jsem již zmínila, sazba daně z hazardních her je sice sazbou diferenciovanou, i když v důsledku se jedná pouze dvě různé sazby – u dílčího základu daně z technických her ve výši 35 % a pro dílčí základ z loterií, bing, totalizátorových her, kursových sázek, živých her, tombol a turnajů malého rozsahu je pak stanovena na 23 %.</w:t>
      </w:r>
      <w:r w:rsidRPr="00976A97">
        <w:rPr>
          <w:rStyle w:val="Znakapoznpodarou"/>
          <w:rFonts w:ascii="Times New Roman" w:hAnsi="Times New Roman"/>
        </w:rPr>
        <w:footnoteReference w:id="267"/>
      </w:r>
      <w:r w:rsidRPr="00976A97">
        <w:t xml:space="preserve"> Dle důvodové zprávy, se ve zvolení podstatně vyšší sazby daně v případě dílčího základu daně z technických her, má odrážet vyšší míra společenské škodlivosti tohoto druhu hazardní hry.</w:t>
      </w:r>
      <w:r w:rsidRPr="00976A97">
        <w:rPr>
          <w:rStyle w:val="Znakapoznpodarou"/>
          <w:rFonts w:ascii="Times New Roman" w:hAnsi="Times New Roman"/>
        </w:rPr>
        <w:footnoteReference w:id="268"/>
      </w:r>
      <w:r w:rsidRPr="00976A97">
        <w:t xml:space="preserve"> Vyšší škodlivost je u technických her zejména dána v rychlosti opakování sázek, v jednoduchosti ovládání, v poměrně snazší dostupnosti veřejnosti, apod. Jestli tedy ale byla kritériem pro určení výše sazby daně hlavně společenská škodlivost, pak nemohu souhlasit s tím, že u ostatních her byla fakticky zvolena jednotná sazba daně ve výši 23 %, čímž jim nepřímo dávají stejnou míru škodlivosti pro společnost a nebezpečnosti pro hráče samotné. Takto zvolená konstrukce sazby daně se mi nejeví příliš vhodnou. Nejnižší sazbu daně bych volila pro turnaje malého rozsahu a tomboly, které nejsou z hlediska vzniku závislosti tak nebezpečné. Nehledě na to, že ke konání těchto dvou druhů hazardních her je nutné ohlášení. Proto si nemyslím, že jsou přístupné relativně kdykoliv, jako je tomu třeba u jiných druhů hazardních her provozovaných prostřednictvím internetu.</w:t>
      </w:r>
      <w:r w:rsidRPr="00976A97">
        <w:rPr>
          <w:rStyle w:val="Znakapoznpodarou"/>
          <w:rFonts w:ascii="Times New Roman" w:hAnsi="Times New Roman"/>
        </w:rPr>
        <w:footnoteReference w:id="269"/>
      </w:r>
      <w:r w:rsidRPr="00976A97">
        <w:t xml:space="preserve"> Vyšší sazbu bych pak volila u loterií, živých her, bing, kursových sázek a totalizátorových her. V případě technických her bych ponechala nejvyšší sazbu daně. </w:t>
      </w:r>
      <w:r w:rsidRPr="00976A97">
        <w:lastRenderedPageBreak/>
        <w:t>Jak vyplývá z důvodové zprávy, i návrh zákona o dani z hazardních her původně operoval se třemi různými výšemi sazby daně.</w:t>
      </w:r>
      <w:r w:rsidRPr="00976A97">
        <w:rPr>
          <w:rStyle w:val="Znakapoznpodarou"/>
          <w:rFonts w:ascii="Times New Roman" w:hAnsi="Times New Roman"/>
        </w:rPr>
        <w:footnoteReference w:id="270"/>
      </w:r>
      <w:r w:rsidRPr="00976A97">
        <w:t xml:space="preserve"> Důvodem nepřijetí bylo zachování kontinuity s předchozí právní úpravou.</w:t>
      </w:r>
    </w:p>
    <w:p w14:paraId="1ECCAAE8" w14:textId="77777777" w:rsidR="0079277D" w:rsidRPr="00152A7A" w:rsidRDefault="00A02C80" w:rsidP="005276DD">
      <w:pPr>
        <w:pStyle w:val="Dalodstavce"/>
        <w:sectPr w:rsidR="0079277D" w:rsidRPr="00152A7A" w:rsidSect="0052762D">
          <w:headerReference w:type="even" r:id="rId24"/>
          <w:headerReference w:type="default" r:id="rId25"/>
          <w:type w:val="oddPage"/>
          <w:pgSz w:w="11906" w:h="16838" w:code="9"/>
          <w:pgMar w:top="2614" w:right="2019" w:bottom="2381" w:left="505" w:header="2019" w:footer="1276" w:gutter="2019"/>
          <w:cols w:space="708"/>
          <w:docGrid w:linePitch="360"/>
        </w:sectPr>
      </w:pPr>
      <w:r w:rsidRPr="00976A97">
        <w:t>U her provozovaných prostřednictvím internetu bych se chvilku pozastavila. Hra provozovaná prostřednictvím internetu sice není jedním z druhů hazardních her, nýbrž se jedná jen o způsob, jak danou hru provozovat. Nicméně skutečnost, že tyto hry jsou dostupné téměř nepřerušeně a více méně odkudkoliv, zakládají vyšší míru společenské nebezpečnosti a vzniku závislosti. Proto by nebylo od věci upravit sazbu daně rozdílně od her provozovaných v</w:t>
      </w:r>
      <w:r>
        <w:t>e formě „</w:t>
      </w:r>
      <w:r w:rsidRPr="00272F37">
        <w:rPr>
          <w:i/>
          <w:iCs/>
        </w:rPr>
        <w:t>land-based</w:t>
      </w:r>
      <w:r>
        <w:t>“</w:t>
      </w:r>
      <w:r w:rsidRPr="00976A97">
        <w:t>. Pro úplnost bych jen uvedla, že rozličná výše sazby daně, v tomto případě nižší, u her provozovaných internetem byla stanovena v právním řádu Dánského království. Avšak účelem užití této úpravy nebyla ochrana hráčů před vyšší mírou nebezpečnosti, nýbrž usnadnění rozvoje on-line služeb hazardních her. Evropská komise úpravu sice  shledala za selektivní, ale protože cílem selekce byla nápomoc rozvoje určité hospodářské oblasti, považovala rozdílnou úpravu sazby daně za slučitelnou s vnitřním trhem.</w:t>
      </w:r>
      <w:r w:rsidRPr="00976A97">
        <w:rPr>
          <w:rStyle w:val="Znakapoznpodarou"/>
          <w:rFonts w:ascii="Times New Roman" w:hAnsi="Times New Roman"/>
        </w:rPr>
        <w:footnoteReference w:id="271"/>
      </w:r>
      <w:r w:rsidRPr="00976A97">
        <w:t xml:space="preserve"> Otázka, která vyvstává, je, zdali by opačné řešení, tedy zvýšení sazby daně u her provozovaných internetem, za účelem ochrany hráčů před vznikem závislosti, bylo v souladu s právem E</w:t>
      </w:r>
      <w:r>
        <w:t xml:space="preserve">U </w:t>
      </w:r>
      <w:r w:rsidRPr="00976A97">
        <w:t xml:space="preserve">a nezakládalo </w:t>
      </w:r>
      <w:r>
        <w:t xml:space="preserve">by </w:t>
      </w:r>
      <w:r w:rsidRPr="00976A97">
        <w:t>veřejnou podporu neslučitelnou s vnitřním trhem EU.</w:t>
      </w:r>
    </w:p>
    <w:p w14:paraId="2CC53916" w14:textId="77777777" w:rsidR="00710C27" w:rsidRPr="00152A7A" w:rsidRDefault="00D80A2A" w:rsidP="008A7F29">
      <w:pPr>
        <w:pStyle w:val="Nadpis10"/>
      </w:pPr>
      <w:bookmarkStart w:id="53" w:name="_Toc257117031"/>
      <w:bookmarkStart w:id="54" w:name="_Toc381564283"/>
      <w:bookmarkStart w:id="55" w:name="_Toc2781037"/>
      <w:bookmarkStart w:id="56" w:name="_Toc44451457"/>
      <w:r w:rsidRPr="00152A7A">
        <w:lastRenderedPageBreak/>
        <w:t>Použité zdroje</w:t>
      </w:r>
      <w:bookmarkEnd w:id="53"/>
      <w:bookmarkEnd w:id="54"/>
      <w:bookmarkEnd w:id="55"/>
      <w:bookmarkEnd w:id="56"/>
    </w:p>
    <w:p w14:paraId="252BBA50" w14:textId="77777777" w:rsidR="00DF505D" w:rsidRPr="00152A7A" w:rsidRDefault="00DF505D" w:rsidP="008A7F29">
      <w:pPr>
        <w:pStyle w:val="Nadpis20"/>
      </w:pPr>
      <w:bookmarkStart w:id="57" w:name="_Toc257117032"/>
      <w:bookmarkStart w:id="58" w:name="_Toc381564284"/>
      <w:bookmarkStart w:id="59" w:name="_Toc2781038"/>
      <w:bookmarkStart w:id="60" w:name="_Toc44451458"/>
      <w:r w:rsidRPr="00152A7A">
        <w:t>Monografie</w:t>
      </w:r>
      <w:bookmarkEnd w:id="57"/>
      <w:bookmarkEnd w:id="58"/>
      <w:bookmarkEnd w:id="59"/>
      <w:bookmarkEnd w:id="60"/>
    </w:p>
    <w:p w14:paraId="1997672E" w14:textId="77777777" w:rsidR="00410792" w:rsidRPr="00410792" w:rsidRDefault="00410792" w:rsidP="00DF505D">
      <w:pPr>
        <w:pStyle w:val="ZPLiteratura"/>
        <w:rPr>
          <w:rFonts w:asciiTheme="minorHAnsi" w:hAnsiTheme="minorHAnsi"/>
          <w:sz w:val="48"/>
          <w:szCs w:val="36"/>
        </w:rPr>
      </w:pPr>
      <w:r w:rsidRPr="00410792">
        <w:rPr>
          <w:szCs w:val="18"/>
        </w:rPr>
        <w:t xml:space="preserve">ALEXA, Karel. </w:t>
      </w:r>
      <w:r w:rsidRPr="00410792">
        <w:rPr>
          <w:i/>
          <w:szCs w:val="18"/>
        </w:rPr>
        <w:t>Lhůty při správě daní.</w:t>
      </w:r>
      <w:r w:rsidRPr="00410792">
        <w:rPr>
          <w:szCs w:val="18"/>
        </w:rPr>
        <w:t xml:space="preserve"> 1. vyd. Plzeň: Aleš Čeněk, 2014</w:t>
      </w:r>
      <w:r w:rsidR="004007D1">
        <w:rPr>
          <w:szCs w:val="18"/>
        </w:rPr>
        <w:t>, 215 s., ISBN 978-80-7380-522-7.</w:t>
      </w:r>
    </w:p>
    <w:p w14:paraId="605E1A90" w14:textId="77777777" w:rsidR="00DF505D" w:rsidRPr="00410792" w:rsidRDefault="00BB6626" w:rsidP="00DF505D">
      <w:pPr>
        <w:pStyle w:val="ZPLiteratura"/>
        <w:rPr>
          <w:rFonts w:asciiTheme="minorHAnsi" w:hAnsiTheme="minorHAnsi"/>
          <w:sz w:val="36"/>
          <w:szCs w:val="36"/>
        </w:rPr>
      </w:pPr>
      <w:r w:rsidRPr="00BB48B3">
        <w:rPr>
          <w:rFonts w:asciiTheme="minorHAnsi" w:hAnsiTheme="minorHAnsi"/>
          <w:color w:val="000000"/>
        </w:rPr>
        <w:t xml:space="preserve">BAKEŠ, Milan a kol. </w:t>
      </w:r>
      <w:r w:rsidRPr="00BB48B3">
        <w:rPr>
          <w:rFonts w:asciiTheme="minorHAnsi" w:hAnsiTheme="minorHAnsi"/>
          <w:i/>
          <w:color w:val="000000"/>
        </w:rPr>
        <w:t>Finanční právo</w:t>
      </w:r>
      <w:r w:rsidRPr="00BB48B3">
        <w:rPr>
          <w:rFonts w:asciiTheme="minorHAnsi" w:hAnsiTheme="minorHAnsi"/>
          <w:color w:val="000000"/>
        </w:rPr>
        <w:t>. 5. vyd. Praha: Nakladatelství C. H. Beck. 2009</w:t>
      </w:r>
      <w:r w:rsidR="00D968B2">
        <w:rPr>
          <w:rFonts w:asciiTheme="minorHAnsi" w:hAnsiTheme="minorHAnsi"/>
          <w:color w:val="000000"/>
        </w:rPr>
        <w:t>,</w:t>
      </w:r>
      <w:r w:rsidRPr="00BB48B3">
        <w:rPr>
          <w:rFonts w:asciiTheme="minorHAnsi" w:hAnsiTheme="minorHAnsi"/>
          <w:color w:val="000000"/>
        </w:rPr>
        <w:t xml:space="preserve"> 548 s.</w:t>
      </w:r>
      <w:r w:rsidR="00D968B2">
        <w:rPr>
          <w:rFonts w:asciiTheme="minorHAnsi" w:hAnsiTheme="minorHAnsi"/>
          <w:color w:val="000000"/>
        </w:rPr>
        <w:t>,</w:t>
      </w:r>
      <w:r w:rsidRPr="00BB48B3">
        <w:rPr>
          <w:rFonts w:asciiTheme="minorHAnsi" w:hAnsiTheme="minorHAnsi"/>
          <w:color w:val="000000"/>
        </w:rPr>
        <w:t xml:space="preserve"> ISBN 978-80-7400-801-6</w:t>
      </w:r>
      <w:r w:rsidR="00121BC1" w:rsidRPr="00BB48B3">
        <w:rPr>
          <w:rFonts w:asciiTheme="minorHAnsi" w:hAnsiTheme="minorHAnsi"/>
          <w:color w:val="000000"/>
        </w:rPr>
        <w:t>.</w:t>
      </w:r>
    </w:p>
    <w:p w14:paraId="152DF1C3" w14:textId="77777777" w:rsidR="00410792" w:rsidRPr="00410792" w:rsidRDefault="00410792" w:rsidP="00DF505D">
      <w:pPr>
        <w:pStyle w:val="ZPLiteratura"/>
        <w:rPr>
          <w:rFonts w:asciiTheme="minorHAnsi" w:hAnsiTheme="minorHAnsi"/>
          <w:sz w:val="48"/>
          <w:szCs w:val="36"/>
        </w:rPr>
      </w:pPr>
      <w:r w:rsidRPr="00410792">
        <w:rPr>
          <w:rFonts w:asciiTheme="minorHAnsi" w:hAnsiTheme="minorHAnsi"/>
          <w:szCs w:val="18"/>
        </w:rPr>
        <w:t xml:space="preserve">BAXA, Josef. </w:t>
      </w:r>
      <w:r w:rsidRPr="00410792">
        <w:rPr>
          <w:rFonts w:asciiTheme="minorHAnsi" w:hAnsiTheme="minorHAnsi"/>
          <w:i/>
          <w:szCs w:val="18"/>
        </w:rPr>
        <w:t>Daňový řád. Komentář. I. díl.</w:t>
      </w:r>
      <w:r w:rsidRPr="00410792">
        <w:rPr>
          <w:rFonts w:asciiTheme="minorHAnsi" w:hAnsiTheme="minorHAnsi"/>
          <w:szCs w:val="18"/>
        </w:rPr>
        <w:t xml:space="preserve"> 1. vyd. Praha: Wolters Kluwer ČR, 2011</w:t>
      </w:r>
      <w:r w:rsidR="00E74BCD">
        <w:rPr>
          <w:rFonts w:asciiTheme="minorHAnsi" w:hAnsiTheme="minorHAnsi"/>
          <w:szCs w:val="18"/>
        </w:rPr>
        <w:t>, 800 s., ISBN 978-80-7357-564-9.</w:t>
      </w:r>
    </w:p>
    <w:p w14:paraId="1EA08B73" w14:textId="77777777" w:rsidR="00121BC1" w:rsidRDefault="00121BC1" w:rsidP="00121BC1">
      <w:pPr>
        <w:pStyle w:val="ZPLiteratura"/>
        <w:rPr>
          <w:rFonts w:asciiTheme="minorHAnsi" w:hAnsiTheme="minorHAnsi"/>
        </w:rPr>
      </w:pPr>
      <w:r w:rsidRPr="00BB48B3">
        <w:rPr>
          <w:rFonts w:asciiTheme="minorHAnsi" w:hAnsiTheme="minorHAnsi"/>
        </w:rPr>
        <w:t xml:space="preserve">BOHÁČ, Radim. </w:t>
      </w:r>
      <w:r w:rsidRPr="00BB48B3">
        <w:rPr>
          <w:rFonts w:asciiTheme="minorHAnsi" w:hAnsiTheme="minorHAnsi"/>
          <w:i/>
          <w:iCs/>
        </w:rPr>
        <w:t>Daňové příjmy veřejných rozpočtů v České republice</w:t>
      </w:r>
      <w:r w:rsidRPr="00BB48B3">
        <w:rPr>
          <w:rFonts w:asciiTheme="minorHAnsi" w:hAnsiTheme="minorHAnsi"/>
        </w:rPr>
        <w:t>. 1. vyd. Praha: Wolters Kluwer ČR, 2013</w:t>
      </w:r>
      <w:r w:rsidR="00D968B2">
        <w:rPr>
          <w:rFonts w:asciiTheme="minorHAnsi" w:hAnsiTheme="minorHAnsi"/>
        </w:rPr>
        <w:t>,</w:t>
      </w:r>
      <w:r w:rsidRPr="00BB48B3">
        <w:rPr>
          <w:rFonts w:asciiTheme="minorHAnsi" w:hAnsiTheme="minorHAnsi"/>
        </w:rPr>
        <w:t xml:space="preserve"> 332 s.</w:t>
      </w:r>
      <w:r w:rsidR="00D968B2">
        <w:rPr>
          <w:rFonts w:asciiTheme="minorHAnsi" w:hAnsiTheme="minorHAnsi"/>
        </w:rPr>
        <w:t>,</w:t>
      </w:r>
      <w:r w:rsidRPr="00BB48B3">
        <w:rPr>
          <w:rFonts w:asciiTheme="minorHAnsi" w:hAnsiTheme="minorHAnsi"/>
        </w:rPr>
        <w:t xml:space="preserve"> ISBN 978-80-7478-363-0.</w:t>
      </w:r>
    </w:p>
    <w:p w14:paraId="10128ACE" w14:textId="77777777" w:rsidR="001E1732" w:rsidRPr="001E1732" w:rsidRDefault="001E1732" w:rsidP="00121BC1">
      <w:pPr>
        <w:pStyle w:val="ZPLiteratura"/>
        <w:rPr>
          <w:rFonts w:asciiTheme="minorHAnsi" w:hAnsiTheme="minorHAnsi"/>
          <w:sz w:val="36"/>
        </w:rPr>
      </w:pPr>
      <w:r w:rsidRPr="001E1732">
        <w:rPr>
          <w:szCs w:val="18"/>
        </w:rPr>
        <w:t xml:space="preserve">BOHÁČ, Radim; MARKOVÁ, Hana. </w:t>
      </w:r>
      <w:r w:rsidRPr="004563F9">
        <w:rPr>
          <w:i/>
          <w:szCs w:val="18"/>
        </w:rPr>
        <w:t>Rozpočtové právo.</w:t>
      </w:r>
      <w:r w:rsidRPr="001E1732">
        <w:rPr>
          <w:szCs w:val="18"/>
        </w:rPr>
        <w:t xml:space="preserve"> 1. vyd. Praha: C. H. Beck, 2007</w:t>
      </w:r>
      <w:r w:rsidR="00FD4E93">
        <w:rPr>
          <w:szCs w:val="18"/>
        </w:rPr>
        <w:t>, 248 s., ISBN 978-80-7179-598-8.</w:t>
      </w:r>
    </w:p>
    <w:p w14:paraId="3263B403" w14:textId="77777777" w:rsidR="00121BC1" w:rsidRPr="00BB48B3" w:rsidRDefault="00121BC1" w:rsidP="00121BC1">
      <w:pPr>
        <w:pStyle w:val="ZPLiteratura"/>
        <w:rPr>
          <w:rFonts w:asciiTheme="minorHAnsi" w:hAnsiTheme="minorHAnsi"/>
        </w:rPr>
      </w:pPr>
      <w:r w:rsidRPr="00BB48B3">
        <w:rPr>
          <w:rFonts w:asciiTheme="minorHAnsi" w:hAnsiTheme="minorHAnsi"/>
        </w:rPr>
        <w:t xml:space="preserve">BOHÁČ, Radim; KRASULOVÁ, Hana. </w:t>
      </w:r>
      <w:r w:rsidRPr="00BB48B3">
        <w:rPr>
          <w:rFonts w:asciiTheme="minorHAnsi" w:hAnsiTheme="minorHAnsi"/>
          <w:i/>
        </w:rPr>
        <w:t>Zákon o dani z hazardních her. Komentář</w:t>
      </w:r>
      <w:r w:rsidRPr="00BB48B3">
        <w:rPr>
          <w:rFonts w:asciiTheme="minorHAnsi" w:hAnsiTheme="minorHAnsi"/>
        </w:rPr>
        <w:t>. 1. vyd. Praha: Wolters Kluwer, 2017</w:t>
      </w:r>
      <w:r w:rsidR="00D968B2">
        <w:rPr>
          <w:rFonts w:asciiTheme="minorHAnsi" w:hAnsiTheme="minorHAnsi"/>
        </w:rPr>
        <w:t>,</w:t>
      </w:r>
      <w:r w:rsidRPr="00BB48B3">
        <w:rPr>
          <w:rFonts w:asciiTheme="minorHAnsi" w:hAnsiTheme="minorHAnsi"/>
        </w:rPr>
        <w:t xml:space="preserve"> 248 s.</w:t>
      </w:r>
      <w:r w:rsidR="00D968B2">
        <w:rPr>
          <w:rFonts w:asciiTheme="minorHAnsi" w:hAnsiTheme="minorHAnsi"/>
        </w:rPr>
        <w:t>,</w:t>
      </w:r>
      <w:r w:rsidRPr="00BB48B3">
        <w:rPr>
          <w:rFonts w:asciiTheme="minorHAnsi" w:hAnsiTheme="minorHAnsi"/>
        </w:rPr>
        <w:t xml:space="preserve"> ISBN 978-80-481-2.</w:t>
      </w:r>
    </w:p>
    <w:p w14:paraId="35FDB341" w14:textId="77777777" w:rsidR="00121BC1" w:rsidRPr="00BB48B3" w:rsidRDefault="00121BC1" w:rsidP="00121BC1">
      <w:pPr>
        <w:pStyle w:val="ZPLiteratura"/>
        <w:rPr>
          <w:rFonts w:asciiTheme="minorHAnsi" w:hAnsiTheme="minorHAnsi"/>
        </w:rPr>
      </w:pPr>
      <w:r w:rsidRPr="00BB48B3">
        <w:rPr>
          <w:rFonts w:asciiTheme="minorHAnsi" w:hAnsiTheme="minorHAnsi"/>
        </w:rPr>
        <w:t xml:space="preserve">CABOT, Anthony; PINDELL, Ngai; WALL, Brian. </w:t>
      </w:r>
      <w:r w:rsidRPr="004563F9">
        <w:rPr>
          <w:rFonts w:asciiTheme="minorHAnsi" w:hAnsiTheme="minorHAnsi"/>
          <w:i/>
        </w:rPr>
        <w:t>Regulating Land-Based Casinos. Policies, Procedures, and Economics</w:t>
      </w:r>
      <w:r w:rsidRPr="00BB48B3">
        <w:rPr>
          <w:rFonts w:asciiTheme="minorHAnsi" w:hAnsiTheme="minorHAnsi"/>
        </w:rPr>
        <w:t>. 2. ed. Las Vegas: UNLV gaming press, 2018</w:t>
      </w:r>
      <w:r w:rsidR="00D968B2">
        <w:rPr>
          <w:rFonts w:asciiTheme="minorHAnsi" w:hAnsiTheme="minorHAnsi"/>
        </w:rPr>
        <w:t xml:space="preserve">, </w:t>
      </w:r>
      <w:r w:rsidRPr="00BB48B3">
        <w:rPr>
          <w:rFonts w:asciiTheme="minorHAnsi" w:hAnsiTheme="minorHAnsi"/>
        </w:rPr>
        <w:t xml:space="preserve">814 </w:t>
      </w:r>
      <w:r w:rsidR="00F30923">
        <w:rPr>
          <w:rFonts w:asciiTheme="minorHAnsi" w:hAnsiTheme="minorHAnsi"/>
        </w:rPr>
        <w:t>p</w:t>
      </w:r>
      <w:r w:rsidRPr="00BB48B3">
        <w:rPr>
          <w:rFonts w:asciiTheme="minorHAnsi" w:hAnsiTheme="minorHAnsi"/>
        </w:rPr>
        <w:t>.</w:t>
      </w:r>
      <w:r w:rsidR="00D968B2">
        <w:rPr>
          <w:rFonts w:asciiTheme="minorHAnsi" w:hAnsiTheme="minorHAnsi"/>
        </w:rPr>
        <w:t>,</w:t>
      </w:r>
      <w:r w:rsidRPr="00BB48B3">
        <w:rPr>
          <w:rFonts w:asciiTheme="minorHAnsi" w:hAnsiTheme="minorHAnsi"/>
        </w:rPr>
        <w:t xml:space="preserve"> ISBN 978-1-939546-10-4.</w:t>
      </w:r>
    </w:p>
    <w:p w14:paraId="60D2881F" w14:textId="77777777" w:rsidR="00DF2858" w:rsidRPr="00BB48B3" w:rsidRDefault="00DF2858" w:rsidP="00121BC1">
      <w:pPr>
        <w:pStyle w:val="ZPLiteratura"/>
        <w:rPr>
          <w:rFonts w:asciiTheme="minorHAnsi" w:hAnsiTheme="minorHAnsi"/>
        </w:rPr>
      </w:pPr>
      <w:r w:rsidRPr="00BB48B3">
        <w:rPr>
          <w:rFonts w:asciiTheme="minorHAnsi" w:hAnsiTheme="minorHAnsi"/>
        </w:rPr>
        <w:t xml:space="preserve">JÁNOŠÍKOVÁ, Petra a kol. </w:t>
      </w:r>
      <w:r w:rsidRPr="00BB48B3">
        <w:rPr>
          <w:rFonts w:asciiTheme="minorHAnsi" w:hAnsiTheme="minorHAnsi"/>
          <w:i/>
          <w:iCs/>
        </w:rPr>
        <w:t>Daňové právo de lege lata</w:t>
      </w:r>
      <w:r w:rsidRPr="00BB48B3">
        <w:rPr>
          <w:rFonts w:asciiTheme="minorHAnsi" w:hAnsiTheme="minorHAnsi"/>
        </w:rPr>
        <w:t>. 2. vyd. Plzeň: Aleš Čeněk, 2018</w:t>
      </w:r>
      <w:r w:rsidR="00D968B2">
        <w:rPr>
          <w:rFonts w:asciiTheme="minorHAnsi" w:hAnsiTheme="minorHAnsi"/>
        </w:rPr>
        <w:t>,</w:t>
      </w:r>
      <w:r w:rsidRPr="00BB48B3">
        <w:rPr>
          <w:rFonts w:asciiTheme="minorHAnsi" w:hAnsiTheme="minorHAnsi"/>
        </w:rPr>
        <w:t xml:space="preserve"> 156 s.</w:t>
      </w:r>
      <w:r w:rsidR="00D968B2">
        <w:rPr>
          <w:rFonts w:asciiTheme="minorHAnsi" w:hAnsiTheme="minorHAnsi"/>
        </w:rPr>
        <w:t>,</w:t>
      </w:r>
      <w:r w:rsidRPr="00BB48B3">
        <w:rPr>
          <w:rFonts w:asciiTheme="minorHAnsi" w:hAnsiTheme="minorHAnsi"/>
        </w:rPr>
        <w:t xml:space="preserve"> ISBN 978-80-7380-687-3.</w:t>
      </w:r>
    </w:p>
    <w:p w14:paraId="07BD005B" w14:textId="77777777" w:rsidR="00DF2858" w:rsidRDefault="00DF2858" w:rsidP="00121BC1">
      <w:pPr>
        <w:pStyle w:val="ZPLiteratura"/>
        <w:rPr>
          <w:rFonts w:asciiTheme="minorHAnsi" w:hAnsiTheme="minorHAnsi"/>
        </w:rPr>
      </w:pPr>
      <w:r w:rsidRPr="00BB48B3">
        <w:rPr>
          <w:rFonts w:asciiTheme="minorHAnsi" w:hAnsiTheme="minorHAnsi"/>
        </w:rPr>
        <w:t xml:space="preserve">JÁNOŠÍKOVÁ, Petra a kol. </w:t>
      </w:r>
      <w:r w:rsidRPr="00BB48B3">
        <w:rPr>
          <w:rFonts w:asciiTheme="minorHAnsi" w:hAnsiTheme="minorHAnsi"/>
          <w:i/>
        </w:rPr>
        <w:t>Finanční a daňové právo</w:t>
      </w:r>
      <w:r w:rsidRPr="00BB48B3">
        <w:rPr>
          <w:rFonts w:asciiTheme="minorHAnsi" w:hAnsiTheme="minorHAnsi"/>
        </w:rPr>
        <w:t>. 2. vyd. Plzeň: Aleš Čeněk, 2016</w:t>
      </w:r>
      <w:r w:rsidR="00D968B2">
        <w:rPr>
          <w:rFonts w:asciiTheme="minorHAnsi" w:hAnsiTheme="minorHAnsi"/>
        </w:rPr>
        <w:t>,</w:t>
      </w:r>
      <w:r w:rsidRPr="00BB48B3">
        <w:rPr>
          <w:rFonts w:asciiTheme="minorHAnsi" w:hAnsiTheme="minorHAnsi"/>
        </w:rPr>
        <w:t xml:space="preserve"> </w:t>
      </w:r>
      <w:r w:rsidR="0013172A" w:rsidRPr="00BB48B3">
        <w:rPr>
          <w:rFonts w:asciiTheme="minorHAnsi" w:hAnsiTheme="minorHAnsi"/>
        </w:rPr>
        <w:t>462 s.</w:t>
      </w:r>
      <w:r w:rsidR="00D968B2">
        <w:rPr>
          <w:rFonts w:asciiTheme="minorHAnsi" w:hAnsiTheme="minorHAnsi"/>
        </w:rPr>
        <w:t>,</w:t>
      </w:r>
      <w:r w:rsidR="0013172A" w:rsidRPr="00BB48B3">
        <w:rPr>
          <w:rFonts w:asciiTheme="minorHAnsi" w:hAnsiTheme="minorHAnsi"/>
        </w:rPr>
        <w:t xml:space="preserve"> ISBN 978-80-7360-639-2.</w:t>
      </w:r>
    </w:p>
    <w:p w14:paraId="78C35688" w14:textId="77777777" w:rsidR="00BB48B3" w:rsidRDefault="00BB48B3" w:rsidP="00BB48B3">
      <w:pPr>
        <w:pStyle w:val="ZPLiteratura"/>
      </w:pPr>
      <w:r w:rsidRPr="00042369">
        <w:t xml:space="preserve">KARFÍKOVÁ, Marie a kol. </w:t>
      </w:r>
      <w:r w:rsidRPr="00042369">
        <w:rPr>
          <w:i/>
        </w:rPr>
        <w:t>Teorie finančního práva a finanční vědy.</w:t>
      </w:r>
      <w:r w:rsidRPr="00042369">
        <w:t xml:space="preserve"> 1. vyd. Praha: Wolters Kluwer ČR, 2018</w:t>
      </w:r>
      <w:r w:rsidR="00D968B2">
        <w:t>,</w:t>
      </w:r>
      <w:r>
        <w:t xml:space="preserve"> 356 s.</w:t>
      </w:r>
      <w:r w:rsidR="00D968B2">
        <w:t>,</w:t>
      </w:r>
      <w:r>
        <w:t xml:space="preserve"> ISBN 978-80-7552-935-0.</w:t>
      </w:r>
    </w:p>
    <w:p w14:paraId="78DB9770" w14:textId="77777777" w:rsidR="00D968B2" w:rsidRPr="00D968B2" w:rsidRDefault="00D968B2" w:rsidP="00BB48B3">
      <w:pPr>
        <w:pStyle w:val="ZPLiteratura"/>
      </w:pPr>
      <w:r w:rsidRPr="00D968B2">
        <w:rPr>
          <w:rFonts w:asciiTheme="minorHAnsi" w:hAnsiTheme="minorHAnsi"/>
        </w:rPr>
        <w:t xml:space="preserve">KRAMÁŘ, Květoslav a kol. </w:t>
      </w:r>
      <w:r w:rsidRPr="00D968B2">
        <w:rPr>
          <w:rFonts w:asciiTheme="minorHAnsi" w:hAnsiTheme="minorHAnsi"/>
          <w:i/>
          <w:iCs/>
        </w:rPr>
        <w:t>Herní právo</w:t>
      </w:r>
      <w:r w:rsidRPr="00D968B2">
        <w:rPr>
          <w:rFonts w:asciiTheme="minorHAnsi" w:hAnsiTheme="minorHAnsi"/>
        </w:rPr>
        <w:t>. 1. vyd. Plzeň: Aleš Čeněk, 2006</w:t>
      </w:r>
      <w:r>
        <w:rPr>
          <w:rFonts w:asciiTheme="minorHAnsi" w:hAnsiTheme="minorHAnsi"/>
        </w:rPr>
        <w:t>,</w:t>
      </w:r>
      <w:r w:rsidRPr="00D968B2">
        <w:rPr>
          <w:rFonts w:asciiTheme="minorHAnsi" w:hAnsiTheme="minorHAnsi"/>
        </w:rPr>
        <w:t xml:space="preserve"> 181 s.</w:t>
      </w:r>
      <w:r>
        <w:rPr>
          <w:rFonts w:asciiTheme="minorHAnsi" w:hAnsiTheme="minorHAnsi"/>
        </w:rPr>
        <w:t>,</w:t>
      </w:r>
      <w:r w:rsidRPr="00D968B2">
        <w:rPr>
          <w:rFonts w:asciiTheme="minorHAnsi" w:hAnsiTheme="minorHAnsi"/>
        </w:rPr>
        <w:t xml:space="preserve"> ISBN 80-86898-80-6.</w:t>
      </w:r>
    </w:p>
    <w:p w14:paraId="1B4DA398" w14:textId="77777777" w:rsidR="00BB48B3" w:rsidRPr="00BB48B3" w:rsidRDefault="00BB48B3" w:rsidP="00121BC1">
      <w:pPr>
        <w:pStyle w:val="ZPLiteratura"/>
        <w:rPr>
          <w:rFonts w:asciiTheme="minorHAnsi" w:hAnsiTheme="minorHAnsi"/>
        </w:rPr>
      </w:pPr>
      <w:r w:rsidRPr="00BB48B3">
        <w:rPr>
          <w:rFonts w:asciiTheme="minorHAnsi" w:hAnsiTheme="minorHAnsi"/>
        </w:rPr>
        <w:t xml:space="preserve">KUBÁTOVÁ, Květa. </w:t>
      </w:r>
      <w:r w:rsidRPr="00BB48B3">
        <w:rPr>
          <w:rFonts w:asciiTheme="minorHAnsi" w:hAnsiTheme="minorHAnsi"/>
          <w:i/>
          <w:iCs/>
        </w:rPr>
        <w:t>Daňová teorie a politika</w:t>
      </w:r>
      <w:r w:rsidRPr="00BB48B3">
        <w:rPr>
          <w:rFonts w:asciiTheme="minorHAnsi" w:hAnsiTheme="minorHAnsi"/>
        </w:rPr>
        <w:t>. 7. vyd. Praha: Wolters Kluwer ČR, 2018</w:t>
      </w:r>
      <w:r w:rsidR="00D968B2">
        <w:rPr>
          <w:rFonts w:asciiTheme="minorHAnsi" w:hAnsiTheme="minorHAnsi"/>
        </w:rPr>
        <w:t>,</w:t>
      </w:r>
      <w:r w:rsidRPr="00BB48B3">
        <w:rPr>
          <w:rFonts w:asciiTheme="minorHAnsi" w:hAnsiTheme="minorHAnsi"/>
        </w:rPr>
        <w:t xml:space="preserve"> 272 s.</w:t>
      </w:r>
      <w:r w:rsidR="00D968B2">
        <w:rPr>
          <w:rFonts w:asciiTheme="minorHAnsi" w:hAnsiTheme="minorHAnsi"/>
        </w:rPr>
        <w:t>,</w:t>
      </w:r>
      <w:r w:rsidRPr="00BB48B3">
        <w:rPr>
          <w:rFonts w:asciiTheme="minorHAnsi" w:hAnsiTheme="minorHAnsi"/>
        </w:rPr>
        <w:t xml:space="preserve"> ISBN 978-80-7598-165-3.</w:t>
      </w:r>
    </w:p>
    <w:p w14:paraId="0C89B418" w14:textId="77777777" w:rsidR="00BB48B3" w:rsidRDefault="00BB48B3" w:rsidP="00BB48B3">
      <w:pPr>
        <w:pStyle w:val="ZPLiteratura"/>
      </w:pPr>
      <w:r w:rsidRPr="00267CED">
        <w:t xml:space="preserve">LICHNOVSKÝ, Ondřej a kol. </w:t>
      </w:r>
      <w:r w:rsidRPr="00267CED">
        <w:rPr>
          <w:i/>
          <w:iCs/>
        </w:rPr>
        <w:t>Daňový řád</w:t>
      </w:r>
      <w:r>
        <w:t>:</w:t>
      </w:r>
      <w:r w:rsidRPr="00E470FC">
        <w:rPr>
          <w:i/>
        </w:rPr>
        <w:t xml:space="preserve"> komentář</w:t>
      </w:r>
      <w:r>
        <w:t>.</w:t>
      </w:r>
      <w:r w:rsidRPr="00267CED">
        <w:t xml:space="preserve"> 3. vyd. Praha: Nakladatelství C. H. Beck, 2016, </w:t>
      </w:r>
      <w:r>
        <w:t>918 s.</w:t>
      </w:r>
      <w:r w:rsidR="00D968B2">
        <w:t>,</w:t>
      </w:r>
      <w:r>
        <w:t xml:space="preserve"> ISBN 978-80-7400-604-3.</w:t>
      </w:r>
    </w:p>
    <w:p w14:paraId="19CEC733" w14:textId="77777777" w:rsidR="00BB48B3" w:rsidRDefault="00BB48B3" w:rsidP="00BB48B3">
      <w:pPr>
        <w:pStyle w:val="ZPLiteratura"/>
      </w:pPr>
      <w:r w:rsidRPr="006E2534">
        <w:lastRenderedPageBreak/>
        <w:t xml:space="preserve">MATYÁŠOVÁ, Lenka; GROSSOVÁ, Marie Emílie. </w:t>
      </w:r>
      <w:r w:rsidRPr="006E2534">
        <w:rPr>
          <w:i/>
        </w:rPr>
        <w:t>Daňov</w:t>
      </w:r>
      <w:r>
        <w:rPr>
          <w:i/>
        </w:rPr>
        <w:t>ý</w:t>
      </w:r>
      <w:r w:rsidRPr="006E2534">
        <w:rPr>
          <w:i/>
        </w:rPr>
        <w:t xml:space="preserve"> řád</w:t>
      </w:r>
      <w:r>
        <w:rPr>
          <w:i/>
        </w:rPr>
        <w:t>: s k</w:t>
      </w:r>
      <w:r w:rsidRPr="006E2534">
        <w:rPr>
          <w:i/>
        </w:rPr>
        <w:t>omentář</w:t>
      </w:r>
      <w:r>
        <w:rPr>
          <w:i/>
        </w:rPr>
        <w:t>em a judikaturou</w:t>
      </w:r>
      <w:r w:rsidRPr="006E2534">
        <w:rPr>
          <w:i/>
        </w:rPr>
        <w:t>.</w:t>
      </w:r>
      <w:r w:rsidRPr="006E2534">
        <w:t xml:space="preserve"> 2. vyd. Praha: Nakladatelství Leges, 2015</w:t>
      </w:r>
      <w:r w:rsidR="00D968B2">
        <w:t>,</w:t>
      </w:r>
      <w:r>
        <w:t xml:space="preserve"> 1024 s.</w:t>
      </w:r>
      <w:r w:rsidR="00D968B2">
        <w:t>,</w:t>
      </w:r>
      <w:r>
        <w:t xml:space="preserve"> ISBN 978-80-7502-081-9.</w:t>
      </w:r>
    </w:p>
    <w:p w14:paraId="2CBCB822" w14:textId="77777777" w:rsidR="00BB48B3" w:rsidRDefault="00BF4306" w:rsidP="00121BC1">
      <w:pPr>
        <w:pStyle w:val="ZPLiteratura"/>
        <w:rPr>
          <w:rFonts w:asciiTheme="minorHAnsi" w:hAnsiTheme="minorHAnsi"/>
        </w:rPr>
      </w:pPr>
      <w:r w:rsidRPr="00BF4306">
        <w:rPr>
          <w:rFonts w:asciiTheme="minorHAnsi" w:hAnsiTheme="minorHAnsi"/>
        </w:rPr>
        <w:t xml:space="preserve">NOVOTNÁ, Monika a kol. </w:t>
      </w:r>
      <w:r w:rsidRPr="00BF4306">
        <w:rPr>
          <w:rFonts w:asciiTheme="minorHAnsi" w:hAnsiTheme="minorHAnsi"/>
          <w:i/>
          <w:iCs/>
        </w:rPr>
        <w:t xml:space="preserve">Daňové řízení. </w:t>
      </w:r>
      <w:r w:rsidRPr="00BF4306">
        <w:rPr>
          <w:rFonts w:asciiTheme="minorHAnsi" w:hAnsiTheme="minorHAnsi"/>
        </w:rPr>
        <w:t>1. vyd. Praha: C. H. Beck, 2019</w:t>
      </w:r>
      <w:r w:rsidR="00D968B2">
        <w:rPr>
          <w:rFonts w:asciiTheme="minorHAnsi" w:hAnsiTheme="minorHAnsi"/>
        </w:rPr>
        <w:t xml:space="preserve">, </w:t>
      </w:r>
      <w:r w:rsidRPr="00BF4306">
        <w:rPr>
          <w:rFonts w:asciiTheme="minorHAnsi" w:hAnsiTheme="minorHAnsi"/>
        </w:rPr>
        <w:t>264 s.</w:t>
      </w:r>
      <w:r w:rsidR="00D968B2">
        <w:rPr>
          <w:rFonts w:asciiTheme="minorHAnsi" w:hAnsiTheme="minorHAnsi"/>
        </w:rPr>
        <w:t>,</w:t>
      </w:r>
      <w:r w:rsidRPr="00BF4306">
        <w:rPr>
          <w:rFonts w:asciiTheme="minorHAnsi" w:hAnsiTheme="minorHAnsi"/>
        </w:rPr>
        <w:t xml:space="preserve"> ISBN 978-80-80-7400-730-9.</w:t>
      </w:r>
    </w:p>
    <w:p w14:paraId="5EF0CA90" w14:textId="77777777" w:rsidR="00410792" w:rsidRPr="00410792" w:rsidRDefault="00410792" w:rsidP="00121BC1">
      <w:pPr>
        <w:pStyle w:val="ZPLiteratura"/>
        <w:rPr>
          <w:rFonts w:asciiTheme="minorHAnsi" w:hAnsiTheme="minorHAnsi"/>
          <w:sz w:val="36"/>
        </w:rPr>
      </w:pPr>
      <w:r w:rsidRPr="00410792">
        <w:rPr>
          <w:szCs w:val="18"/>
        </w:rPr>
        <w:t xml:space="preserve">PEKOVÁ, Jitka. </w:t>
      </w:r>
      <w:r w:rsidRPr="00410792">
        <w:rPr>
          <w:i/>
          <w:szCs w:val="18"/>
        </w:rPr>
        <w:t>Veřejné finance: teorie a praxe v ČR.</w:t>
      </w:r>
      <w:r w:rsidRPr="00410792">
        <w:rPr>
          <w:szCs w:val="18"/>
        </w:rPr>
        <w:t xml:space="preserve"> 1. vyd</w:t>
      </w:r>
      <w:r w:rsidR="009778CD">
        <w:rPr>
          <w:szCs w:val="18"/>
        </w:rPr>
        <w:t>. Praha: Wolters Kluwer ČR, 2011, 644 s., ISBN 978-80-7357-698-1.</w:t>
      </w:r>
    </w:p>
    <w:p w14:paraId="5697EAD3" w14:textId="77777777" w:rsidR="00BF4306" w:rsidRPr="00042369" w:rsidRDefault="00BF4306" w:rsidP="00BF4306">
      <w:pPr>
        <w:pStyle w:val="ZPLiteratura"/>
      </w:pPr>
      <w:r w:rsidRPr="006E2534">
        <w:t xml:space="preserve">PELC, Vladimír. </w:t>
      </w:r>
      <w:r w:rsidRPr="006E2534">
        <w:rPr>
          <w:i/>
          <w:iCs/>
        </w:rPr>
        <w:t>Daň z hazardních her: s komentářem</w:t>
      </w:r>
      <w:r w:rsidRPr="006E2534">
        <w:t>. 1. vyd. Olomouc: Anag, 2016</w:t>
      </w:r>
      <w:r w:rsidR="00D968B2">
        <w:t>,</w:t>
      </w:r>
      <w:r>
        <w:t xml:space="preserve"> 319 s.</w:t>
      </w:r>
      <w:r w:rsidR="00D968B2">
        <w:t>,</w:t>
      </w:r>
      <w:r>
        <w:t xml:space="preserve"> ISBN 978-80-7554-045-4.</w:t>
      </w:r>
    </w:p>
    <w:p w14:paraId="1D188BCD" w14:textId="77777777" w:rsidR="00BF4306" w:rsidRPr="009E3D12" w:rsidRDefault="00BF4306" w:rsidP="00BF4306">
      <w:pPr>
        <w:pStyle w:val="ZPLiteratura"/>
      </w:pPr>
      <w:r w:rsidRPr="00042369">
        <w:t xml:space="preserve">RADVAN, </w:t>
      </w:r>
      <w:r w:rsidRPr="009E3D12">
        <w:t xml:space="preserve">Michal a kol. </w:t>
      </w:r>
      <w:r w:rsidRPr="009E3D12">
        <w:rPr>
          <w:i/>
          <w:iCs/>
        </w:rPr>
        <w:t>Finanční právo a finanční správa. Berní právo</w:t>
      </w:r>
      <w:r w:rsidRPr="009E3D12">
        <w:t>. 1. vyd. Brno: Masarykova univerzita, 2008</w:t>
      </w:r>
      <w:r w:rsidR="00D968B2" w:rsidRPr="009E3D12">
        <w:t>,</w:t>
      </w:r>
      <w:r w:rsidRPr="009E3D12">
        <w:t xml:space="preserve"> 509 s.</w:t>
      </w:r>
      <w:r w:rsidR="00D968B2" w:rsidRPr="009E3D12">
        <w:t>,</w:t>
      </w:r>
      <w:r w:rsidRPr="009E3D12">
        <w:t xml:space="preserve"> ISBN 978-80-210-4732-7.</w:t>
      </w:r>
    </w:p>
    <w:p w14:paraId="51B80792" w14:textId="77777777" w:rsidR="00410792" w:rsidRPr="009E3D12" w:rsidRDefault="00410792" w:rsidP="00BF4306">
      <w:pPr>
        <w:pStyle w:val="ZPLiteratura"/>
      </w:pPr>
      <w:r w:rsidRPr="009E3D12">
        <w:t xml:space="preserve">RADVAN, Michal. </w:t>
      </w:r>
      <w:r w:rsidRPr="009E3D12">
        <w:rPr>
          <w:i/>
        </w:rPr>
        <w:t>Vlastní daňové příjmy obcí</w:t>
      </w:r>
      <w:r w:rsidRPr="009E3D12">
        <w:t>. 1. vyd. Brno: Masarykova univerzita, 2011,</w:t>
      </w:r>
      <w:r w:rsidR="009778CD" w:rsidRPr="009E3D12">
        <w:t xml:space="preserve"> 70 s., ISBN 978-80-210-5611-4.</w:t>
      </w:r>
    </w:p>
    <w:p w14:paraId="1C074C8D" w14:textId="77777777" w:rsidR="00BF4306" w:rsidRPr="009E3D12" w:rsidRDefault="00BF4306" w:rsidP="00121BC1">
      <w:pPr>
        <w:pStyle w:val="ZPLiteratura"/>
        <w:rPr>
          <w:rFonts w:asciiTheme="minorHAnsi" w:hAnsiTheme="minorHAnsi"/>
        </w:rPr>
      </w:pPr>
      <w:r w:rsidRPr="009E3D12">
        <w:rPr>
          <w:rFonts w:asciiTheme="minorHAnsi" w:hAnsiTheme="minorHAnsi"/>
        </w:rPr>
        <w:t xml:space="preserve">RAJCHL, Jiří a kol. </w:t>
      </w:r>
      <w:r w:rsidRPr="009E3D12">
        <w:rPr>
          <w:rFonts w:asciiTheme="minorHAnsi" w:hAnsiTheme="minorHAnsi"/>
          <w:i/>
          <w:iCs/>
        </w:rPr>
        <w:t>Právní aspekty hazardních her</w:t>
      </w:r>
      <w:r w:rsidRPr="009E3D12">
        <w:rPr>
          <w:rFonts w:asciiTheme="minorHAnsi" w:hAnsiTheme="minorHAnsi"/>
        </w:rPr>
        <w:t>. 1. vyd. Praha: Wolters Kluwer ČR, 2018, 480 s.</w:t>
      </w:r>
      <w:r w:rsidR="00D968B2" w:rsidRPr="009E3D12">
        <w:rPr>
          <w:rFonts w:asciiTheme="minorHAnsi" w:hAnsiTheme="minorHAnsi"/>
        </w:rPr>
        <w:t>,</w:t>
      </w:r>
      <w:r w:rsidRPr="009E3D12">
        <w:rPr>
          <w:rFonts w:asciiTheme="minorHAnsi" w:hAnsiTheme="minorHAnsi"/>
        </w:rPr>
        <w:t xml:space="preserve"> ISBN 978-80-7552-646-5.</w:t>
      </w:r>
    </w:p>
    <w:p w14:paraId="5F106EE6" w14:textId="77777777" w:rsidR="00410792" w:rsidRPr="009E3D12" w:rsidRDefault="00410792" w:rsidP="00121BC1">
      <w:pPr>
        <w:pStyle w:val="ZPLiteratura"/>
        <w:rPr>
          <w:rFonts w:asciiTheme="minorHAnsi" w:hAnsiTheme="minorHAnsi"/>
        </w:rPr>
      </w:pPr>
      <w:r w:rsidRPr="009E3D12">
        <w:rPr>
          <w:rFonts w:asciiTheme="minorHAnsi" w:hAnsiTheme="minorHAnsi"/>
        </w:rPr>
        <w:t xml:space="preserve">SOVOVÁ, Olga; FIALA, Zdeněk. </w:t>
      </w:r>
      <w:r w:rsidRPr="009E3D12">
        <w:rPr>
          <w:rFonts w:asciiTheme="minorHAnsi" w:hAnsiTheme="minorHAnsi"/>
          <w:i/>
        </w:rPr>
        <w:t>Základy finančního a daňového práva</w:t>
      </w:r>
      <w:r w:rsidRPr="009E3D12">
        <w:rPr>
          <w:rFonts w:asciiTheme="minorHAnsi" w:hAnsiTheme="minorHAnsi"/>
        </w:rPr>
        <w:t>. 1. vyd. Plzeň: Aleš Čeněk, 2009</w:t>
      </w:r>
      <w:r w:rsidR="009778CD" w:rsidRPr="009E3D12">
        <w:rPr>
          <w:rFonts w:asciiTheme="minorHAnsi" w:hAnsiTheme="minorHAnsi"/>
        </w:rPr>
        <w:t>, 202 s., ISBN 978-80-7380-223-3.</w:t>
      </w:r>
    </w:p>
    <w:p w14:paraId="147B57CE" w14:textId="70BBCC69" w:rsidR="00DF505D" w:rsidRPr="00152A7A" w:rsidRDefault="004C7373" w:rsidP="008A7F29">
      <w:pPr>
        <w:pStyle w:val="Nadpis20"/>
      </w:pPr>
      <w:bookmarkStart w:id="61" w:name="_Toc257117033"/>
      <w:bookmarkStart w:id="62" w:name="_Toc381564285"/>
      <w:bookmarkStart w:id="63" w:name="_Toc2781039"/>
      <w:bookmarkStart w:id="64" w:name="_Toc44451459"/>
      <w:r>
        <w:t>Odborné č</w:t>
      </w:r>
      <w:r w:rsidR="00DF505D" w:rsidRPr="00152A7A">
        <w:t>lánky</w:t>
      </w:r>
      <w:bookmarkEnd w:id="61"/>
      <w:bookmarkEnd w:id="62"/>
      <w:bookmarkEnd w:id="63"/>
      <w:bookmarkEnd w:id="64"/>
    </w:p>
    <w:p w14:paraId="5AE4430A" w14:textId="77777777" w:rsidR="004C7373" w:rsidRPr="004C7373" w:rsidRDefault="003B7FD5" w:rsidP="00F7642F">
      <w:pPr>
        <w:pStyle w:val="ZPLiteratura"/>
        <w:rPr>
          <w:rFonts w:asciiTheme="minorHAnsi" w:hAnsiTheme="minorHAnsi"/>
        </w:rPr>
      </w:pPr>
      <w:r w:rsidRPr="003B7FD5">
        <w:t xml:space="preserve">AULICKÁ, Jana. </w:t>
      </w:r>
      <w:r w:rsidRPr="004C7373">
        <w:rPr>
          <w:iCs/>
        </w:rPr>
        <w:t>Judikatura NSS: Daňová kontrola</w:t>
      </w:r>
      <w:r w:rsidRPr="003B7FD5">
        <w:t xml:space="preserve">. </w:t>
      </w:r>
      <w:r w:rsidRPr="004C7373">
        <w:rPr>
          <w:i/>
          <w:iCs/>
        </w:rPr>
        <w:t>Soudní rozhledy</w:t>
      </w:r>
      <w:r w:rsidR="003C62DE">
        <w:t xml:space="preserve">. </w:t>
      </w:r>
      <w:r w:rsidRPr="003B7FD5">
        <w:t xml:space="preserve">2016, roč. 22, č. 9, s. 274-279. </w:t>
      </w:r>
      <w:r w:rsidR="00617663">
        <w:t xml:space="preserve">In: </w:t>
      </w:r>
      <w:r w:rsidR="00617663" w:rsidRPr="004C7373">
        <w:rPr>
          <w:i/>
        </w:rPr>
        <w:t xml:space="preserve">Beck-online </w:t>
      </w:r>
      <w:r w:rsidR="00617663">
        <w:t xml:space="preserve">[právní informační systém]. Nakladatelství C. H. Beck [cit. 1. 1. 2018]. Dostupné z: </w:t>
      </w:r>
      <w:hyperlink r:id="rId26" w:history="1">
        <w:r w:rsidR="00617663" w:rsidRPr="004C7373">
          <w:rPr>
            <w:rStyle w:val="Hypertextovodkaz"/>
            <w:rFonts w:asciiTheme="minorHAnsi" w:hAnsiTheme="minorHAnsi"/>
            <w:szCs w:val="18"/>
          </w:rPr>
          <w:t>https://www.beck-online.cz/bo/document-view.seam?documentId=nrptembrgzpxg4s7hfpxgxzsg42a&amp;groupIndex=0&amp;rowIndex=0</w:t>
        </w:r>
      </w:hyperlink>
      <w:r w:rsidR="00617663" w:rsidRPr="004C7373">
        <w:rPr>
          <w:rFonts w:asciiTheme="minorHAnsi" w:hAnsiTheme="minorHAnsi"/>
          <w:color w:val="000000"/>
          <w:szCs w:val="18"/>
        </w:rPr>
        <w:t xml:space="preserve"> </w:t>
      </w:r>
    </w:p>
    <w:p w14:paraId="768042CD" w14:textId="77777777" w:rsidR="007F687A" w:rsidRDefault="004C7373" w:rsidP="007F687A">
      <w:pPr>
        <w:pStyle w:val="ZPLiteratura"/>
        <w:rPr>
          <w:rFonts w:asciiTheme="minorHAnsi" w:hAnsiTheme="minorHAnsi"/>
        </w:rPr>
      </w:pPr>
      <w:r>
        <w:t>BOHÁČ, Radim</w:t>
      </w:r>
      <w:r w:rsidRPr="00DF2B30">
        <w:t>. Pojem daň v daňových zákonech.</w:t>
      </w:r>
      <w:r>
        <w:t xml:space="preserve"> In: KOTÁSEK, Josef et al. (eds.). </w:t>
      </w:r>
      <w:r w:rsidRPr="004C7373">
        <w:rPr>
          <w:i/>
          <w:iCs/>
        </w:rPr>
        <w:t>Dny práva – 2011 – Days of Law.</w:t>
      </w:r>
      <w:r>
        <w:t xml:space="preserve"> Brno: Masarykova univerzita, 2012. ISBN 978-80-210-5914-6.</w:t>
      </w:r>
      <w:r w:rsidR="007F687A">
        <w:rPr>
          <w:rFonts w:asciiTheme="minorHAnsi" w:hAnsiTheme="minorHAnsi"/>
        </w:rPr>
        <w:t xml:space="preserve"> </w:t>
      </w:r>
    </w:p>
    <w:p w14:paraId="0978624F" w14:textId="7E6B53F1" w:rsidR="007F687A" w:rsidRPr="007F687A" w:rsidRDefault="007F687A" w:rsidP="007F687A">
      <w:pPr>
        <w:pStyle w:val="ZPLiteratura"/>
        <w:rPr>
          <w:rFonts w:asciiTheme="minorHAnsi" w:hAnsiTheme="minorHAnsi"/>
        </w:rPr>
      </w:pPr>
      <w:r w:rsidRPr="007F687A">
        <w:rPr>
          <w:rFonts w:asciiTheme="minorHAnsi" w:hAnsiTheme="minorHAnsi"/>
        </w:rPr>
        <w:t xml:space="preserve">BROOKE, Keaton. </w:t>
      </w:r>
      <w:r w:rsidRPr="007F687A">
        <w:rPr>
          <w:rFonts w:asciiTheme="minorHAnsi" w:hAnsiTheme="minorHAnsi"/>
          <w:i/>
          <w:iCs/>
        </w:rPr>
        <w:t>Win-Loss: Your Guide to Gambling Winning Taxation</w:t>
      </w:r>
      <w:r w:rsidRPr="007F687A">
        <w:rPr>
          <w:rFonts w:asciiTheme="minorHAnsi" w:hAnsiTheme="minorHAnsi"/>
        </w:rPr>
        <w:t xml:space="preserve">. Casino.org [online], publikováno 21. 3. 2019 [cit. 1. 6. 2019]. Dostupné z: </w:t>
      </w:r>
      <w:hyperlink r:id="rId27" w:history="1">
        <w:r w:rsidRPr="007F687A">
          <w:rPr>
            <w:rStyle w:val="Hypertextovodkaz"/>
            <w:rFonts w:asciiTheme="minorHAnsi" w:hAnsiTheme="minorHAnsi"/>
          </w:rPr>
          <w:t>https://www.casino.org/blog/guide-to-gambling-winnings-taxation/</w:t>
        </w:r>
      </w:hyperlink>
    </w:p>
    <w:p w14:paraId="2ED90FDF" w14:textId="77777777" w:rsidR="00594844" w:rsidRPr="00594844" w:rsidRDefault="003C62DE" w:rsidP="00594844">
      <w:pPr>
        <w:pStyle w:val="ZPLiteratura"/>
      </w:pPr>
      <w:r w:rsidRPr="003C62DE">
        <w:lastRenderedPageBreak/>
        <w:t xml:space="preserve">HAVRÁNKOVÁ, Martina; JAREŠOVÁ, Jana. Daňový řád – část XI. </w:t>
      </w:r>
      <w:r>
        <w:t>Placení daní (2. díl)</w:t>
      </w:r>
      <w:r w:rsidRPr="003C62DE">
        <w:t>.</w:t>
      </w:r>
      <w:r>
        <w:t xml:space="preserve"> </w:t>
      </w:r>
      <w:r w:rsidRPr="003C62DE">
        <w:rPr>
          <w:i/>
        </w:rPr>
        <w:t>Daňový expert</w:t>
      </w:r>
      <w:r>
        <w:t>. 2013, č. 1.</w:t>
      </w:r>
      <w:r w:rsidRPr="003C62DE">
        <w:t xml:space="preserve"> </w:t>
      </w:r>
      <w:r w:rsidRPr="001A01F9">
        <w:rPr>
          <w:rFonts w:asciiTheme="minorHAnsi" w:hAnsiTheme="minorHAnsi"/>
          <w:color w:val="000000"/>
          <w:szCs w:val="18"/>
        </w:rPr>
        <w:t xml:space="preserve">In: </w:t>
      </w:r>
      <w:r w:rsidRPr="001A01F9">
        <w:rPr>
          <w:rFonts w:asciiTheme="minorHAnsi" w:hAnsiTheme="minorHAnsi"/>
          <w:i/>
          <w:color w:val="000000"/>
          <w:szCs w:val="18"/>
        </w:rPr>
        <w:t xml:space="preserve">ASPI </w:t>
      </w:r>
      <w:r w:rsidRPr="001A01F9">
        <w:rPr>
          <w:rFonts w:asciiTheme="minorHAnsi" w:hAnsiTheme="minorHAnsi"/>
          <w:color w:val="000000"/>
          <w:szCs w:val="18"/>
        </w:rPr>
        <w:t>[právní informační systém]. Wolters Kluwer ČR [cit. 1. 2. 2019]</w:t>
      </w:r>
      <w:r w:rsidR="00750854">
        <w:rPr>
          <w:rFonts w:asciiTheme="minorHAnsi" w:hAnsiTheme="minorHAnsi"/>
          <w:color w:val="000000"/>
          <w:szCs w:val="18"/>
        </w:rPr>
        <w:t>.</w:t>
      </w:r>
      <w:r w:rsidR="00594844" w:rsidRPr="00594844">
        <w:rPr>
          <w:rFonts w:asciiTheme="minorHAnsi" w:hAnsiTheme="minorHAnsi"/>
        </w:rPr>
        <w:t xml:space="preserve"> </w:t>
      </w:r>
    </w:p>
    <w:p w14:paraId="72E424FA" w14:textId="22C995F4" w:rsidR="003C62DE" w:rsidRPr="00E15C0B" w:rsidRDefault="00594844" w:rsidP="00594844">
      <w:pPr>
        <w:pStyle w:val="ZPLiteratura"/>
      </w:pPr>
      <w:r w:rsidRPr="00CD74E1">
        <w:rPr>
          <w:rFonts w:asciiTheme="minorHAnsi" w:hAnsiTheme="minorHAnsi"/>
        </w:rPr>
        <w:t>JAKOB, Ondřej. Dozor nad hazardem – počet udělených pokut má vzestupnou tendenci.</w:t>
      </w:r>
      <w:r>
        <w:rPr>
          <w:rFonts w:asciiTheme="minorHAnsi" w:hAnsiTheme="minorHAnsi"/>
        </w:rPr>
        <w:t xml:space="preserve"> Ministerstvo financí CZ [online], publikováno 22. 1. 2013, [cit. 6. 10. 2019]. Dostupné z: </w:t>
      </w:r>
      <w:hyperlink r:id="rId28" w:history="1">
        <w:r w:rsidRPr="00E358BC">
          <w:rPr>
            <w:rStyle w:val="Hypertextovodkaz"/>
            <w:rFonts w:asciiTheme="minorHAnsi" w:hAnsiTheme="minorHAnsi"/>
          </w:rPr>
          <w:t>https://www.mfcr.cz/cs/aktualne/tiskove-zpravy/2013/dozor-nad-hazardem--pocet-udelenych-poku-9382</w:t>
        </w:r>
      </w:hyperlink>
    </w:p>
    <w:p w14:paraId="44150932" w14:textId="77777777" w:rsidR="00C346F3" w:rsidRDefault="00E15C0B" w:rsidP="00C346F3">
      <w:pPr>
        <w:pStyle w:val="ZPLiteratura"/>
      </w:pPr>
      <w:r w:rsidRPr="00E15C0B">
        <w:rPr>
          <w:rFonts w:asciiTheme="minorHAnsi" w:hAnsiTheme="minorHAnsi"/>
          <w:color w:val="000000"/>
        </w:rPr>
        <w:t xml:space="preserve">JINDRA, Lukáš. </w:t>
      </w:r>
      <w:r w:rsidRPr="00E15C0B">
        <w:rPr>
          <w:rFonts w:asciiTheme="minorHAnsi" w:hAnsiTheme="minorHAnsi"/>
          <w:i/>
          <w:iCs/>
          <w:color w:val="000000"/>
        </w:rPr>
        <w:t>Novelizace právní úpravy svěřenského fondu</w:t>
      </w:r>
      <w:r w:rsidRPr="00E15C0B">
        <w:rPr>
          <w:rFonts w:asciiTheme="minorHAnsi" w:hAnsiTheme="minorHAnsi"/>
          <w:color w:val="000000"/>
        </w:rPr>
        <w:t>.</w:t>
      </w:r>
      <w:r w:rsidRPr="00E15C0B">
        <w:t xml:space="preserve">  EPRAVO.CZ [ONLINE], publikováno 19. 7. 2017 [cit. 2. 10. 2019]. ISSN 1213-189X. Dostupné z: </w:t>
      </w:r>
      <w:hyperlink r:id="rId29" w:history="1">
        <w:r w:rsidRPr="00E15C0B">
          <w:rPr>
            <w:rStyle w:val="Hypertextovodkaz"/>
          </w:rPr>
          <w:t>https://www.epravo.cz/clanky/novelizace-pravni-upravy-sverenskeho-fondu-106148.html</w:t>
        </w:r>
      </w:hyperlink>
      <w:r w:rsidR="00C346F3" w:rsidRPr="00C346F3">
        <w:t xml:space="preserve"> </w:t>
      </w:r>
    </w:p>
    <w:p w14:paraId="29C2A3B6" w14:textId="27AF6DF4" w:rsidR="00E15C0B" w:rsidRPr="00E15C0B" w:rsidRDefault="00C346F3" w:rsidP="00C346F3">
      <w:pPr>
        <w:pStyle w:val="ZPLiteratura"/>
      </w:pPr>
      <w:r w:rsidRPr="00283E8E">
        <w:t xml:space="preserve">PALÁN, Josef. Zdaňování hazardních her v EU [online].  </w:t>
      </w:r>
      <w:r w:rsidR="00BD412E">
        <w:t xml:space="preserve">Parlamentní institut, 2009. </w:t>
      </w:r>
      <w:r w:rsidRPr="00283E8E">
        <w:t xml:space="preserve">Dostupné z: </w:t>
      </w:r>
      <w:hyperlink r:id="rId30" w:history="1">
        <w:r w:rsidRPr="00283E8E">
          <w:rPr>
            <w:rStyle w:val="Hypertextovodkaz"/>
            <w:rFonts w:asciiTheme="minorHAnsi" w:hAnsiTheme="minorHAnsi"/>
          </w:rPr>
          <w:t>http://www.psp.cz/sqw/text/orig2.sqw?idd=58577</w:t>
        </w:r>
      </w:hyperlink>
      <w:r w:rsidRPr="00283E8E">
        <w:t xml:space="preserve"> . [cit. 2. 6. 2019].</w:t>
      </w:r>
    </w:p>
    <w:p w14:paraId="356B78F8" w14:textId="77777777" w:rsidR="004C7373" w:rsidRDefault="00677A75" w:rsidP="004C7373">
      <w:pPr>
        <w:pStyle w:val="ZPLiteratura"/>
      </w:pPr>
      <w:r w:rsidRPr="004C7373">
        <w:rPr>
          <w:rFonts w:asciiTheme="minorHAnsi" w:hAnsiTheme="minorHAnsi"/>
          <w:szCs w:val="18"/>
        </w:rPr>
        <w:t>PRAVEC, Josef.</w:t>
      </w:r>
      <w:r w:rsidR="004C442C" w:rsidRPr="004C7373">
        <w:rPr>
          <w:rFonts w:asciiTheme="minorHAnsi" w:hAnsiTheme="minorHAnsi"/>
          <w:szCs w:val="18"/>
        </w:rPr>
        <w:t xml:space="preserve"> </w:t>
      </w:r>
      <w:r w:rsidR="003B7FD5" w:rsidRPr="004C7373">
        <w:rPr>
          <w:rFonts w:asciiTheme="minorHAnsi" w:hAnsiTheme="minorHAnsi"/>
          <w:szCs w:val="18"/>
        </w:rPr>
        <w:t xml:space="preserve">Rozhovor s Alenou Schillerovou. </w:t>
      </w:r>
      <w:r w:rsidR="003B7FD5" w:rsidRPr="004C7373">
        <w:rPr>
          <w:rFonts w:asciiTheme="minorHAnsi" w:hAnsiTheme="minorHAnsi"/>
          <w:i/>
          <w:iCs/>
          <w:szCs w:val="18"/>
        </w:rPr>
        <w:t>Ekonom</w:t>
      </w:r>
      <w:r w:rsidRPr="004C7373">
        <w:rPr>
          <w:rFonts w:asciiTheme="minorHAnsi" w:hAnsiTheme="minorHAnsi"/>
          <w:szCs w:val="18"/>
        </w:rPr>
        <w:t>, 2016, roč. 60, č. 4</w:t>
      </w:r>
      <w:r w:rsidR="003B7FD5" w:rsidRPr="004C7373">
        <w:rPr>
          <w:rFonts w:asciiTheme="minorHAnsi" w:hAnsiTheme="minorHAnsi"/>
          <w:szCs w:val="18"/>
        </w:rPr>
        <w:t>, s. 12-19. ISSN 1210-0714.</w:t>
      </w:r>
      <w:r w:rsidR="004C7373" w:rsidRPr="004C7373">
        <w:t xml:space="preserve"> </w:t>
      </w:r>
    </w:p>
    <w:p w14:paraId="770C8D18" w14:textId="2BA07245" w:rsidR="003B7FD5" w:rsidRPr="00435669" w:rsidRDefault="004C7373" w:rsidP="00435669">
      <w:pPr>
        <w:pStyle w:val="ZPLiteratura"/>
      </w:pPr>
      <w:r w:rsidRPr="00CD74E1">
        <w:t>RADVAN, Michal. Je berní právo samostatným odvětvím práva</w:t>
      </w:r>
      <w:r w:rsidRPr="00CD74E1">
        <w:softHyphen/>
        <w:t xml:space="preserve">? </w:t>
      </w:r>
      <w:r>
        <w:t xml:space="preserve">In: Nechal, Jan et al. (eds.). </w:t>
      </w:r>
      <w:r w:rsidRPr="001E0514">
        <w:rPr>
          <w:i/>
          <w:iCs/>
        </w:rPr>
        <w:t>Dny práva – 2008 - Days of Law</w:t>
      </w:r>
      <w:r w:rsidRPr="00CD74E1">
        <w:rPr>
          <w:rFonts w:asciiTheme="minorHAnsi" w:hAnsiTheme="minorHAnsi"/>
        </w:rPr>
        <w:t xml:space="preserve">. </w:t>
      </w:r>
      <w:r>
        <w:rPr>
          <w:rFonts w:asciiTheme="minorHAnsi" w:hAnsiTheme="minorHAnsi"/>
        </w:rPr>
        <w:t>Brno: Masarykova univerzita, 2008</w:t>
      </w:r>
      <w:r w:rsidR="002E68DC">
        <w:rPr>
          <w:rFonts w:asciiTheme="minorHAnsi" w:hAnsiTheme="minorHAnsi"/>
        </w:rPr>
        <w:t>, s. 295–304.</w:t>
      </w:r>
      <w:r w:rsidRPr="00CD74E1">
        <w:rPr>
          <w:rFonts w:asciiTheme="minorHAnsi" w:hAnsiTheme="minorHAnsi"/>
        </w:rPr>
        <w:t xml:space="preserve"> </w:t>
      </w:r>
      <w:r>
        <w:rPr>
          <w:rFonts w:asciiTheme="minorHAnsi" w:hAnsiTheme="minorHAnsi"/>
        </w:rPr>
        <w:t>ISBN 978-80-210-4733-4.</w:t>
      </w:r>
      <w:r w:rsidRPr="00CD74E1">
        <w:t xml:space="preserve"> </w:t>
      </w:r>
    </w:p>
    <w:p w14:paraId="378DCB1A" w14:textId="77777777" w:rsidR="00F30923" w:rsidRDefault="00F30923" w:rsidP="00F30923">
      <w:pPr>
        <w:pStyle w:val="ZPLiteratura"/>
      </w:pPr>
      <w:r w:rsidRPr="00F30923">
        <w:t xml:space="preserve">RADVAN, Michal. </w:t>
      </w:r>
      <w:r w:rsidRPr="005646C1">
        <w:rPr>
          <w:iCs/>
        </w:rPr>
        <w:t>Municipalities and Gambling Taxation in the Czech Republic</w:t>
      </w:r>
      <w:r w:rsidRPr="00F30923">
        <w:rPr>
          <w:i/>
          <w:iCs/>
        </w:rPr>
        <w:t xml:space="preserve">. </w:t>
      </w:r>
      <w:r w:rsidRPr="005646C1">
        <w:rPr>
          <w:i/>
        </w:rPr>
        <w:t>LEX LOCALIS – JOURNAL OF LOCAL SELF-GOVERNMENT.</w:t>
      </w:r>
      <w:r w:rsidRPr="00F30923">
        <w:t xml:space="preserve"> 2017, vol. 15, no. 3, pp. 529-540.</w:t>
      </w:r>
      <w:r w:rsidR="00BB5DE0">
        <w:t xml:space="preserve"> ISSN 1581/5374.</w:t>
      </w:r>
    </w:p>
    <w:p w14:paraId="6608328F" w14:textId="77777777" w:rsidR="00594844" w:rsidRPr="00594844" w:rsidRDefault="00C25B15" w:rsidP="00594844">
      <w:pPr>
        <w:pStyle w:val="ZPLiteratura"/>
      </w:pPr>
      <w:r w:rsidRPr="00C25B15">
        <w:t>RICHTER, Štěpán</w:t>
      </w:r>
      <w:r w:rsidRPr="005646C1">
        <w:t xml:space="preserve">. </w:t>
      </w:r>
      <w:r w:rsidRPr="005646C1">
        <w:rPr>
          <w:iCs/>
        </w:rPr>
        <w:t>Právní problematika loot boxů</w:t>
      </w:r>
      <w:r w:rsidRPr="005646C1">
        <w:t>.</w:t>
      </w:r>
      <w:r w:rsidRPr="00C25B15">
        <w:t xml:space="preserve"> </w:t>
      </w:r>
      <w:r w:rsidR="005646C1" w:rsidRPr="005646C1">
        <w:rPr>
          <w:i/>
        </w:rPr>
        <w:t>Revue pro právo a technologie: odborný recenzovaný časopis pro technologické obory práva a právní vědy</w:t>
      </w:r>
      <w:r w:rsidR="005646C1">
        <w:t xml:space="preserve">. Brno: Masarykova univerzita. </w:t>
      </w:r>
      <w:r w:rsidR="005646C1" w:rsidRPr="001A01F9">
        <w:rPr>
          <w:rFonts w:asciiTheme="minorHAnsi" w:hAnsiTheme="minorHAnsi"/>
        </w:rPr>
        <w:t xml:space="preserve">2019, roč. 10, č. 19, s. 69-85. </w:t>
      </w:r>
      <w:r w:rsidR="00617663" w:rsidRPr="001A01F9">
        <w:rPr>
          <w:rFonts w:asciiTheme="minorHAnsi" w:hAnsiTheme="minorHAnsi"/>
          <w:color w:val="000000"/>
          <w:szCs w:val="18"/>
        </w:rPr>
        <w:t xml:space="preserve">In: </w:t>
      </w:r>
      <w:r w:rsidR="00617663" w:rsidRPr="001A01F9">
        <w:rPr>
          <w:rFonts w:asciiTheme="minorHAnsi" w:hAnsiTheme="minorHAnsi"/>
          <w:i/>
          <w:color w:val="000000"/>
          <w:szCs w:val="18"/>
        </w:rPr>
        <w:t xml:space="preserve">ASPI </w:t>
      </w:r>
      <w:r w:rsidR="00617663" w:rsidRPr="001A01F9">
        <w:rPr>
          <w:rFonts w:asciiTheme="minorHAnsi" w:hAnsiTheme="minorHAnsi"/>
          <w:color w:val="000000"/>
          <w:szCs w:val="18"/>
        </w:rPr>
        <w:t>[právní informační systém]. Wolters Kluwer ČR [cit. 11. 12. 2019]</w:t>
      </w:r>
      <w:r w:rsidR="00594844">
        <w:rPr>
          <w:rFonts w:asciiTheme="minorHAnsi" w:hAnsiTheme="minorHAnsi"/>
          <w:color w:val="000000"/>
          <w:szCs w:val="18"/>
        </w:rPr>
        <w:t>.</w:t>
      </w:r>
      <w:r w:rsidR="00594844" w:rsidRPr="00594844">
        <w:rPr>
          <w:rFonts w:asciiTheme="minorHAnsi" w:hAnsiTheme="minorHAnsi"/>
        </w:rPr>
        <w:t xml:space="preserve"> </w:t>
      </w:r>
    </w:p>
    <w:p w14:paraId="044875FB" w14:textId="18646B4A" w:rsidR="00594844" w:rsidRPr="00594844" w:rsidRDefault="00594844" w:rsidP="00594844">
      <w:pPr>
        <w:pStyle w:val="ZPLiteratura"/>
      </w:pPr>
      <w:r w:rsidRPr="00CD74E1">
        <w:rPr>
          <w:rFonts w:asciiTheme="minorHAnsi" w:hAnsiTheme="minorHAnsi"/>
        </w:rPr>
        <w:t xml:space="preserve">RYCHLÍK, Martin. Hazard v obcích aneb o vítaném doplňku rozpočtů. Lidovky.cz [online]. Publikováno 8. 2. 2016 [cit. 4. 3. 2018]. Dostupné z: </w:t>
      </w:r>
      <w:hyperlink r:id="rId31" w:history="1">
        <w:r w:rsidRPr="00CD74E1">
          <w:rPr>
            <w:rStyle w:val="Hypertextovodkaz"/>
            <w:rFonts w:asciiTheme="minorHAnsi" w:hAnsiTheme="minorHAnsi"/>
          </w:rPr>
          <w:t>http://ceskapozice.lidovky.cz/tema/hazard-v-obcich-aneb-o-vitanem-doplnku-rozpoctu.A160205_164612_pozice-tema_lube</w:t>
        </w:r>
      </w:hyperlink>
    </w:p>
    <w:p w14:paraId="55B5882D" w14:textId="1C2DCAC5" w:rsidR="00C25B15" w:rsidRPr="00594844" w:rsidRDefault="00594844" w:rsidP="00594844">
      <w:pPr>
        <w:pStyle w:val="ZPLiteratura"/>
      </w:pPr>
      <w:r w:rsidRPr="00594844">
        <w:rPr>
          <w:rFonts w:asciiTheme="minorHAnsi" w:hAnsiTheme="minorHAnsi"/>
        </w:rPr>
        <w:lastRenderedPageBreak/>
        <w:t xml:space="preserve"> </w:t>
      </w:r>
      <w:r w:rsidRPr="00CD74E1">
        <w:rPr>
          <w:rFonts w:asciiTheme="minorHAnsi" w:hAnsiTheme="minorHAnsi"/>
        </w:rPr>
        <w:t xml:space="preserve">ŠINDELKA, Vladimír. Daňová harmonizace – pokračování. </w:t>
      </w:r>
      <w:r>
        <w:rPr>
          <w:rFonts w:asciiTheme="minorHAnsi" w:hAnsiTheme="minorHAnsi"/>
        </w:rPr>
        <w:t xml:space="preserve">Finance.cz [online], publikováno 27. 6. 2001 [cit. 5. 10. 2019]. Dostupné z: </w:t>
      </w:r>
      <w:hyperlink r:id="rId32" w:history="1">
        <w:r w:rsidRPr="00E358BC">
          <w:rPr>
            <w:rStyle w:val="Hypertextovodkaz"/>
            <w:rFonts w:asciiTheme="minorHAnsi" w:hAnsiTheme="minorHAnsi"/>
          </w:rPr>
          <w:t>https://www.finance.cz/zpravy/finance/17361-danova-harmonizace-pokracovani/</w:t>
        </w:r>
      </w:hyperlink>
    </w:p>
    <w:p w14:paraId="3035F71F" w14:textId="77777777" w:rsidR="00F82DD1" w:rsidRPr="001A01F9" w:rsidRDefault="00F30923" w:rsidP="00FF726E">
      <w:pPr>
        <w:pStyle w:val="ZPLiteratura"/>
        <w:rPr>
          <w:rFonts w:asciiTheme="minorHAnsi" w:hAnsiTheme="minorHAnsi"/>
        </w:rPr>
      </w:pPr>
      <w:r w:rsidRPr="001A01F9">
        <w:rPr>
          <w:rFonts w:asciiTheme="minorHAnsi" w:hAnsiTheme="minorHAnsi"/>
        </w:rPr>
        <w:t xml:space="preserve">ŠIROKÝ, Jan. </w:t>
      </w:r>
      <w:r w:rsidRPr="001A01F9">
        <w:rPr>
          <w:rFonts w:asciiTheme="minorHAnsi" w:hAnsiTheme="minorHAnsi"/>
          <w:iCs/>
        </w:rPr>
        <w:t>Analýza zdaňování výher a cen v České republice</w:t>
      </w:r>
      <w:r w:rsidRPr="001A01F9">
        <w:rPr>
          <w:rFonts w:asciiTheme="minorHAnsi" w:hAnsiTheme="minorHAnsi"/>
        </w:rPr>
        <w:t xml:space="preserve">. </w:t>
      </w:r>
      <w:r w:rsidR="005646C1" w:rsidRPr="001A01F9">
        <w:rPr>
          <w:rFonts w:asciiTheme="minorHAnsi" w:hAnsiTheme="minorHAnsi"/>
          <w:i/>
        </w:rPr>
        <w:t>Daňová a hospodářská kartotéka: DHK.</w:t>
      </w:r>
      <w:r w:rsidR="005646C1" w:rsidRPr="001A01F9">
        <w:rPr>
          <w:rFonts w:asciiTheme="minorHAnsi" w:hAnsiTheme="minorHAnsi"/>
        </w:rPr>
        <w:t xml:space="preserve"> Praha: Linde. 1998, roč. 6, č. 18, s. 332-335. </w:t>
      </w:r>
      <w:r w:rsidR="00F82DD1" w:rsidRPr="001A01F9">
        <w:rPr>
          <w:rFonts w:asciiTheme="minorHAnsi" w:hAnsiTheme="minorHAnsi"/>
          <w:color w:val="000000"/>
          <w:szCs w:val="18"/>
        </w:rPr>
        <w:t xml:space="preserve">In: </w:t>
      </w:r>
      <w:r w:rsidR="00F82DD1" w:rsidRPr="001A01F9">
        <w:rPr>
          <w:rFonts w:asciiTheme="minorHAnsi" w:hAnsiTheme="minorHAnsi"/>
          <w:i/>
          <w:color w:val="000000"/>
          <w:szCs w:val="18"/>
        </w:rPr>
        <w:t xml:space="preserve">ASPI </w:t>
      </w:r>
      <w:r w:rsidR="00F82DD1" w:rsidRPr="001A01F9">
        <w:rPr>
          <w:rFonts w:asciiTheme="minorHAnsi" w:hAnsiTheme="minorHAnsi"/>
          <w:color w:val="000000"/>
          <w:szCs w:val="18"/>
        </w:rPr>
        <w:t>[právní informační systém]. Wolters Kluwer ČR [cit. 1. 2. 2019]</w:t>
      </w:r>
    </w:p>
    <w:p w14:paraId="215632C3" w14:textId="25B15C67" w:rsidR="00DF505D" w:rsidRDefault="00F30923" w:rsidP="00FF726E">
      <w:pPr>
        <w:pStyle w:val="ZPLiteratura"/>
        <w:rPr>
          <w:rFonts w:asciiTheme="minorHAnsi" w:hAnsiTheme="minorHAnsi"/>
        </w:rPr>
      </w:pPr>
      <w:r w:rsidRPr="001A01F9">
        <w:rPr>
          <w:rFonts w:asciiTheme="minorHAnsi" w:hAnsiTheme="minorHAnsi"/>
        </w:rPr>
        <w:t xml:space="preserve">ŠRÁMKOVÁ, Alice. </w:t>
      </w:r>
      <w:r w:rsidRPr="001A01F9">
        <w:rPr>
          <w:rFonts w:asciiTheme="minorHAnsi" w:hAnsiTheme="minorHAnsi"/>
          <w:iCs/>
        </w:rPr>
        <w:t>Nová daň české daňové soustavy, aneb zpřísnění regulace hazardních her</w:t>
      </w:r>
      <w:r w:rsidRPr="001A01F9">
        <w:rPr>
          <w:rFonts w:asciiTheme="minorHAnsi" w:hAnsiTheme="minorHAnsi"/>
        </w:rPr>
        <w:t xml:space="preserve">. </w:t>
      </w:r>
      <w:r w:rsidR="001A01F9" w:rsidRPr="001A01F9">
        <w:rPr>
          <w:rFonts w:asciiTheme="minorHAnsi" w:hAnsiTheme="minorHAnsi"/>
          <w:i/>
        </w:rPr>
        <w:t xml:space="preserve">NewsFP – Newsletter Fučík </w:t>
      </w:r>
      <w:r w:rsidR="001A01F9" w:rsidRPr="001A01F9">
        <w:rPr>
          <w:rStyle w:val="Zdraznn"/>
          <w:rFonts w:asciiTheme="minorHAnsi" w:hAnsiTheme="minorHAnsi" w:cs="Arial"/>
          <w:b/>
          <w:bCs/>
          <w:i w:val="0"/>
          <w:iCs w:val="0"/>
          <w:color w:val="6A6A6A"/>
          <w:shd w:val="clear" w:color="auto" w:fill="FFFFFF"/>
        </w:rPr>
        <w:t xml:space="preserve">&amp; </w:t>
      </w:r>
      <w:r w:rsidR="001A01F9" w:rsidRPr="001A01F9">
        <w:rPr>
          <w:rFonts w:asciiTheme="minorHAnsi" w:hAnsiTheme="minorHAnsi"/>
          <w:i/>
        </w:rPr>
        <w:t>partneři</w:t>
      </w:r>
      <w:r w:rsidR="001A01F9" w:rsidRPr="001A01F9">
        <w:rPr>
          <w:rFonts w:asciiTheme="minorHAnsi" w:hAnsiTheme="minorHAnsi"/>
        </w:rPr>
        <w:t xml:space="preserve">. 2017, č. 1. </w:t>
      </w:r>
      <w:r w:rsidRPr="001A01F9">
        <w:rPr>
          <w:rFonts w:asciiTheme="minorHAnsi" w:hAnsiTheme="minorHAnsi"/>
        </w:rPr>
        <w:t xml:space="preserve">In: </w:t>
      </w:r>
      <w:r w:rsidRPr="001A01F9">
        <w:rPr>
          <w:rFonts w:asciiTheme="minorHAnsi" w:hAnsiTheme="minorHAnsi"/>
          <w:i/>
          <w:iCs/>
        </w:rPr>
        <w:t>ASPI</w:t>
      </w:r>
      <w:r w:rsidRPr="001A01F9">
        <w:rPr>
          <w:rFonts w:asciiTheme="minorHAnsi" w:hAnsiTheme="minorHAnsi"/>
        </w:rPr>
        <w:t xml:space="preserve"> [právní informační systém]. Wolters Kluwer ČR [cit. 1. 2. 2019].</w:t>
      </w:r>
    </w:p>
    <w:p w14:paraId="2032ABF8" w14:textId="29E689B7" w:rsidR="0065401C" w:rsidRPr="0065401C" w:rsidRDefault="0065401C" w:rsidP="00FF726E">
      <w:pPr>
        <w:pStyle w:val="ZPLiteratura"/>
        <w:rPr>
          <w:rFonts w:asciiTheme="minorHAnsi" w:hAnsiTheme="minorHAnsi"/>
        </w:rPr>
      </w:pPr>
      <w:r w:rsidRPr="0065401C">
        <w:rPr>
          <w:rFonts w:asciiTheme="minorHAnsi" w:hAnsiTheme="minorHAnsi"/>
        </w:rPr>
        <w:t xml:space="preserve">ŠUCHMAN, Jaroslav. </w:t>
      </w:r>
      <w:r w:rsidRPr="0065401C">
        <w:rPr>
          <w:rFonts w:asciiTheme="minorHAnsi" w:hAnsiTheme="minorHAnsi"/>
          <w:i/>
          <w:iCs/>
        </w:rPr>
        <w:t>Přeshraniční poskytování služeb online hraní – již brzy svobodně(ji)?</w:t>
      </w:r>
      <w:r w:rsidRPr="0065401C">
        <w:rPr>
          <w:rFonts w:asciiTheme="minorHAnsi" w:hAnsiTheme="minorHAnsi"/>
        </w:rPr>
        <w:t xml:space="preserve">  EPRAVO.CZ [ONLINE], publikováno 24. 7. 2013 [cit. 2. 10. 2019]. ISSN 1213-189X. Dostupné z: </w:t>
      </w:r>
      <w:hyperlink r:id="rId33" w:history="1">
        <w:r w:rsidRPr="00E358BC">
          <w:rPr>
            <w:rStyle w:val="Hypertextovodkaz"/>
            <w:rFonts w:asciiTheme="minorHAnsi" w:hAnsiTheme="minorHAnsi"/>
          </w:rPr>
          <w:t>https://www.epravo.cz/top/clanky/preshranicni-poskytovani-sluzeb-online-hrani-jiz-brzy-svobodneji-91738.html</w:t>
        </w:r>
      </w:hyperlink>
      <w:r>
        <w:rPr>
          <w:rFonts w:asciiTheme="minorHAnsi" w:hAnsiTheme="minorHAnsi"/>
        </w:rPr>
        <w:t xml:space="preserve"> </w:t>
      </w:r>
    </w:p>
    <w:p w14:paraId="02E615CC" w14:textId="77777777" w:rsidR="00DF505D" w:rsidRPr="00152A7A" w:rsidRDefault="00BB4415" w:rsidP="008A7F29">
      <w:pPr>
        <w:pStyle w:val="Nadpis20"/>
      </w:pPr>
      <w:bookmarkStart w:id="65" w:name="_Toc257117034"/>
      <w:bookmarkStart w:id="66" w:name="_Toc381564286"/>
      <w:bookmarkStart w:id="67" w:name="_Toc2781040"/>
      <w:bookmarkStart w:id="68" w:name="_Toc44451460"/>
      <w:r w:rsidRPr="00152A7A">
        <w:t>Judikatura</w:t>
      </w:r>
      <w:bookmarkEnd w:id="65"/>
      <w:bookmarkEnd w:id="66"/>
      <w:bookmarkEnd w:id="67"/>
      <w:bookmarkEnd w:id="68"/>
    </w:p>
    <w:p w14:paraId="4FDED401" w14:textId="77777777" w:rsidR="00DF505D" w:rsidRPr="00F30923" w:rsidRDefault="00F30923" w:rsidP="001061C1">
      <w:pPr>
        <w:pStyle w:val="ZPLiteratura"/>
      </w:pPr>
      <w:r w:rsidRPr="00F30923">
        <w:rPr>
          <w:rFonts w:asciiTheme="minorHAnsi" w:hAnsiTheme="minorHAnsi"/>
        </w:rPr>
        <w:t>Rozsudek Soudního dvora Evropské unie ze dne 24. 3. 1994. Věc C-275/92</w:t>
      </w:r>
      <w:r w:rsidR="00B35214">
        <w:rPr>
          <w:rFonts w:asciiTheme="minorHAnsi" w:hAnsiTheme="minorHAnsi"/>
        </w:rPr>
        <w:t>.</w:t>
      </w:r>
      <w:r w:rsidRPr="00F30923">
        <w:rPr>
          <w:rFonts w:asciiTheme="minorHAnsi" w:hAnsiTheme="minorHAnsi"/>
        </w:rPr>
        <w:t xml:space="preserve"> In: </w:t>
      </w:r>
      <w:r w:rsidRPr="00F30923">
        <w:rPr>
          <w:rFonts w:asciiTheme="minorHAnsi" w:hAnsiTheme="minorHAnsi"/>
          <w:i/>
          <w:iCs/>
        </w:rPr>
        <w:t>ASPI</w:t>
      </w:r>
      <w:r w:rsidRPr="00F30923">
        <w:rPr>
          <w:rFonts w:asciiTheme="minorHAnsi" w:hAnsiTheme="minorHAnsi"/>
        </w:rPr>
        <w:t xml:space="preserve"> [právní informační systém]. Wolters Kluwer ČR [cit. 1. 2. 2019].</w:t>
      </w:r>
    </w:p>
    <w:p w14:paraId="3277FA3E" w14:textId="77777777" w:rsidR="00F30923" w:rsidRPr="00C8415C" w:rsidRDefault="00F30923" w:rsidP="001061C1">
      <w:pPr>
        <w:pStyle w:val="ZPLiteratura"/>
      </w:pPr>
      <w:r w:rsidRPr="00F30923">
        <w:rPr>
          <w:rFonts w:asciiTheme="minorHAnsi" w:hAnsiTheme="minorHAnsi"/>
        </w:rPr>
        <w:t xml:space="preserve">Rozsudek Soudního dvora Evropské unie ze dne 11. 9. 2003. Věc C-6/01. In: </w:t>
      </w:r>
      <w:r w:rsidRPr="00F30923">
        <w:rPr>
          <w:rFonts w:asciiTheme="minorHAnsi" w:hAnsiTheme="minorHAnsi"/>
          <w:i/>
          <w:iCs/>
        </w:rPr>
        <w:t>ASPI</w:t>
      </w:r>
      <w:r w:rsidRPr="00F30923">
        <w:rPr>
          <w:rFonts w:asciiTheme="minorHAnsi" w:hAnsiTheme="minorHAnsi"/>
        </w:rPr>
        <w:t xml:space="preserve"> [právní informační systém]. Wolters Kluwer ČR [cit. 1. 6. 2019].</w:t>
      </w:r>
    </w:p>
    <w:p w14:paraId="3FC7D8C4" w14:textId="77777777" w:rsidR="00C8415C" w:rsidRPr="00D64D1B" w:rsidRDefault="00C8415C" w:rsidP="00B35214">
      <w:pPr>
        <w:pStyle w:val="ZPLiteratura"/>
      </w:pPr>
      <w:r w:rsidRPr="00D64D1B">
        <w:t>Rozsudek S</w:t>
      </w:r>
      <w:r>
        <w:t>oudního dvora Evropské unie</w:t>
      </w:r>
      <w:r w:rsidR="00F56794">
        <w:t xml:space="preserve"> ze dne 17. 2. 2005 ve spojených věcech</w:t>
      </w:r>
      <w:r w:rsidRPr="00D64D1B">
        <w:t xml:space="preserve"> C-453/02 a C-462/02</w:t>
      </w:r>
      <w:r w:rsidR="00F56794">
        <w:t>.</w:t>
      </w:r>
      <w:r w:rsidR="00B35214">
        <w:t xml:space="preserve"> </w:t>
      </w:r>
      <w:r w:rsidR="0024719D">
        <w:t xml:space="preserve">In: Beck-online[online právní informační systém]. Nakladatelství C. H. Beck </w:t>
      </w:r>
      <w:r w:rsidR="0024719D">
        <w:rPr>
          <w:rFonts w:asciiTheme="minorHAnsi" w:eastAsia="MS Gothic" w:hAnsiTheme="minorHAnsi" w:cs="MS Gothic"/>
        </w:rPr>
        <w:t>[cit. 1. 6. 2019].</w:t>
      </w:r>
      <w:r w:rsidR="0024719D">
        <w:t xml:space="preserve"> </w:t>
      </w:r>
      <w:r w:rsidR="00B35214">
        <w:t xml:space="preserve">Dostupné z: </w:t>
      </w:r>
      <w:hyperlink r:id="rId34" w:history="1">
        <w:r w:rsidR="00DA15DD" w:rsidRPr="00B9411D">
          <w:rPr>
            <w:rStyle w:val="Hypertextovodkaz"/>
          </w:rPr>
          <w:t>http://www.beck-online.cz/bo/document-view.seam?documentId=mv2tmxzsgaydex3dniydinjt&amp;groupIndex=1&amp;rowIndex=0</w:t>
        </w:r>
      </w:hyperlink>
      <w:r w:rsidR="00DA15DD">
        <w:t xml:space="preserve"> </w:t>
      </w:r>
    </w:p>
    <w:p w14:paraId="70D3B28A" w14:textId="77777777" w:rsidR="00C8415C" w:rsidRDefault="00F56794" w:rsidP="00B35214">
      <w:pPr>
        <w:pStyle w:val="ZPLiteratura"/>
      </w:pPr>
      <w:r>
        <w:t>Rozsudek Soudního dvora Evropské unie ze dne 7. 12. 2010 ve spojených věcech C-585/08 a C-144/09</w:t>
      </w:r>
      <w:r w:rsidR="00B35214">
        <w:t xml:space="preserve">. </w:t>
      </w:r>
      <w:r w:rsidR="0024719D">
        <w:t xml:space="preserve">In: Beck-online[online právní informační systém]. Nakladatelství C. H. Beck </w:t>
      </w:r>
      <w:r w:rsidR="0024719D">
        <w:rPr>
          <w:rFonts w:asciiTheme="minorHAnsi" w:eastAsia="MS Gothic" w:hAnsiTheme="minorHAnsi" w:cs="MS Gothic"/>
        </w:rPr>
        <w:t>[cit. 1. 6. 2019].</w:t>
      </w:r>
      <w:r w:rsidR="0024719D">
        <w:t xml:space="preserve"> </w:t>
      </w:r>
      <w:r w:rsidR="00B35214">
        <w:t xml:space="preserve">Dostupné z: </w:t>
      </w:r>
      <w:hyperlink r:id="rId35" w:history="1">
        <w:r w:rsidR="00DA15DD" w:rsidRPr="00B9411D">
          <w:rPr>
            <w:rStyle w:val="Hypertextovodkaz"/>
          </w:rPr>
          <w:t>http://www.beck-online.cz/bo/document-</w:t>
        </w:r>
        <w:r w:rsidR="00DA15DD" w:rsidRPr="00B9411D">
          <w:rPr>
            <w:rStyle w:val="Hypertextovodkaz"/>
          </w:rPr>
          <w:lastRenderedPageBreak/>
          <w:t>view.seam?documentId=mv2tmxzsgaydqx3dniydkobv&amp;groupIndex=2&amp;rowIndex=0</w:t>
        </w:r>
      </w:hyperlink>
      <w:r w:rsidR="00DA15DD">
        <w:t xml:space="preserve"> </w:t>
      </w:r>
    </w:p>
    <w:p w14:paraId="04754216" w14:textId="77777777" w:rsidR="009E3D12" w:rsidRDefault="009E3D12" w:rsidP="009E3D12">
      <w:pPr>
        <w:pStyle w:val="ZPLiteratura"/>
      </w:pPr>
      <w:r w:rsidRPr="00431DE3">
        <w:t>Rozhodnutí Komise ze dne 20. září 20</w:t>
      </w:r>
      <w:r>
        <w:t>1</w:t>
      </w:r>
      <w:r w:rsidRPr="00431DE3">
        <w:t xml:space="preserve">1 o opatření C 35/10 (ex </w:t>
      </w:r>
      <w:r w:rsidRPr="00B0619E">
        <w:t>N 302/10), které Dánsko zamýšlí provést v podobě danění hazardních her poskytovaných on-line v rámci dánského zákona</w:t>
      </w:r>
      <w:r w:rsidRPr="00B0619E">
        <w:rPr>
          <w:rFonts w:asciiTheme="minorHAnsi" w:hAnsiTheme="minorHAnsi"/>
        </w:rPr>
        <w:t xml:space="preserve"> o danění hazardních her. In: </w:t>
      </w:r>
      <w:r w:rsidRPr="00B0619E">
        <w:rPr>
          <w:rFonts w:asciiTheme="minorHAnsi" w:hAnsiTheme="minorHAnsi"/>
          <w:i/>
          <w:iCs/>
        </w:rPr>
        <w:t>Beck-online</w:t>
      </w:r>
      <w:r w:rsidRPr="00B0619E">
        <w:rPr>
          <w:rFonts w:asciiTheme="minorHAnsi" w:hAnsiTheme="minorHAnsi"/>
        </w:rPr>
        <w:t xml:space="preserve"> [online právní informační systém]. Nakladatelství C.</w:t>
      </w:r>
      <w:r>
        <w:rPr>
          <w:rFonts w:asciiTheme="minorHAnsi" w:hAnsiTheme="minorHAnsi"/>
        </w:rPr>
        <w:t xml:space="preserve"> </w:t>
      </w:r>
      <w:r w:rsidRPr="00B0619E">
        <w:rPr>
          <w:rFonts w:asciiTheme="minorHAnsi" w:hAnsiTheme="minorHAnsi"/>
        </w:rPr>
        <w:t xml:space="preserve">H. Beck [cit. 1. 6. 2019]. Dostupné z: </w:t>
      </w:r>
      <w:hyperlink r:id="rId36" w:history="1">
        <w:r w:rsidRPr="00B9411D">
          <w:rPr>
            <w:rStyle w:val="Hypertextovodkaz"/>
            <w:rFonts w:asciiTheme="minorHAnsi" w:hAnsiTheme="minorHAnsi" w:cs="Helvetica"/>
            <w:shd w:val="clear" w:color="auto" w:fill="FFFFFF"/>
          </w:rPr>
          <w:t>http://www.beck-online.cz/bo/document-view.seam?documentId=mv2tgxzsgaytex3egaytima&amp;groupIndex=20&amp;rowIndex=0#</w:t>
        </w:r>
      </w:hyperlink>
      <w:r w:rsidRPr="00B0619E">
        <w:rPr>
          <w:rFonts w:asciiTheme="minorHAnsi" w:hAnsiTheme="minorHAnsi" w:cs="Helvetica"/>
          <w:color w:val="000000"/>
          <w:shd w:val="clear" w:color="auto" w:fill="FFFFFF"/>
        </w:rPr>
        <w:t>.</w:t>
      </w:r>
      <w:r>
        <w:rPr>
          <w:rFonts w:asciiTheme="minorHAnsi" w:hAnsiTheme="minorHAnsi" w:cs="Helvetica"/>
          <w:color w:val="000000"/>
          <w:shd w:val="clear" w:color="auto" w:fill="FFFFFF"/>
        </w:rPr>
        <w:t xml:space="preserve"> </w:t>
      </w:r>
    </w:p>
    <w:p w14:paraId="2174F37A" w14:textId="77777777" w:rsidR="00B35214" w:rsidRPr="00B35214" w:rsidRDefault="00B35214" w:rsidP="001061C1">
      <w:pPr>
        <w:pStyle w:val="ZPLiteratura"/>
      </w:pPr>
      <w:r w:rsidRPr="00B35214">
        <w:rPr>
          <w:rFonts w:asciiTheme="minorHAnsi" w:hAnsiTheme="minorHAnsi"/>
        </w:rPr>
        <w:t xml:space="preserve">Rozhodnutí Nejvyššího správního soudu ze dne 23. 4. 2015, sp. zn. 7 Afs 188/2014. In: </w:t>
      </w:r>
      <w:r w:rsidRPr="00B35214">
        <w:rPr>
          <w:rFonts w:asciiTheme="minorHAnsi" w:hAnsiTheme="minorHAnsi"/>
          <w:i/>
          <w:iCs/>
        </w:rPr>
        <w:t>ASPI</w:t>
      </w:r>
      <w:r w:rsidRPr="00B35214">
        <w:rPr>
          <w:rFonts w:asciiTheme="minorHAnsi" w:hAnsiTheme="minorHAnsi"/>
        </w:rPr>
        <w:t xml:space="preserve"> [právní informační systém]. Wolters Kluwer ČR [cit. 9. 2. 2018].</w:t>
      </w:r>
    </w:p>
    <w:p w14:paraId="166ACABA" w14:textId="665F3450" w:rsidR="00DF505D" w:rsidRPr="00152A7A" w:rsidRDefault="00C8415C" w:rsidP="008A7F29">
      <w:pPr>
        <w:pStyle w:val="ZPLiteratura"/>
      </w:pPr>
      <w:r w:rsidRPr="00D64D1B">
        <w:t>Rozsudek Městského soudu v</w:t>
      </w:r>
      <w:r w:rsidR="00F56794">
        <w:t> </w:t>
      </w:r>
      <w:r w:rsidRPr="00D64D1B">
        <w:t>Praze</w:t>
      </w:r>
      <w:r w:rsidR="00F56794">
        <w:t xml:space="preserve"> ze dne 17. 3. 2010</w:t>
      </w:r>
      <w:r w:rsidRPr="00D64D1B">
        <w:t>, sp. zn. 5 Ca 65/2007-77</w:t>
      </w:r>
      <w:r w:rsidR="00B35214">
        <w:t xml:space="preserve">. </w:t>
      </w:r>
      <w:r w:rsidR="00B35214" w:rsidRPr="00F30923">
        <w:rPr>
          <w:rFonts w:asciiTheme="minorHAnsi" w:hAnsiTheme="minorHAnsi"/>
        </w:rPr>
        <w:t xml:space="preserve">In: </w:t>
      </w:r>
      <w:r w:rsidR="00B35214" w:rsidRPr="00F30923">
        <w:rPr>
          <w:rFonts w:asciiTheme="minorHAnsi" w:hAnsiTheme="minorHAnsi"/>
          <w:i/>
          <w:iCs/>
        </w:rPr>
        <w:t>ASPI</w:t>
      </w:r>
      <w:r w:rsidR="00B35214" w:rsidRPr="00F30923">
        <w:rPr>
          <w:rFonts w:asciiTheme="minorHAnsi" w:hAnsiTheme="minorHAnsi"/>
        </w:rPr>
        <w:t xml:space="preserve"> [právní informační systém]. Wolters Kluwer ČR [cit. 1. 2. 2019].</w:t>
      </w:r>
    </w:p>
    <w:p w14:paraId="1FFE85E8" w14:textId="77777777" w:rsidR="00DF505D" w:rsidRPr="00152A7A" w:rsidRDefault="002F109A" w:rsidP="008A7F29">
      <w:pPr>
        <w:pStyle w:val="Nadpis20"/>
      </w:pPr>
      <w:bookmarkStart w:id="69" w:name="_Toc257117036"/>
      <w:bookmarkStart w:id="70" w:name="_Toc381564288"/>
      <w:bookmarkStart w:id="71" w:name="_Toc2781042"/>
      <w:bookmarkStart w:id="72" w:name="_Toc44451461"/>
      <w:r w:rsidRPr="00152A7A">
        <w:t>Právní</w:t>
      </w:r>
      <w:r w:rsidR="00DF505D" w:rsidRPr="00152A7A">
        <w:t xml:space="preserve"> </w:t>
      </w:r>
      <w:bookmarkEnd w:id="69"/>
      <w:bookmarkEnd w:id="70"/>
      <w:r w:rsidR="00E038BD" w:rsidRPr="00152A7A">
        <w:t>předpisy</w:t>
      </w:r>
      <w:bookmarkEnd w:id="71"/>
      <w:bookmarkEnd w:id="72"/>
    </w:p>
    <w:p w14:paraId="0263E48F" w14:textId="77777777" w:rsidR="00DF505D" w:rsidRPr="00152A7A" w:rsidRDefault="00DF505D" w:rsidP="00F114CA">
      <w:pPr>
        <w:pStyle w:val="Nadpis30"/>
      </w:pPr>
      <w:r w:rsidRPr="00152A7A">
        <w:t>Zákony</w:t>
      </w:r>
    </w:p>
    <w:p w14:paraId="442DDCA2" w14:textId="037E3BD9" w:rsidR="00DF505D" w:rsidRDefault="00FC67B8" w:rsidP="001061C1">
      <w:pPr>
        <w:pStyle w:val="ZPLiteratura"/>
        <w:rPr>
          <w:rFonts w:asciiTheme="minorHAnsi" w:hAnsiTheme="minorHAnsi"/>
        </w:rPr>
      </w:pPr>
      <w:r w:rsidRPr="007D1DC4">
        <w:rPr>
          <w:rFonts w:asciiTheme="minorHAnsi" w:hAnsiTheme="minorHAnsi"/>
        </w:rPr>
        <w:t xml:space="preserve">Zákon č. 202/1990 Sb., Zákon České národní rady o loteriích a jiných podobných hrách,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w:t>
      </w:r>
      <w:r w:rsidR="00674944">
        <w:rPr>
          <w:rFonts w:asciiTheme="minorHAnsi" w:hAnsiTheme="minorHAnsi"/>
        </w:rPr>
        <w:t xml:space="preserve"> </w:t>
      </w:r>
      <w:r w:rsidR="00674944" w:rsidRPr="007D1DC4">
        <w:rPr>
          <w:rFonts w:asciiTheme="minorHAnsi" w:hAnsiTheme="minorHAnsi"/>
        </w:rPr>
        <w:t>[cit. 2. 4. 2018].</w:t>
      </w:r>
    </w:p>
    <w:p w14:paraId="1CCA9BC5" w14:textId="17223B0E" w:rsidR="00161EE5" w:rsidRPr="007D1DC4" w:rsidRDefault="00161EE5" w:rsidP="001061C1">
      <w:pPr>
        <w:pStyle w:val="ZPLiteratura"/>
        <w:rPr>
          <w:rFonts w:asciiTheme="minorHAnsi" w:hAnsiTheme="minorHAnsi"/>
        </w:rPr>
      </w:pPr>
      <w:r>
        <w:t xml:space="preserve">Zákon č. 337/1992 Sb., Zákon České národní rady o správě daní a poplatků, ve znění pozdějších předpisů. </w:t>
      </w:r>
      <w:r w:rsidRPr="007D1DC4">
        <w:rPr>
          <w:rFonts w:asciiTheme="minorHAnsi" w:hAnsiTheme="minorHAnsi"/>
        </w:rPr>
        <w:t xml:space="preserve">In: </w:t>
      </w:r>
      <w:r w:rsidRPr="007D1DC4">
        <w:rPr>
          <w:rFonts w:asciiTheme="minorHAnsi" w:hAnsiTheme="minorHAnsi"/>
          <w:i/>
          <w:iCs/>
        </w:rPr>
        <w:t>ASPI</w:t>
      </w:r>
      <w:r w:rsidRPr="007D1DC4">
        <w:rPr>
          <w:rFonts w:asciiTheme="minorHAnsi" w:hAnsiTheme="minorHAnsi"/>
        </w:rPr>
        <w:t xml:space="preserve"> [právní informační systém]. Wolters Kluwer ČR [cit. 2. </w:t>
      </w:r>
      <w:r>
        <w:rPr>
          <w:rFonts w:asciiTheme="minorHAnsi" w:hAnsiTheme="minorHAnsi"/>
        </w:rPr>
        <w:t>7</w:t>
      </w:r>
      <w:r w:rsidRPr="007D1DC4">
        <w:rPr>
          <w:rFonts w:asciiTheme="minorHAnsi" w:hAnsiTheme="minorHAnsi"/>
        </w:rPr>
        <w:t>. 2018].</w:t>
      </w:r>
    </w:p>
    <w:p w14:paraId="3FAACE10" w14:textId="77777777" w:rsidR="00DF019E" w:rsidRDefault="00FC67B8" w:rsidP="00DF019E">
      <w:pPr>
        <w:pStyle w:val="ZPLiteratura"/>
        <w:rPr>
          <w:rFonts w:asciiTheme="minorHAnsi" w:hAnsiTheme="minorHAnsi"/>
        </w:rPr>
      </w:pPr>
      <w:r w:rsidRPr="007D1DC4">
        <w:rPr>
          <w:rFonts w:asciiTheme="minorHAnsi" w:hAnsiTheme="minorHAnsi"/>
        </w:rPr>
        <w:t xml:space="preserve">Zákon č. 586/1992 Sb., zákon České národní rady o daních z příjmů,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2. 4. 2018].</w:t>
      </w:r>
      <w:r w:rsidR="00DF019E" w:rsidRPr="00DF019E">
        <w:rPr>
          <w:rFonts w:asciiTheme="minorHAnsi" w:hAnsiTheme="minorHAnsi"/>
        </w:rPr>
        <w:t xml:space="preserve"> </w:t>
      </w:r>
    </w:p>
    <w:p w14:paraId="62D76CD2" w14:textId="3C12FE19" w:rsidR="00DF019E" w:rsidRPr="00C25B15" w:rsidRDefault="00DF019E" w:rsidP="00DF019E">
      <w:pPr>
        <w:pStyle w:val="ZPLiteratura"/>
        <w:rPr>
          <w:rFonts w:asciiTheme="minorHAnsi" w:hAnsiTheme="minorHAnsi"/>
        </w:rPr>
      </w:pPr>
      <w:r>
        <w:rPr>
          <w:rFonts w:asciiTheme="minorHAnsi" w:hAnsiTheme="minorHAnsi"/>
        </w:rPr>
        <w:t>U</w:t>
      </w:r>
      <w:r w:rsidRPr="00C25B15">
        <w:rPr>
          <w:rFonts w:asciiTheme="minorHAnsi" w:hAnsiTheme="minorHAnsi"/>
        </w:rPr>
        <w:t>snesení předsednictva ČNR č. 2/1993 Sb., o vyhlášení Listiny základních práv a svobod jako součásti ústavního pořádku České republiky, ve znění pozdějších předpisů</w:t>
      </w:r>
      <w:r>
        <w:rPr>
          <w:rFonts w:asciiTheme="minorHAnsi" w:hAnsiTheme="minorHAnsi"/>
        </w:rPr>
        <w:t xml:space="preserve">. </w:t>
      </w:r>
      <w:r w:rsidRPr="007D1DC4">
        <w:rPr>
          <w:rFonts w:asciiTheme="minorHAnsi" w:hAnsiTheme="minorHAnsi"/>
        </w:rPr>
        <w:t xml:space="preserve">In: </w:t>
      </w:r>
      <w:r w:rsidRPr="007D1DC4">
        <w:rPr>
          <w:rFonts w:asciiTheme="minorHAnsi" w:hAnsiTheme="minorHAnsi"/>
          <w:i/>
          <w:iCs/>
        </w:rPr>
        <w:t>ASPI</w:t>
      </w:r>
      <w:r w:rsidRPr="007D1DC4">
        <w:rPr>
          <w:rFonts w:asciiTheme="minorHAnsi" w:hAnsiTheme="minorHAnsi"/>
        </w:rPr>
        <w:t xml:space="preserve"> [právní informační systém]. Wolters Kluwer ČR</w:t>
      </w:r>
      <w:r>
        <w:rPr>
          <w:rFonts w:asciiTheme="minorHAnsi" w:hAnsiTheme="minorHAnsi"/>
        </w:rPr>
        <w:t xml:space="preserve"> [cit. 2. 3</w:t>
      </w:r>
      <w:r w:rsidRPr="007D1DC4">
        <w:rPr>
          <w:rFonts w:asciiTheme="minorHAnsi" w:hAnsiTheme="minorHAnsi"/>
        </w:rPr>
        <w:t>. 2018].</w:t>
      </w:r>
    </w:p>
    <w:p w14:paraId="015BD947" w14:textId="77777777" w:rsidR="007D1DC4" w:rsidRDefault="007D1DC4" w:rsidP="00FC67B8">
      <w:pPr>
        <w:pStyle w:val="ZPLiteratura"/>
        <w:rPr>
          <w:rFonts w:asciiTheme="minorHAnsi" w:hAnsiTheme="minorHAnsi"/>
        </w:rPr>
      </w:pPr>
      <w:r w:rsidRPr="007D1DC4">
        <w:rPr>
          <w:rFonts w:asciiTheme="minorHAnsi" w:hAnsiTheme="minorHAnsi"/>
        </w:rPr>
        <w:t xml:space="preserve">Zákon č. 218/2000 Sb., Zákon o rozpočtových pravidlech a o změně některých souvisejících zákonů,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2. 5. 2018].</w:t>
      </w:r>
    </w:p>
    <w:p w14:paraId="3BAB3B54" w14:textId="77777777" w:rsidR="007D1DC4" w:rsidRPr="007D1DC4" w:rsidRDefault="007D1DC4" w:rsidP="007D1DC4">
      <w:pPr>
        <w:pStyle w:val="ZPLiteratura"/>
      </w:pPr>
      <w:r>
        <w:lastRenderedPageBreak/>
        <w:t>Z</w:t>
      </w:r>
      <w:r w:rsidRPr="009146C7">
        <w:t>ákon č. 235/2004 Sb.</w:t>
      </w:r>
      <w:r>
        <w:t xml:space="preserve">, zákon o dani z přidané hodnoty, ve znění pozdějších předpisů. </w:t>
      </w:r>
      <w:r w:rsidRPr="00A80758">
        <w:t xml:space="preserve">In: </w:t>
      </w:r>
      <w:r w:rsidRPr="00A80758">
        <w:rPr>
          <w:i/>
          <w:iCs/>
        </w:rPr>
        <w:t>ASPI</w:t>
      </w:r>
      <w:r w:rsidRPr="00A80758">
        <w:t xml:space="preserve"> [právní informační systém]. Wolters Kluwer ČR [cit. </w:t>
      </w:r>
      <w:r>
        <w:t>15</w:t>
      </w:r>
      <w:r w:rsidRPr="00A80758">
        <w:t xml:space="preserve">. </w:t>
      </w:r>
      <w:r>
        <w:t>9</w:t>
      </w:r>
      <w:r w:rsidRPr="00A80758">
        <w:t>. 201</w:t>
      </w:r>
      <w:r>
        <w:t>9</w:t>
      </w:r>
      <w:r w:rsidRPr="00A80758">
        <w:t>]</w:t>
      </w:r>
      <w:r>
        <w:t>.</w:t>
      </w:r>
    </w:p>
    <w:p w14:paraId="330FEABF" w14:textId="77777777" w:rsidR="007D1DC4" w:rsidRPr="007D1DC4" w:rsidRDefault="007D1DC4" w:rsidP="007D1DC4">
      <w:pPr>
        <w:pStyle w:val="ZPLiteratura"/>
        <w:rPr>
          <w:rFonts w:asciiTheme="minorHAnsi" w:hAnsiTheme="minorHAnsi"/>
        </w:rPr>
      </w:pPr>
      <w:r w:rsidRPr="007D1DC4">
        <w:rPr>
          <w:rFonts w:asciiTheme="minorHAnsi" w:hAnsiTheme="minorHAnsi"/>
        </w:rPr>
        <w:t xml:space="preserve">Zákon č. 40/2009 Sb., trestní zákoník,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2. 3. 2019].</w:t>
      </w:r>
    </w:p>
    <w:p w14:paraId="04AD6F8A" w14:textId="77777777" w:rsidR="007D1DC4" w:rsidRPr="007D1DC4" w:rsidRDefault="007D1DC4" w:rsidP="007D1DC4">
      <w:pPr>
        <w:pStyle w:val="ZPLiteratura"/>
        <w:rPr>
          <w:rFonts w:asciiTheme="minorHAnsi" w:hAnsiTheme="minorHAnsi"/>
        </w:rPr>
      </w:pPr>
      <w:r w:rsidRPr="007D1DC4">
        <w:rPr>
          <w:rFonts w:asciiTheme="minorHAnsi" w:hAnsiTheme="minorHAnsi"/>
        </w:rPr>
        <w:t xml:space="preserve">Zákon č. 280/2009 Sb., daňový řád,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1. 6. 2019].</w:t>
      </w:r>
    </w:p>
    <w:p w14:paraId="0C9CC5EC" w14:textId="77777777" w:rsidR="007D1DC4" w:rsidRPr="007D1DC4" w:rsidRDefault="007D1DC4" w:rsidP="001061C1">
      <w:pPr>
        <w:pStyle w:val="ZPLiteratura"/>
        <w:rPr>
          <w:rFonts w:asciiTheme="minorHAnsi" w:hAnsiTheme="minorHAnsi"/>
        </w:rPr>
      </w:pPr>
      <w:r>
        <w:t>Z</w:t>
      </w:r>
      <w:r w:rsidRPr="00925485">
        <w:t>ákon č. 456/2011 Sb.</w:t>
      </w:r>
      <w:r>
        <w:t xml:space="preserve">, Zákon o Finanční správě České republiky, ve znění pozdějších předpisů. </w:t>
      </w:r>
      <w:r w:rsidRPr="009C6C82">
        <w:t xml:space="preserve">In: </w:t>
      </w:r>
      <w:r w:rsidRPr="007D1DC4">
        <w:rPr>
          <w:i/>
          <w:iCs/>
        </w:rPr>
        <w:t>ASPI</w:t>
      </w:r>
      <w:r w:rsidRPr="009C6C82">
        <w:t xml:space="preserve"> [právní informační systém]. Wolters Kluwer ČR</w:t>
      </w:r>
      <w:r>
        <w:t xml:space="preserve"> </w:t>
      </w:r>
      <w:r w:rsidRPr="009C6C82">
        <w:t>[cit. 2. 6. 2018].</w:t>
      </w:r>
    </w:p>
    <w:p w14:paraId="75619877" w14:textId="77777777" w:rsidR="007D1DC4" w:rsidRPr="007D1DC4" w:rsidRDefault="007D1DC4" w:rsidP="001061C1">
      <w:pPr>
        <w:pStyle w:val="ZPLiteratura"/>
        <w:rPr>
          <w:rFonts w:asciiTheme="minorHAnsi" w:hAnsiTheme="minorHAnsi"/>
        </w:rPr>
      </w:pPr>
      <w:r w:rsidRPr="007D1DC4">
        <w:rPr>
          <w:rFonts w:asciiTheme="minorHAnsi" w:hAnsiTheme="minorHAnsi"/>
        </w:rPr>
        <w:t xml:space="preserve">Zákona č. 304/2013 Sb., Zákon o veřejných rejstřících právnických a fyzických osob,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2. 6. 2019].</w:t>
      </w:r>
    </w:p>
    <w:p w14:paraId="3C23141A" w14:textId="77777777" w:rsidR="00FC67B8" w:rsidRPr="00F30923" w:rsidRDefault="00FC67B8" w:rsidP="00F30923">
      <w:pPr>
        <w:pStyle w:val="ZPLiteratura"/>
        <w:rPr>
          <w:rFonts w:asciiTheme="minorHAnsi" w:hAnsiTheme="minorHAnsi"/>
        </w:rPr>
      </w:pPr>
      <w:r w:rsidRPr="007D1DC4">
        <w:rPr>
          <w:rFonts w:asciiTheme="minorHAnsi" w:hAnsiTheme="minorHAnsi"/>
        </w:rPr>
        <w:t xml:space="preserve">Zákon č. 340/2013 Sb., Zákonné opatření Senátu o dani z nabytí nemovitých věcí, ve znění pozdějších předpisů. In: </w:t>
      </w:r>
      <w:r w:rsidRPr="007D1DC4">
        <w:rPr>
          <w:rFonts w:asciiTheme="minorHAnsi" w:hAnsiTheme="minorHAnsi"/>
          <w:i/>
          <w:iCs/>
        </w:rPr>
        <w:t>ASPI</w:t>
      </w:r>
      <w:r w:rsidRPr="007D1DC4">
        <w:rPr>
          <w:rFonts w:asciiTheme="minorHAnsi" w:hAnsiTheme="minorHAnsi"/>
        </w:rPr>
        <w:t xml:space="preserve"> [právní informační systém]. Wolters Kluwer ČR [cit. 2. 4. 2018].</w:t>
      </w:r>
    </w:p>
    <w:p w14:paraId="28C7017D" w14:textId="77777777" w:rsidR="00FC67B8" w:rsidRPr="007D1DC4" w:rsidRDefault="00FC67B8" w:rsidP="00FC67B8">
      <w:pPr>
        <w:pStyle w:val="ZPLiteratura"/>
        <w:rPr>
          <w:rFonts w:asciiTheme="minorHAnsi" w:hAnsiTheme="minorHAnsi"/>
        </w:rPr>
      </w:pPr>
      <w:r w:rsidRPr="007D1DC4">
        <w:rPr>
          <w:rFonts w:asciiTheme="minorHAnsi" w:hAnsiTheme="minorHAnsi"/>
        </w:rPr>
        <w:t xml:space="preserve">Zákon č. 186/2016 Sb., zákona o hazardních hrách. In: </w:t>
      </w:r>
      <w:r w:rsidRPr="007D1DC4">
        <w:rPr>
          <w:rFonts w:asciiTheme="minorHAnsi" w:hAnsiTheme="minorHAnsi"/>
          <w:i/>
          <w:iCs/>
        </w:rPr>
        <w:t>ASPI</w:t>
      </w:r>
      <w:r w:rsidRPr="007D1DC4">
        <w:rPr>
          <w:rFonts w:asciiTheme="minorHAnsi" w:hAnsiTheme="minorHAnsi"/>
        </w:rPr>
        <w:t xml:space="preserve"> [právní informační systém]. Wolters Kluwer ČR [cit. 2. 4. 2018].</w:t>
      </w:r>
    </w:p>
    <w:p w14:paraId="7590DC4B" w14:textId="7B686AFE" w:rsidR="00FC67B8" w:rsidRDefault="00FC67B8" w:rsidP="00F30923">
      <w:pPr>
        <w:pStyle w:val="ZPLiteratura"/>
        <w:rPr>
          <w:rFonts w:asciiTheme="minorHAnsi" w:hAnsiTheme="minorHAnsi"/>
        </w:rPr>
      </w:pPr>
      <w:r w:rsidRPr="007D1DC4">
        <w:rPr>
          <w:rFonts w:asciiTheme="minorHAnsi" w:hAnsiTheme="minorHAnsi"/>
        </w:rPr>
        <w:t xml:space="preserve">Zákon č. 187/2016 Sb., o dani z hazardních her. In: </w:t>
      </w:r>
      <w:r w:rsidRPr="007D1DC4">
        <w:rPr>
          <w:rFonts w:asciiTheme="minorHAnsi" w:hAnsiTheme="minorHAnsi"/>
          <w:i/>
          <w:iCs/>
        </w:rPr>
        <w:t>ASPI</w:t>
      </w:r>
      <w:r w:rsidRPr="007D1DC4">
        <w:rPr>
          <w:rFonts w:asciiTheme="minorHAnsi" w:hAnsiTheme="minorHAnsi"/>
        </w:rPr>
        <w:t xml:space="preserve"> [právní informační systém]. Wolters Kluwer ČR [cit. 2. 4. 2018].</w:t>
      </w:r>
    </w:p>
    <w:p w14:paraId="6FDD9A91" w14:textId="386533DB" w:rsidR="00EB0E92" w:rsidRDefault="00EB0E92" w:rsidP="00F30923">
      <w:pPr>
        <w:pStyle w:val="ZPLiteratura"/>
        <w:rPr>
          <w:rFonts w:asciiTheme="minorHAnsi" w:hAnsiTheme="minorHAnsi"/>
        </w:rPr>
      </w:pPr>
      <w:r>
        <w:rPr>
          <w:rFonts w:asciiTheme="minorHAnsi" w:hAnsiTheme="minorHAnsi"/>
        </w:rPr>
        <w:t>Zákon č. 80/2019 Sb., Zákon, kterým se mění některé zákony v oblasti daní a některé další zákony.</w:t>
      </w:r>
      <w:r w:rsidRPr="00EB0E92">
        <w:rPr>
          <w:rFonts w:asciiTheme="minorHAnsi" w:hAnsiTheme="minorHAnsi"/>
        </w:rPr>
        <w:t xml:space="preserve"> </w:t>
      </w:r>
      <w:r w:rsidRPr="007D1DC4">
        <w:rPr>
          <w:rFonts w:asciiTheme="minorHAnsi" w:hAnsiTheme="minorHAnsi"/>
        </w:rPr>
        <w:t xml:space="preserve">In: </w:t>
      </w:r>
      <w:r w:rsidRPr="007D1DC4">
        <w:rPr>
          <w:rFonts w:asciiTheme="minorHAnsi" w:hAnsiTheme="minorHAnsi"/>
          <w:i/>
          <w:iCs/>
        </w:rPr>
        <w:t>ASPI</w:t>
      </w:r>
      <w:r w:rsidRPr="007D1DC4">
        <w:rPr>
          <w:rFonts w:asciiTheme="minorHAnsi" w:hAnsiTheme="minorHAnsi"/>
        </w:rPr>
        <w:t xml:space="preserve"> [právní informační systém]. Wolters Kluwer ČR [cit. 2. </w:t>
      </w:r>
      <w:r>
        <w:rPr>
          <w:rFonts w:asciiTheme="minorHAnsi" w:hAnsiTheme="minorHAnsi"/>
        </w:rPr>
        <w:t>6</w:t>
      </w:r>
      <w:r w:rsidRPr="007D1DC4">
        <w:rPr>
          <w:rFonts w:asciiTheme="minorHAnsi" w:hAnsiTheme="minorHAnsi"/>
        </w:rPr>
        <w:t>. 201</w:t>
      </w:r>
      <w:r>
        <w:rPr>
          <w:rFonts w:asciiTheme="minorHAnsi" w:hAnsiTheme="minorHAnsi"/>
        </w:rPr>
        <w:t>9</w:t>
      </w:r>
      <w:r w:rsidRPr="007D1DC4">
        <w:rPr>
          <w:rFonts w:asciiTheme="minorHAnsi" w:hAnsiTheme="minorHAnsi"/>
        </w:rPr>
        <w:t>].</w:t>
      </w:r>
    </w:p>
    <w:p w14:paraId="4BA97537" w14:textId="76405D93" w:rsidR="00E0238E" w:rsidRPr="00F30923" w:rsidRDefault="00E0238E" w:rsidP="00F30923">
      <w:pPr>
        <w:pStyle w:val="ZPLiteratura"/>
        <w:rPr>
          <w:rFonts w:asciiTheme="minorHAnsi" w:hAnsiTheme="minorHAnsi"/>
        </w:rPr>
      </w:pPr>
      <w:r>
        <w:rPr>
          <w:rFonts w:asciiTheme="minorHAnsi" w:hAnsiTheme="minorHAnsi"/>
        </w:rPr>
        <w:t xml:space="preserve">Zákon č. 364/2019 Sb., Zákon, kterým se mění některé zákony v oblasti daní v souvislosti se zvyšováním příjmů veřejných rozpočtů. </w:t>
      </w:r>
      <w:r w:rsidRPr="007D1DC4">
        <w:rPr>
          <w:rFonts w:asciiTheme="minorHAnsi" w:hAnsiTheme="minorHAnsi"/>
        </w:rPr>
        <w:t xml:space="preserve">In: </w:t>
      </w:r>
      <w:r w:rsidRPr="007D1DC4">
        <w:rPr>
          <w:rFonts w:asciiTheme="minorHAnsi" w:hAnsiTheme="minorHAnsi"/>
          <w:i/>
          <w:iCs/>
        </w:rPr>
        <w:t>ASPI</w:t>
      </w:r>
      <w:r w:rsidRPr="007D1DC4">
        <w:rPr>
          <w:rFonts w:asciiTheme="minorHAnsi" w:hAnsiTheme="minorHAnsi"/>
        </w:rPr>
        <w:t xml:space="preserve"> [právní informační systém]. Wolters Kluwer ČR [cit. </w:t>
      </w:r>
      <w:r>
        <w:rPr>
          <w:rFonts w:asciiTheme="minorHAnsi" w:hAnsiTheme="minorHAnsi"/>
        </w:rPr>
        <w:t>6</w:t>
      </w:r>
      <w:r w:rsidRPr="007D1DC4">
        <w:rPr>
          <w:rFonts w:asciiTheme="minorHAnsi" w:hAnsiTheme="minorHAnsi"/>
        </w:rPr>
        <w:t xml:space="preserve">. </w:t>
      </w:r>
      <w:r>
        <w:rPr>
          <w:rFonts w:asciiTheme="minorHAnsi" w:hAnsiTheme="minorHAnsi"/>
        </w:rPr>
        <w:t>1</w:t>
      </w:r>
      <w:r w:rsidRPr="007D1DC4">
        <w:rPr>
          <w:rFonts w:asciiTheme="minorHAnsi" w:hAnsiTheme="minorHAnsi"/>
        </w:rPr>
        <w:t>. 20</w:t>
      </w:r>
      <w:r>
        <w:rPr>
          <w:rFonts w:asciiTheme="minorHAnsi" w:hAnsiTheme="minorHAnsi"/>
        </w:rPr>
        <w:t>20</w:t>
      </w:r>
      <w:r w:rsidRPr="007D1DC4">
        <w:rPr>
          <w:rFonts w:asciiTheme="minorHAnsi" w:hAnsiTheme="minorHAnsi"/>
        </w:rPr>
        <w:t>].</w:t>
      </w:r>
    </w:p>
    <w:p w14:paraId="516018D0" w14:textId="77777777" w:rsidR="00DF505D" w:rsidRPr="00152A7A" w:rsidRDefault="00E038BD" w:rsidP="00F114CA">
      <w:pPr>
        <w:pStyle w:val="Nadpis30"/>
      </w:pPr>
      <w:r w:rsidRPr="00152A7A">
        <w:t>Právní předpisy EU</w:t>
      </w:r>
    </w:p>
    <w:p w14:paraId="6EA4CF3B" w14:textId="77777777" w:rsidR="00DF505D" w:rsidRPr="00152A7A" w:rsidRDefault="00C25B15" w:rsidP="003B7FD5">
      <w:pPr>
        <w:pStyle w:val="ZPLiteratura"/>
      </w:pPr>
      <w:r w:rsidRPr="00C25B15">
        <w:rPr>
          <w:rFonts w:asciiTheme="minorHAnsi" w:hAnsiTheme="minorHAnsi"/>
        </w:rPr>
        <w:t xml:space="preserve">Konsolidovaného znění Smlouvy o fungování Evropské unie. In: </w:t>
      </w:r>
      <w:r w:rsidRPr="00C25B15">
        <w:rPr>
          <w:rFonts w:asciiTheme="minorHAnsi" w:hAnsiTheme="minorHAnsi"/>
          <w:i/>
          <w:iCs/>
        </w:rPr>
        <w:t>A</w:t>
      </w:r>
      <w:r w:rsidRPr="00C25B15">
        <w:rPr>
          <w:rFonts w:asciiTheme="minorHAnsi" w:hAnsiTheme="minorHAnsi"/>
        </w:rPr>
        <w:t>SPI [právní informační systém]. Wolters Kluwer ČR [cit. 1. 6. 2019]</w:t>
      </w:r>
    </w:p>
    <w:p w14:paraId="43AF0B4F" w14:textId="32677DBC" w:rsidR="003B7FD5" w:rsidRPr="003B7FD5" w:rsidRDefault="00E038BD" w:rsidP="003B7FD5">
      <w:pPr>
        <w:pStyle w:val="Nadpis20"/>
      </w:pPr>
      <w:bookmarkStart w:id="73" w:name="_Toc44451462"/>
      <w:r w:rsidRPr="00152A7A">
        <w:lastRenderedPageBreak/>
        <w:t>Ostatní</w:t>
      </w:r>
      <w:bookmarkEnd w:id="73"/>
    </w:p>
    <w:p w14:paraId="2D51BFB9" w14:textId="77777777" w:rsidR="003B7FD5" w:rsidRPr="003B7FD5" w:rsidRDefault="00C373B0" w:rsidP="003B7FD5">
      <w:pPr>
        <w:pStyle w:val="ZPLiteratura"/>
        <w:rPr>
          <w:sz w:val="36"/>
        </w:rPr>
      </w:pPr>
      <w:r>
        <w:rPr>
          <w:rFonts w:asciiTheme="minorHAnsi" w:hAnsiTheme="minorHAnsi"/>
          <w:szCs w:val="18"/>
        </w:rPr>
        <w:t>POSLANECKÁ SNĚMOVNA PARLAMENTU ČR; VLÁDA</w:t>
      </w:r>
      <w:r w:rsidR="00140B38">
        <w:rPr>
          <w:rFonts w:asciiTheme="minorHAnsi" w:hAnsiTheme="minorHAnsi"/>
          <w:szCs w:val="18"/>
        </w:rPr>
        <w:t xml:space="preserve"> ČR</w:t>
      </w:r>
      <w:r>
        <w:rPr>
          <w:rFonts w:asciiTheme="minorHAnsi" w:hAnsiTheme="minorHAnsi"/>
          <w:szCs w:val="18"/>
        </w:rPr>
        <w:t xml:space="preserve">. </w:t>
      </w:r>
      <w:r w:rsidR="003B7FD5" w:rsidRPr="003B7FD5">
        <w:rPr>
          <w:rFonts w:asciiTheme="minorHAnsi" w:hAnsiTheme="minorHAnsi"/>
          <w:szCs w:val="18"/>
        </w:rPr>
        <w:t xml:space="preserve">Důvodová zpráva k zákonu č. 186/2016 Sb., o hazardních hrách. In: </w:t>
      </w:r>
      <w:r w:rsidR="003B7FD5" w:rsidRPr="003B7FD5">
        <w:rPr>
          <w:rFonts w:asciiTheme="minorHAnsi" w:hAnsiTheme="minorHAnsi"/>
          <w:i/>
          <w:iCs/>
          <w:szCs w:val="18"/>
        </w:rPr>
        <w:t>ASPI</w:t>
      </w:r>
      <w:r w:rsidR="003B7FD5" w:rsidRPr="003B7FD5">
        <w:rPr>
          <w:rFonts w:asciiTheme="minorHAnsi" w:hAnsiTheme="minorHAnsi"/>
          <w:szCs w:val="18"/>
        </w:rPr>
        <w:t xml:space="preserve"> [právní informační systém]. Wolters Kluwer ČR [cit. 1. 6. 2019].</w:t>
      </w:r>
    </w:p>
    <w:p w14:paraId="5D364E97" w14:textId="77777777" w:rsidR="00283E8E" w:rsidRPr="00283E8E" w:rsidRDefault="00C373B0" w:rsidP="00283E8E">
      <w:pPr>
        <w:pStyle w:val="ZPLiteratura"/>
      </w:pPr>
      <w:r>
        <w:rPr>
          <w:color w:val="000000"/>
        </w:rPr>
        <w:t>POSLANECKÁ SNĚMOVNA PARLAMENTU ČR; VLÁDA</w:t>
      </w:r>
      <w:r w:rsidR="00140B38">
        <w:rPr>
          <w:color w:val="000000"/>
        </w:rPr>
        <w:t xml:space="preserve"> ČR</w:t>
      </w:r>
      <w:r>
        <w:rPr>
          <w:color w:val="000000"/>
        </w:rPr>
        <w:t xml:space="preserve">. </w:t>
      </w:r>
      <w:r w:rsidR="003B7FD5" w:rsidRPr="00042369">
        <w:rPr>
          <w:color w:val="000000"/>
        </w:rPr>
        <w:t xml:space="preserve">Důvodová zpráva k zákonu č. 187/2016 Sb. o dani z hazardních her. </w:t>
      </w:r>
      <w:r w:rsidR="003B7FD5" w:rsidRPr="00042369">
        <w:t xml:space="preserve">In: </w:t>
      </w:r>
      <w:r w:rsidR="003B7FD5" w:rsidRPr="00042369">
        <w:rPr>
          <w:i/>
          <w:iCs/>
        </w:rPr>
        <w:t>ASPI</w:t>
      </w:r>
      <w:r w:rsidR="003B7FD5" w:rsidRPr="00042369">
        <w:t xml:space="preserve"> [právní informační systém]. Wolters Kluwer ČR [cit. 2. 3. 2019].</w:t>
      </w:r>
      <w:r w:rsidR="00283E8E" w:rsidRPr="00283E8E">
        <w:rPr>
          <w:rFonts w:asciiTheme="minorHAnsi" w:hAnsiTheme="minorHAnsi"/>
        </w:rPr>
        <w:t xml:space="preserve"> </w:t>
      </w:r>
    </w:p>
    <w:p w14:paraId="3434F6DF" w14:textId="18505814" w:rsidR="003B7FD5" w:rsidRDefault="00283E8E" w:rsidP="00283E8E">
      <w:pPr>
        <w:pStyle w:val="ZPLiteratura"/>
      </w:pPr>
      <w:r w:rsidRPr="00B0619E">
        <w:rPr>
          <w:rFonts w:asciiTheme="minorHAnsi" w:hAnsiTheme="minorHAnsi"/>
        </w:rPr>
        <w:t xml:space="preserve">Pozměňovací návrh Jana Bartoška k vládnímu návrhu zákona č.187/2016 Sb., o dani z hazardních her [online]. Dostupné z: </w:t>
      </w:r>
      <w:hyperlink r:id="rId37" w:history="1">
        <w:r w:rsidRPr="00B0619E">
          <w:rPr>
            <w:rStyle w:val="Hypertextovodkaz"/>
            <w:rFonts w:asciiTheme="minorHAnsi" w:hAnsiTheme="minorHAnsi"/>
          </w:rPr>
          <w:t>http://www.psp.cz/sqw/historie.sqw?o=7&amp;t=579</w:t>
        </w:r>
      </w:hyperlink>
      <w:r w:rsidRPr="00B0619E">
        <w:rPr>
          <w:rStyle w:val="Hypertextovodkaz"/>
          <w:rFonts w:asciiTheme="minorHAnsi" w:hAnsiTheme="minorHAnsi"/>
        </w:rPr>
        <w:t xml:space="preserve"> </w:t>
      </w:r>
    </w:p>
    <w:p w14:paraId="7D5492CA" w14:textId="77777777" w:rsidR="00283E8E" w:rsidRPr="00CD74E1" w:rsidRDefault="00283E8E" w:rsidP="00283E8E">
      <w:pPr>
        <w:pStyle w:val="ZPLiteratura"/>
        <w:rPr>
          <w:rStyle w:val="Hypertextovodkaz"/>
          <w:color w:val="auto"/>
          <w:u w:val="none"/>
        </w:rPr>
      </w:pPr>
      <w:r w:rsidRPr="00CD74E1">
        <w:rPr>
          <w:rFonts w:asciiTheme="minorHAnsi" w:hAnsiTheme="minorHAnsi"/>
          <w:i/>
          <w:iCs/>
        </w:rPr>
        <w:t>Seznam podání, na něž se hledí jako na podání bez vady, jsou-li učiněna jinak než elektronicky, ačkoli měla být učiněna elektronicky (dle § 74 odst. 4 zákona č. 280/2009 Sb., daňový řád, ve znění pozdějších předpisů)</w:t>
      </w:r>
      <w:r w:rsidRPr="00CD74E1">
        <w:rPr>
          <w:rFonts w:asciiTheme="minorHAnsi" w:hAnsiTheme="minorHAnsi"/>
        </w:rPr>
        <w:t xml:space="preserve"> [online]. Finanční správa. Dostupné z:  </w:t>
      </w:r>
      <w:hyperlink r:id="rId38" w:history="1">
        <w:r w:rsidRPr="00CD74E1">
          <w:rPr>
            <w:rStyle w:val="Hypertextovodkaz"/>
            <w:rFonts w:asciiTheme="minorHAnsi" w:hAnsiTheme="minorHAnsi"/>
          </w:rPr>
          <w:t>https://www.financnisprava.cz/assets/cs/prilohy/fs-organy-financni-spravy/Seznam-podani-dle-74-odst-4-DR_2017-03-14.pdf</w:t>
        </w:r>
      </w:hyperlink>
      <w:r w:rsidRPr="00CD74E1">
        <w:rPr>
          <w:rStyle w:val="Hypertextovodkaz"/>
          <w:rFonts w:asciiTheme="minorHAnsi" w:hAnsiTheme="minorHAnsi"/>
        </w:rPr>
        <w:t xml:space="preserve"> </w:t>
      </w:r>
      <w:r w:rsidRPr="00CD74E1">
        <w:rPr>
          <w:rFonts w:asciiTheme="minorHAnsi" w:hAnsiTheme="minorHAnsi"/>
        </w:rPr>
        <w:t>[cit. 10. 5. 2018].</w:t>
      </w:r>
    </w:p>
    <w:p w14:paraId="21B83A29" w14:textId="77777777" w:rsidR="00283E8E" w:rsidRPr="00283E8E" w:rsidRDefault="00283E8E" w:rsidP="00283E8E">
      <w:pPr>
        <w:pStyle w:val="ZPLiteratura"/>
      </w:pPr>
      <w:r w:rsidRPr="00CD74E1">
        <w:rPr>
          <w:rFonts w:asciiTheme="minorHAnsi" w:hAnsiTheme="minorHAnsi"/>
          <w:i/>
          <w:iCs/>
        </w:rPr>
        <w:t>Stanovisko Ministerstva financí k tématům otázek Václava Moravce 17. 4. 2016</w:t>
      </w:r>
      <w:r w:rsidRPr="00CD74E1">
        <w:rPr>
          <w:rFonts w:asciiTheme="minorHAnsi" w:hAnsiTheme="minorHAnsi"/>
        </w:rPr>
        <w:t xml:space="preserve"> [online]. Ministerstvo financí ČR, 2016 [cit. 2. 6. 2019]. Dostupné z: </w:t>
      </w:r>
      <w:hyperlink r:id="rId39" w:history="1">
        <w:r w:rsidRPr="00CD74E1">
          <w:rPr>
            <w:rStyle w:val="Hypertextovodkaz"/>
            <w:rFonts w:asciiTheme="minorHAnsi" w:hAnsiTheme="minorHAnsi"/>
          </w:rPr>
          <w:t>https://www.mfcr.cz/cs/aktualne/v-mediich/2016/reakce-ovm-24594</w:t>
        </w:r>
      </w:hyperlink>
      <w:r w:rsidRPr="00283E8E">
        <w:rPr>
          <w:rFonts w:asciiTheme="minorHAnsi" w:hAnsiTheme="minorHAnsi"/>
        </w:rPr>
        <w:t xml:space="preserve"> </w:t>
      </w:r>
    </w:p>
    <w:p w14:paraId="309038F5" w14:textId="5C90D25B" w:rsidR="00283E8E" w:rsidRPr="00283E8E" w:rsidRDefault="00283E8E" w:rsidP="00283E8E">
      <w:pPr>
        <w:pStyle w:val="ZPLiteratura"/>
        <w:rPr>
          <w:rStyle w:val="Hypertextovodkaz"/>
          <w:color w:val="auto"/>
          <w:u w:val="none"/>
        </w:rPr>
      </w:pPr>
      <w:r w:rsidRPr="00B0619E">
        <w:rPr>
          <w:rFonts w:asciiTheme="minorHAnsi" w:hAnsiTheme="minorHAnsi"/>
        </w:rPr>
        <w:t xml:space="preserve">Vládní návrh zákona č. 187/2016 Sb., o dani z hazardních her [online]. Dostupné z: </w:t>
      </w:r>
      <w:hyperlink r:id="rId40" w:history="1">
        <w:r w:rsidRPr="00B0619E">
          <w:rPr>
            <w:rStyle w:val="Hypertextovodkaz"/>
            <w:rFonts w:asciiTheme="minorHAnsi" w:hAnsiTheme="minorHAnsi"/>
            <w:color w:val="000000" w:themeColor="text1"/>
            <w:u w:val="none"/>
          </w:rPr>
          <w:t>https://www.psp.cz/sqw/text/orig2.sqw?idd=115500</w:t>
        </w:r>
      </w:hyperlink>
      <w:r>
        <w:rPr>
          <w:rStyle w:val="Hypertextovodkaz"/>
          <w:rFonts w:asciiTheme="minorHAnsi" w:hAnsiTheme="minorHAnsi"/>
          <w:color w:val="000000" w:themeColor="text1"/>
          <w:u w:val="none"/>
        </w:rPr>
        <w:t xml:space="preserve"> </w:t>
      </w:r>
      <w:r w:rsidRPr="00B0619E">
        <w:rPr>
          <w:rFonts w:asciiTheme="minorHAnsi" w:hAnsiTheme="minorHAnsi"/>
          <w:color w:val="000000" w:themeColor="text1"/>
        </w:rPr>
        <w:t xml:space="preserve">. </w:t>
      </w:r>
      <w:r w:rsidRPr="00B0619E">
        <w:rPr>
          <w:rFonts w:asciiTheme="minorHAnsi" w:hAnsiTheme="minorHAnsi"/>
        </w:rPr>
        <w:t>[cit. 2. 6. 2019]</w:t>
      </w:r>
      <w:r>
        <w:rPr>
          <w:rFonts w:asciiTheme="minorHAnsi" w:hAnsiTheme="minorHAnsi"/>
        </w:rPr>
        <w:t>.</w:t>
      </w:r>
    </w:p>
    <w:p w14:paraId="0E41203C" w14:textId="77777777" w:rsidR="00283E8E" w:rsidRPr="00CD74E1" w:rsidRDefault="00283E8E" w:rsidP="00283E8E">
      <w:pPr>
        <w:pStyle w:val="ZPLiteratura"/>
      </w:pPr>
      <w:r w:rsidRPr="00CD74E1">
        <w:rPr>
          <w:rFonts w:asciiTheme="minorHAnsi" w:hAnsiTheme="minorHAnsi"/>
        </w:rPr>
        <w:t xml:space="preserve">Závěrečná zpráva z hodnocení dopadů regulace (RIA). Příloha důvodové zprávy k zákonu o dani z hazardních her [online]. Dostupné z: </w:t>
      </w:r>
      <w:hyperlink r:id="rId41" w:history="1">
        <w:r w:rsidRPr="00CD74E1">
          <w:rPr>
            <w:rStyle w:val="Hypertextovodkaz"/>
            <w:rFonts w:asciiTheme="minorHAnsi" w:hAnsiTheme="minorHAnsi"/>
          </w:rPr>
          <w:t>https://www.psp.cz/sqw/text/orig2.sqw?idd=115506</w:t>
        </w:r>
      </w:hyperlink>
      <w:r w:rsidRPr="00CD74E1">
        <w:rPr>
          <w:rFonts w:asciiTheme="minorHAnsi" w:hAnsiTheme="minorHAnsi"/>
        </w:rPr>
        <w:t>. [cit. 1. 6. 2019].</w:t>
      </w:r>
    </w:p>
    <w:p w14:paraId="691D1631" w14:textId="77777777" w:rsidR="00283E8E" w:rsidRPr="00CD74E1" w:rsidRDefault="00283E8E" w:rsidP="00283E8E">
      <w:pPr>
        <w:pStyle w:val="ZPLiteratura"/>
      </w:pPr>
      <w:r w:rsidRPr="00CD74E1">
        <w:rPr>
          <w:rFonts w:asciiTheme="minorHAnsi" w:hAnsiTheme="minorHAnsi"/>
          <w:i/>
          <w:iCs/>
        </w:rPr>
        <w:t>2014-2015 Úspěchy a plány 2016-2017</w:t>
      </w:r>
      <w:r w:rsidRPr="00CD74E1">
        <w:rPr>
          <w:rFonts w:asciiTheme="minorHAnsi" w:hAnsiTheme="minorHAnsi"/>
        </w:rPr>
        <w:t xml:space="preserve"> [online]. Praha: Ministerstvo financí České republiky, 2016, s. 49 [cit. 15. 9. 2019] Dostupné z: </w:t>
      </w:r>
      <w:hyperlink r:id="rId42" w:history="1">
        <w:r w:rsidRPr="00CD74E1">
          <w:rPr>
            <w:rStyle w:val="Hypertextovodkaz"/>
            <w:rFonts w:asciiTheme="minorHAnsi" w:hAnsiTheme="minorHAnsi"/>
          </w:rPr>
          <w:t>https://www.mfcr.cz/assets/cs/media/Material_2016_Uspechy-a-plany-MF_r4.pdf</w:t>
        </w:r>
      </w:hyperlink>
    </w:p>
    <w:p w14:paraId="3B9ADC11" w14:textId="77777777" w:rsidR="00B0619E" w:rsidRPr="00152A7A" w:rsidRDefault="00B0619E" w:rsidP="00260495">
      <w:pPr>
        <w:pStyle w:val="ZPLiteratura"/>
        <w:numPr>
          <w:ilvl w:val="0"/>
          <w:numId w:val="0"/>
        </w:numPr>
        <w:ind w:left="720"/>
        <w:sectPr w:rsidR="00B0619E" w:rsidRPr="00152A7A" w:rsidSect="0052762D">
          <w:headerReference w:type="even" r:id="rId43"/>
          <w:headerReference w:type="default" r:id="rId44"/>
          <w:type w:val="oddPage"/>
          <w:pgSz w:w="11906" w:h="16838" w:code="9"/>
          <w:pgMar w:top="2614" w:right="2019" w:bottom="2381" w:left="505" w:header="2019" w:footer="1276" w:gutter="2019"/>
          <w:cols w:space="708"/>
          <w:docGrid w:linePitch="360"/>
        </w:sectPr>
      </w:pPr>
    </w:p>
    <w:p w14:paraId="3EF943A1" w14:textId="77777777" w:rsidR="007C0619" w:rsidRPr="00152A7A" w:rsidRDefault="007C0619" w:rsidP="00CA4D48">
      <w:pPr>
        <w:rPr>
          <w:b/>
          <w:bCs/>
        </w:rPr>
      </w:pPr>
    </w:p>
    <w:sectPr w:rsidR="007C0619" w:rsidRPr="00152A7A" w:rsidSect="0052762D">
      <w:headerReference w:type="default" r:id="rId45"/>
      <w:type w:val="oddPage"/>
      <w:pgSz w:w="11906" w:h="16838" w:code="9"/>
      <w:pgMar w:top="2614" w:right="2019" w:bottom="2381" w:left="505" w:header="2019" w:footer="1276" w:gutter="20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5921C" w14:textId="77777777" w:rsidR="00C24EAE" w:rsidRDefault="00C24EAE">
      <w:r>
        <w:separator/>
      </w:r>
    </w:p>
    <w:p w14:paraId="2842ED54" w14:textId="77777777" w:rsidR="00C24EAE" w:rsidRDefault="00C24EAE"/>
    <w:p w14:paraId="2A9768FD" w14:textId="77777777" w:rsidR="00C24EAE" w:rsidRDefault="00C24EAE"/>
    <w:p w14:paraId="0DA3719A" w14:textId="77777777" w:rsidR="00C24EAE" w:rsidRDefault="00C24EAE"/>
    <w:p w14:paraId="5249E38E" w14:textId="77777777" w:rsidR="00C24EAE" w:rsidRDefault="00C24EAE"/>
    <w:p w14:paraId="77ABAAC8" w14:textId="77777777" w:rsidR="00C24EAE" w:rsidRDefault="00C24EAE"/>
  </w:endnote>
  <w:endnote w:type="continuationSeparator" w:id="0">
    <w:p w14:paraId="5ECE0ABE" w14:textId="77777777" w:rsidR="00C24EAE" w:rsidRDefault="00C24EAE">
      <w:r>
        <w:continuationSeparator/>
      </w:r>
    </w:p>
    <w:p w14:paraId="217EFF48" w14:textId="77777777" w:rsidR="00C24EAE" w:rsidRDefault="00C24EAE"/>
    <w:p w14:paraId="201421FC" w14:textId="77777777" w:rsidR="00C24EAE" w:rsidRDefault="00C24EAE"/>
    <w:p w14:paraId="3F687632" w14:textId="77777777" w:rsidR="00C24EAE" w:rsidRDefault="00C24EAE"/>
    <w:p w14:paraId="258B381A" w14:textId="77777777" w:rsidR="00C24EAE" w:rsidRDefault="00C24EAE"/>
    <w:p w14:paraId="68F41269" w14:textId="77777777" w:rsidR="00C24EAE" w:rsidRDefault="00C24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05116" w14:textId="77777777" w:rsidR="0072007C" w:rsidRDefault="0072007C" w:rsidP="0095124B">
    <w:pPr>
      <w:pStyle w:val="ZPZaptsud"/>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F1FE1" w14:textId="77777777" w:rsidR="0072007C" w:rsidRPr="00920AB6" w:rsidRDefault="0072007C"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57B86" w14:textId="77777777" w:rsidR="0072007C" w:rsidRDefault="0072007C" w:rsidP="0095124B">
    <w:pPr>
      <w:pStyle w:val="ZPZaptsud"/>
    </w:pPr>
    <w:r>
      <w:fldChar w:fldCharType="begin"/>
    </w:r>
    <w:r>
      <w:instrText xml:space="preserve"> PAGE  \* Arabic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6D03B" w14:textId="77777777" w:rsidR="0072007C" w:rsidRDefault="0072007C" w:rsidP="0095124B">
    <w:pPr>
      <w:pStyle w:val="ZPZapatlich"/>
    </w:pPr>
    <w:r>
      <w:fldChar w:fldCharType="begin"/>
    </w:r>
    <w:r>
      <w:instrText>PAGE   \* MERGEFORMAT</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36B95" w14:textId="77777777" w:rsidR="0072007C" w:rsidRPr="0089154B" w:rsidRDefault="0072007C" w:rsidP="00F02FCC">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3.0.4-LAW (2019-05-07</w:t>
    </w:r>
    <w:r w:rsidRPr="0089154B">
      <w:rPr>
        <w:color w:val="BFBFBF" w:themeColor="background1" w:themeShade="BF"/>
        <w:sz w:val="16"/>
        <w:szCs w:val="16"/>
      </w:rPr>
      <w:t>) © 2014, 2016</w:t>
    </w:r>
    <w:r>
      <w:rPr>
        <w:color w:val="BFBFBF" w:themeColor="background1" w:themeShade="BF"/>
        <w:sz w:val="16"/>
        <w:szCs w:val="16"/>
      </w:rPr>
      <w:t>, 2018, 2019</w:t>
    </w:r>
    <w:r w:rsidRPr="0089154B">
      <w:rPr>
        <w:color w:val="BFBFBF" w:themeColor="background1" w:themeShade="BF"/>
        <w:sz w:val="16"/>
        <w:szCs w:val="16"/>
      </w:rPr>
      <w:t xml:space="preserve"> </w:t>
    </w:r>
    <w:r>
      <w:rPr>
        <w:color w:val="BFBFBF" w:themeColor="background1" w:themeShade="BF"/>
        <w:sz w:val="16"/>
        <w:szCs w:val="16"/>
      </w:rPr>
      <w:t>Masarykova univerzita</w:t>
    </w:r>
    <w:r>
      <w:rPr>
        <w:color w:val="BFBFBF" w:themeColor="background1" w:themeShade="BF"/>
        <w:sz w:val="16"/>
        <w:szCs w:val="16"/>
      </w:rPr>
      <w:tab/>
    </w:r>
    <w:r>
      <w:rPr>
        <w:smallCaps/>
        <w:noProof/>
      </w:rPr>
      <w:fldChar w:fldCharType="begin"/>
    </w:r>
    <w:r>
      <w:rPr>
        <w:smallCaps/>
        <w:noProof/>
      </w:rPr>
      <w:instrText>PAGE   \* MERGEFORMAT</w:instrText>
    </w:r>
    <w:r>
      <w:rPr>
        <w:smallCaps/>
        <w:noProof/>
      </w:rPr>
      <w:fldChar w:fldCharType="separate"/>
    </w:r>
    <w:r>
      <w:rPr>
        <w:smallCaps/>
        <w:noProof/>
      </w:rPr>
      <w:t>9</w:t>
    </w:r>
    <w:r>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B72DB" w14:textId="77777777" w:rsidR="0072007C" w:rsidRPr="0089154B" w:rsidRDefault="0072007C"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B5E9" w14:textId="77777777" w:rsidR="0072007C" w:rsidRDefault="0072007C" w:rsidP="0095124B">
    <w:pPr>
      <w:pStyle w:val="ZPZapatlich"/>
    </w:pPr>
    <w:r>
      <w:fldChar w:fldCharType="begin"/>
    </w:r>
    <w:r>
      <w:instrText xml:space="preserve"> PAGE  \* Arabic  \* MERGEFORMAT </w:instrText>
    </w:r>
    <w:r>
      <w:fldChar w:fldCharType="separate"/>
    </w:r>
    <w:r>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03F30" w14:textId="77777777" w:rsidR="00C24EAE" w:rsidRDefault="00C24EAE">
      <w:r>
        <w:separator/>
      </w:r>
    </w:p>
  </w:footnote>
  <w:footnote w:type="continuationSeparator" w:id="0">
    <w:p w14:paraId="0447CE55" w14:textId="77777777" w:rsidR="00C24EAE" w:rsidRDefault="00C24EAE">
      <w:r>
        <w:continuationSeparator/>
      </w:r>
    </w:p>
  </w:footnote>
  <w:footnote w:type="continuationNotice" w:id="1">
    <w:p w14:paraId="48B46228" w14:textId="77777777" w:rsidR="00C24EAE" w:rsidRDefault="00C24EAE"/>
  </w:footnote>
  <w:footnote w:id="2">
    <w:p w14:paraId="140BEA25" w14:textId="77777777" w:rsidR="0072007C" w:rsidRPr="00705279" w:rsidRDefault="0072007C" w:rsidP="00BF3055">
      <w:pPr>
        <w:pStyle w:val="Textpoznpodarou"/>
        <w:spacing w:line="240" w:lineRule="auto"/>
        <w:rPr>
          <w:rFonts w:ascii="Times New Roman" w:hAnsi="Times New Roman"/>
          <w:sz w:val="18"/>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RAJCHL, Jiří a kol. </w:t>
      </w:r>
      <w:r w:rsidRPr="00024CBA">
        <w:rPr>
          <w:rFonts w:asciiTheme="minorHAnsi" w:hAnsiTheme="minorHAnsi"/>
          <w:i/>
          <w:iCs/>
          <w:sz w:val="18"/>
        </w:rPr>
        <w:t>Právní aspekty hazardních her</w:t>
      </w:r>
      <w:r w:rsidRPr="00024CBA">
        <w:rPr>
          <w:rFonts w:asciiTheme="minorHAnsi" w:hAnsiTheme="minorHAnsi"/>
          <w:sz w:val="18"/>
        </w:rPr>
        <w:t>. 1. vyd. Praha: Wolters Kluwer ČR, 2018, s. 313-314.</w:t>
      </w:r>
    </w:p>
  </w:footnote>
  <w:footnote w:id="3">
    <w:p w14:paraId="28225081" w14:textId="77777777" w:rsidR="0072007C" w:rsidRPr="00024CBA" w:rsidRDefault="0072007C" w:rsidP="00F66E99">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r>
      <w:bookmarkStart w:id="7" w:name="_Hlk23410833"/>
      <w:r w:rsidRPr="00024CBA">
        <w:rPr>
          <w:rFonts w:asciiTheme="minorHAnsi" w:hAnsiTheme="minorHAnsi"/>
          <w:sz w:val="18"/>
        </w:rPr>
        <w:t xml:space="preserve">ŠRÁMKOVÁ, Alice. </w:t>
      </w:r>
      <w:r w:rsidRPr="00024CBA">
        <w:rPr>
          <w:rFonts w:asciiTheme="minorHAnsi" w:hAnsiTheme="minorHAnsi"/>
          <w:i/>
          <w:iCs/>
          <w:sz w:val="18"/>
        </w:rPr>
        <w:t>Nová daň české daňové soustavy, aneb zpřísnění regulace hazardních her</w:t>
      </w:r>
      <w:r w:rsidRPr="00024CBA">
        <w:rPr>
          <w:rFonts w:asciiTheme="minorHAnsi" w:hAnsiTheme="minorHAnsi"/>
          <w:sz w:val="18"/>
        </w:rPr>
        <w:t xml:space="preserve">.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1. 2. 2019].</w:t>
      </w:r>
      <w:bookmarkEnd w:id="7"/>
    </w:p>
  </w:footnote>
  <w:footnote w:id="4">
    <w:p w14:paraId="47772E25" w14:textId="77777777" w:rsidR="0072007C" w:rsidRPr="00410437" w:rsidRDefault="0072007C" w:rsidP="00F66E99">
      <w:pPr>
        <w:pStyle w:val="Textpoznpodarou"/>
        <w:spacing w:line="240" w:lineRule="auto"/>
        <w:rPr>
          <w:rFonts w:asciiTheme="minorHAnsi" w:hAnsiTheme="minorHAnsi"/>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BOHÁČ, Radim, KRASULOVÁ, Hana. </w:t>
      </w:r>
      <w:r w:rsidRPr="00024CBA">
        <w:rPr>
          <w:rFonts w:asciiTheme="minorHAnsi" w:hAnsiTheme="minorHAnsi"/>
          <w:i/>
          <w:sz w:val="18"/>
        </w:rPr>
        <w:t>Zákon o dani z hazardních her. Komentář</w:t>
      </w:r>
      <w:r w:rsidRPr="00024CBA">
        <w:rPr>
          <w:rFonts w:asciiTheme="minorHAnsi" w:hAnsiTheme="minorHAnsi"/>
          <w:sz w:val="18"/>
        </w:rPr>
        <w:t>. 1. vyd. Praha: Wolters Kluwer, 2017, s. 8.</w:t>
      </w:r>
    </w:p>
  </w:footnote>
  <w:footnote w:id="5">
    <w:p w14:paraId="42320DA5" w14:textId="77777777" w:rsidR="0072007C" w:rsidRPr="00F66E99" w:rsidRDefault="0072007C" w:rsidP="00BF3055">
      <w:pPr>
        <w:pStyle w:val="Textpoznpodarou"/>
        <w:spacing w:line="240" w:lineRule="auto"/>
        <w:rPr>
          <w:rFonts w:asciiTheme="minorHAnsi" w:hAnsiTheme="minorHAnsi"/>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Viz. BOHÁČ, Radim; KRASULOVÁ, Hana. </w:t>
      </w:r>
      <w:r w:rsidRPr="00024CBA">
        <w:rPr>
          <w:rFonts w:asciiTheme="minorHAnsi" w:hAnsiTheme="minorHAnsi"/>
          <w:i/>
          <w:sz w:val="18"/>
        </w:rPr>
        <w:t>Zákon o dani z hazardních her. Komentář</w:t>
      </w:r>
      <w:r w:rsidRPr="00024CBA">
        <w:rPr>
          <w:rFonts w:asciiTheme="minorHAnsi" w:hAnsiTheme="minorHAnsi"/>
          <w:sz w:val="18"/>
        </w:rPr>
        <w:t xml:space="preserve">. 1. vyd. Praha: Wolters Kluwer, 2017, 248 s.; RAJCHL, Jiří a kol. </w:t>
      </w:r>
      <w:r w:rsidRPr="00024CBA">
        <w:rPr>
          <w:rFonts w:asciiTheme="minorHAnsi" w:hAnsiTheme="minorHAnsi"/>
          <w:i/>
          <w:iCs/>
          <w:sz w:val="18"/>
        </w:rPr>
        <w:t>Právní aspekty hazardních her</w:t>
      </w:r>
      <w:r w:rsidRPr="00024CBA">
        <w:rPr>
          <w:rFonts w:asciiTheme="minorHAnsi" w:hAnsiTheme="minorHAnsi"/>
          <w:sz w:val="18"/>
        </w:rPr>
        <w:t>. 1. vyd. Praha: Wolters Kluwer ČR, 2018, 480 s.</w:t>
      </w:r>
    </w:p>
  </w:footnote>
  <w:footnote w:id="6">
    <w:p w14:paraId="1542425E" w14:textId="77777777" w:rsidR="0072007C" w:rsidRPr="00024CBA" w:rsidRDefault="0072007C" w:rsidP="00F66E99">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KRAMÁŘ, Květoslav a kol. </w:t>
      </w:r>
      <w:r w:rsidRPr="00024CBA">
        <w:rPr>
          <w:rFonts w:asciiTheme="minorHAnsi" w:hAnsiTheme="minorHAnsi"/>
          <w:i/>
          <w:iCs/>
          <w:sz w:val="18"/>
          <w:szCs w:val="18"/>
        </w:rPr>
        <w:t>Herní právo</w:t>
      </w:r>
      <w:r w:rsidRPr="00024CBA">
        <w:rPr>
          <w:rFonts w:asciiTheme="minorHAnsi" w:hAnsiTheme="minorHAnsi"/>
          <w:sz w:val="18"/>
          <w:szCs w:val="18"/>
        </w:rPr>
        <w:t>. 1. vyd. Plzeň: Aleš Čeněk, 2006, s. 37-38.</w:t>
      </w:r>
    </w:p>
  </w:footnote>
  <w:footnote w:id="7">
    <w:p w14:paraId="29F8D84E" w14:textId="77777777" w:rsidR="0072007C" w:rsidRPr="00024CBA" w:rsidRDefault="0072007C" w:rsidP="00F66E99">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RAJCHL a kol, 2018, op. cit., s. 97</w:t>
      </w:r>
    </w:p>
  </w:footnote>
  <w:footnote w:id="8">
    <w:p w14:paraId="4A8EFF1A" w14:textId="77777777" w:rsidR="0072007C" w:rsidRPr="00024CBA" w:rsidRDefault="0072007C" w:rsidP="00F66E99">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BOHÁČ, KRASULOVÁ, 2017, op. cit., s. 3</w:t>
      </w:r>
    </w:p>
  </w:footnote>
  <w:footnote w:id="9">
    <w:p w14:paraId="6ADD6F52" w14:textId="77777777" w:rsidR="0072007C" w:rsidRPr="00024CBA" w:rsidRDefault="0072007C" w:rsidP="006A505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50 odst. 3 loterního zákona</w:t>
      </w:r>
    </w:p>
  </w:footnote>
  <w:footnote w:id="10">
    <w:p w14:paraId="4C0485B0" w14:textId="77777777" w:rsidR="0072007C" w:rsidRPr="00A72EDB" w:rsidRDefault="0072007C" w:rsidP="00F66E99">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RAJCHL a kol, 2018, op. cit., s. 101</w:t>
      </w:r>
    </w:p>
  </w:footnote>
  <w:footnote w:id="11">
    <w:p w14:paraId="6489962A"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bookmarkStart w:id="9" w:name="_Hlk23410902"/>
      <w:r w:rsidRPr="00024CBA">
        <w:rPr>
          <w:rFonts w:asciiTheme="minorHAnsi" w:hAnsiTheme="minorHAnsi"/>
          <w:sz w:val="18"/>
          <w:szCs w:val="18"/>
        </w:rPr>
        <w:t xml:space="preserve">Rozsudek Soudního dvora Evropské unie ze dne 24. 3. 1994, věc C-275/92. In: </w:t>
      </w:r>
      <w:r w:rsidRPr="00024CBA">
        <w:rPr>
          <w:rFonts w:asciiTheme="minorHAnsi" w:hAnsiTheme="minorHAnsi"/>
          <w:i/>
          <w:iCs/>
          <w:sz w:val="18"/>
          <w:szCs w:val="18"/>
        </w:rPr>
        <w:t>Beck-online</w:t>
      </w:r>
      <w:r w:rsidRPr="00024CBA">
        <w:rPr>
          <w:rFonts w:asciiTheme="minorHAnsi" w:hAnsiTheme="minorHAnsi"/>
          <w:sz w:val="18"/>
          <w:szCs w:val="18"/>
        </w:rPr>
        <w:t xml:space="preserve"> [online právní informační systém]. Nakladatelství C.H. Beck [cit. 1. 6. 2019]. Dostupné z: </w:t>
      </w:r>
      <w:hyperlink r:id="rId1" w:history="1">
        <w:r w:rsidRPr="00024CBA">
          <w:rPr>
            <w:rStyle w:val="Hypertextovodkaz"/>
            <w:rFonts w:asciiTheme="minorHAnsi" w:hAnsiTheme="minorHAnsi" w:cs="Helvetica"/>
            <w:color w:val="auto"/>
            <w:sz w:val="18"/>
            <w:szCs w:val="18"/>
          </w:rPr>
          <w:t>https://www.beck-online.cz/bo/document-view.seam?documentId=mv2tmxzrhe4tex3dniydenzv&amp;groupIndex=0&amp;rowIndex=0</w:t>
        </w:r>
      </w:hyperlink>
      <w:r w:rsidRPr="00024CBA">
        <w:rPr>
          <w:rFonts w:asciiTheme="minorHAnsi" w:hAnsiTheme="minorHAnsi"/>
          <w:sz w:val="18"/>
          <w:szCs w:val="18"/>
        </w:rPr>
        <w:t xml:space="preserve"> a Rozsudek Soudního dvora Evropské unie ze dne 11. 9. 2003, věc C-6/01</w:t>
      </w:r>
      <w:bookmarkEnd w:id="9"/>
      <w:r w:rsidRPr="00024CBA">
        <w:rPr>
          <w:rFonts w:asciiTheme="minorHAnsi" w:hAnsiTheme="minorHAnsi"/>
          <w:sz w:val="18"/>
          <w:szCs w:val="18"/>
        </w:rPr>
        <w:t xml:space="preserve">. In: </w:t>
      </w:r>
      <w:r w:rsidRPr="00024CBA">
        <w:rPr>
          <w:rFonts w:asciiTheme="minorHAnsi" w:hAnsiTheme="minorHAnsi"/>
          <w:i/>
          <w:iCs/>
          <w:sz w:val="18"/>
          <w:szCs w:val="18"/>
        </w:rPr>
        <w:t>A</w:t>
      </w:r>
      <w:r w:rsidRPr="00024CBA">
        <w:rPr>
          <w:rFonts w:asciiTheme="minorHAnsi" w:hAnsiTheme="minorHAnsi"/>
          <w:sz w:val="18"/>
          <w:szCs w:val="18"/>
        </w:rPr>
        <w:t>SPI [právní informační systém]. Wolters Kluwer ČR [cit. 1. 6. 2019]</w:t>
      </w:r>
    </w:p>
  </w:footnote>
  <w:footnote w:id="12">
    <w:p w14:paraId="0D52B250"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1 odst. 7 loterního zákona</w:t>
      </w:r>
    </w:p>
  </w:footnote>
  <w:footnote w:id="13">
    <w:p w14:paraId="388F4D80"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4 odst. 4 loterního zákona</w:t>
      </w:r>
    </w:p>
  </w:footnote>
  <w:footnote w:id="14">
    <w:p w14:paraId="6C9D084E"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Čl. 56 Konsolidovaného znění Smlouvy o fungování Evropské unie. In: </w:t>
      </w:r>
      <w:r w:rsidRPr="00024CBA">
        <w:rPr>
          <w:rFonts w:asciiTheme="minorHAnsi" w:hAnsiTheme="minorHAnsi"/>
          <w:i/>
          <w:iCs/>
          <w:sz w:val="18"/>
          <w:szCs w:val="18"/>
        </w:rPr>
        <w:t>A</w:t>
      </w:r>
      <w:r w:rsidRPr="00024CBA">
        <w:rPr>
          <w:rFonts w:asciiTheme="minorHAnsi" w:hAnsiTheme="minorHAnsi"/>
          <w:sz w:val="18"/>
          <w:szCs w:val="18"/>
        </w:rPr>
        <w:t>SPI [právní informační systém]. Wolters Kluwer ČR [cit. 1. 6. 2019] (dále jen „SFEU“)</w:t>
      </w:r>
    </w:p>
  </w:footnote>
  <w:footnote w:id="15">
    <w:p w14:paraId="5F548C40" w14:textId="77777777" w:rsidR="0072007C" w:rsidRPr="00024CBA" w:rsidRDefault="0072007C" w:rsidP="00BF3055">
      <w:pPr>
        <w:pStyle w:val="Textpoznpodarou"/>
        <w:spacing w:line="240" w:lineRule="auto"/>
        <w:rPr>
          <w:rFonts w:ascii="Times New Roman" w:hAnsi="Times New Roman"/>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Čl. 63 SFEU</w:t>
      </w:r>
    </w:p>
  </w:footnote>
  <w:footnote w:id="16">
    <w:p w14:paraId="49954D17"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BOHÁČ, KRASULOVÁ, 2017, op. cit., s. 4 </w:t>
      </w:r>
    </w:p>
  </w:footnote>
  <w:footnote w:id="17">
    <w:p w14:paraId="7FBB3D06" w14:textId="47B34FE4"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Style w:val="CittHTML"/>
          <w:rFonts w:asciiTheme="minorHAnsi" w:hAnsiTheme="minorHAnsi"/>
          <w:i w:val="0"/>
          <w:iCs w:val="0"/>
          <w:sz w:val="18"/>
          <w:szCs w:val="18"/>
          <w:shd w:val="clear" w:color="auto" w:fill="FFFFFF"/>
        </w:rPr>
        <w:t xml:space="preserve"> </w:t>
      </w:r>
      <w:r w:rsidRPr="00024CBA">
        <w:rPr>
          <w:rStyle w:val="CittHTML"/>
          <w:rFonts w:asciiTheme="minorHAnsi" w:hAnsiTheme="minorHAnsi"/>
          <w:i w:val="0"/>
          <w:iCs w:val="0"/>
          <w:sz w:val="18"/>
          <w:szCs w:val="18"/>
          <w:shd w:val="clear" w:color="auto" w:fill="FFFFFF"/>
        </w:rPr>
        <w:tab/>
        <w:t>RADVAN, Michal a kol</w:t>
      </w:r>
      <w:r w:rsidRPr="00024CBA">
        <w:rPr>
          <w:rStyle w:val="CittHTML"/>
          <w:rFonts w:asciiTheme="minorHAnsi" w:hAnsiTheme="minorHAnsi"/>
          <w:sz w:val="18"/>
          <w:szCs w:val="18"/>
          <w:shd w:val="clear" w:color="auto" w:fill="FFFFFF"/>
        </w:rPr>
        <w:t>. Finanční právo a finanční správa. Berní právo</w:t>
      </w:r>
      <w:r w:rsidRPr="00024CBA">
        <w:rPr>
          <w:rStyle w:val="CittHTML"/>
          <w:rFonts w:asciiTheme="minorHAnsi" w:hAnsiTheme="minorHAnsi"/>
          <w:i w:val="0"/>
          <w:iCs w:val="0"/>
          <w:sz w:val="18"/>
          <w:szCs w:val="18"/>
          <w:shd w:val="clear" w:color="auto" w:fill="FFFFFF"/>
        </w:rPr>
        <w:t>. Brno: Masarykova univerzita, 2008, s. 54</w:t>
      </w:r>
    </w:p>
  </w:footnote>
  <w:footnote w:id="18">
    <w:p w14:paraId="4D210EEF" w14:textId="77777777" w:rsidR="0072007C" w:rsidRPr="00BF3055" w:rsidRDefault="0072007C" w:rsidP="00BF3055">
      <w:pPr>
        <w:pStyle w:val="Textpoznpodarou"/>
        <w:spacing w:line="240" w:lineRule="auto"/>
        <w:rPr>
          <w:rFonts w:asciiTheme="minorHAnsi" w:hAnsiTheme="minorHAnsi"/>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41 loterního zákona</w:t>
      </w:r>
    </w:p>
  </w:footnote>
  <w:footnote w:id="19">
    <w:p w14:paraId="0846B521" w14:textId="77777777" w:rsidR="0072007C" w:rsidRPr="00024CBA" w:rsidRDefault="0072007C" w:rsidP="00BF3055">
      <w:pPr>
        <w:pStyle w:val="Textpoznpodarou"/>
        <w:spacing w:line="240" w:lineRule="auto"/>
        <w:rPr>
          <w:rFonts w:ascii="Times New Roman" w:hAnsi="Times New Roman"/>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bookmarkStart w:id="10" w:name="_Hlk23410942"/>
      <w:r w:rsidRPr="00024CBA">
        <w:rPr>
          <w:rFonts w:asciiTheme="minorHAnsi" w:hAnsiTheme="minorHAnsi"/>
          <w:sz w:val="18"/>
          <w:szCs w:val="18"/>
        </w:rPr>
        <w:t xml:space="preserve">Závěrečná zpráva z hodnocení dopadů regulace (RIA). Příloha důvodové zprávy k zákonu o dani z hazardních her [online]. Dostupné z: </w:t>
      </w:r>
      <w:hyperlink r:id="rId2" w:history="1">
        <w:r w:rsidRPr="00024CBA">
          <w:rPr>
            <w:rStyle w:val="Hypertextovodkaz"/>
            <w:rFonts w:asciiTheme="minorHAnsi" w:hAnsiTheme="minorHAnsi"/>
            <w:sz w:val="18"/>
            <w:szCs w:val="18"/>
          </w:rPr>
          <w:t>https://www.psp.cz/sqw/text/orig2.sqw?idd=115506</w:t>
        </w:r>
      </w:hyperlink>
      <w:r w:rsidRPr="00024CBA">
        <w:rPr>
          <w:rFonts w:asciiTheme="minorHAnsi" w:hAnsiTheme="minorHAnsi"/>
          <w:sz w:val="18"/>
          <w:szCs w:val="18"/>
        </w:rPr>
        <w:t>. [cit. 1. 6. 2019].</w:t>
      </w:r>
      <w:bookmarkEnd w:id="10"/>
    </w:p>
  </w:footnote>
  <w:footnote w:id="20">
    <w:p w14:paraId="1B9F5F59"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BOHÁČ, KRASULOVÁ, 2017, op. cit., s. 4</w:t>
      </w:r>
    </w:p>
  </w:footnote>
  <w:footnote w:id="21">
    <w:p w14:paraId="4C19A130" w14:textId="539128DE" w:rsidR="0072007C" w:rsidRPr="00BF3055" w:rsidRDefault="0072007C" w:rsidP="00BF3055">
      <w:pPr>
        <w:pStyle w:val="Textpoznpodarou"/>
        <w:spacing w:line="240" w:lineRule="auto"/>
        <w:rPr>
          <w:rFonts w:ascii="Times New Roman" w:hAnsi="Times New Roman"/>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bookmarkStart w:id="11" w:name="_Hlk23410960"/>
      <w:r w:rsidRPr="00024CBA">
        <w:rPr>
          <w:rFonts w:asciiTheme="minorHAnsi" w:hAnsiTheme="minorHAnsi"/>
          <w:sz w:val="18"/>
          <w:szCs w:val="18"/>
        </w:rPr>
        <w:t xml:space="preserve">Důvodová zpráva k zákonu č. 186/2016 Sb., o hazardních hrách. 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1. 6. 2019]</w:t>
      </w:r>
      <w:bookmarkEnd w:id="11"/>
    </w:p>
  </w:footnote>
  <w:footnote w:id="22">
    <w:p w14:paraId="0E498FB3" w14:textId="646B0E84"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JÁNOŠÍKOVÁ, Petra a kol. </w:t>
      </w:r>
      <w:r w:rsidRPr="00024CBA">
        <w:rPr>
          <w:rFonts w:asciiTheme="minorHAnsi" w:hAnsiTheme="minorHAnsi"/>
          <w:i/>
          <w:iCs/>
          <w:sz w:val="18"/>
          <w:szCs w:val="18"/>
        </w:rPr>
        <w:t>Daňové právo de lege lata</w:t>
      </w:r>
      <w:r w:rsidRPr="00024CBA">
        <w:rPr>
          <w:rFonts w:asciiTheme="minorHAnsi" w:hAnsiTheme="minorHAnsi"/>
          <w:sz w:val="18"/>
          <w:szCs w:val="18"/>
        </w:rPr>
        <w:t>. 2. vyd. Plzeň: Aleš Čeněk, 2018, s. 18</w:t>
      </w:r>
    </w:p>
  </w:footnote>
  <w:footnote w:id="23">
    <w:p w14:paraId="371A70AA" w14:textId="2BF4E600"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JÁNOŠÍKOVÁ, Petra a kol. </w:t>
      </w:r>
      <w:r w:rsidRPr="00024CBA">
        <w:rPr>
          <w:rFonts w:asciiTheme="minorHAnsi" w:hAnsiTheme="minorHAnsi"/>
          <w:i/>
          <w:iCs/>
          <w:sz w:val="18"/>
          <w:szCs w:val="18"/>
        </w:rPr>
        <w:t>Finanční a daňové právo.</w:t>
      </w:r>
      <w:r w:rsidRPr="00024CBA">
        <w:rPr>
          <w:rFonts w:asciiTheme="minorHAnsi" w:hAnsiTheme="minorHAnsi"/>
          <w:sz w:val="18"/>
          <w:szCs w:val="18"/>
        </w:rPr>
        <w:t xml:space="preserve"> 2. vyd. Plzeň: Aleš Čeněk, 2016, s. 305</w:t>
      </w:r>
    </w:p>
  </w:footnote>
  <w:footnote w:id="24">
    <w:p w14:paraId="0C60EACD" w14:textId="77777777"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BOHÁČ, KRASULOVÁ, 2017, op. cit., s. 4-5</w:t>
      </w:r>
    </w:p>
  </w:footnote>
  <w:footnote w:id="25">
    <w:p w14:paraId="7D1C610F" w14:textId="29FA9506" w:rsidR="0072007C" w:rsidRPr="00024CBA" w:rsidRDefault="0072007C" w:rsidP="00BF3055">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ŠRÁMKOVÁ, Alice. </w:t>
      </w:r>
      <w:r w:rsidRPr="00024CBA">
        <w:rPr>
          <w:rFonts w:asciiTheme="minorHAnsi" w:hAnsiTheme="minorHAnsi"/>
          <w:i/>
          <w:iCs/>
          <w:sz w:val="18"/>
          <w:szCs w:val="18"/>
        </w:rPr>
        <w:t xml:space="preserve">Nová daň české daňové soustavy, aneb zpřísnění regulace hazardních her. </w:t>
      </w:r>
      <w:r w:rsidRPr="00024CBA">
        <w:rPr>
          <w:rFonts w:asciiTheme="minorHAnsi" w:hAnsiTheme="minorHAnsi"/>
          <w:sz w:val="18"/>
          <w:szCs w:val="18"/>
        </w:rPr>
        <w:t xml:space="preserve">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1. 6. 2019]</w:t>
      </w:r>
    </w:p>
  </w:footnote>
  <w:footnote w:id="26">
    <w:p w14:paraId="44C46B31" w14:textId="398E2536" w:rsidR="0072007C" w:rsidRDefault="0072007C" w:rsidP="00BF3055">
      <w:pPr>
        <w:pStyle w:val="Textpoznpodarou"/>
        <w:spacing w:line="240" w:lineRule="auto"/>
      </w:pPr>
      <w:r w:rsidRPr="00024CBA">
        <w:rPr>
          <w:rStyle w:val="Znakapoznpodarou"/>
          <w:sz w:val="18"/>
          <w:szCs w:val="18"/>
        </w:rPr>
        <w:footnoteRef/>
      </w:r>
      <w:r w:rsidRPr="00024CBA">
        <w:rPr>
          <w:sz w:val="18"/>
          <w:szCs w:val="18"/>
        </w:rPr>
        <w:t xml:space="preserve"> </w:t>
      </w:r>
      <w:r w:rsidRPr="00024CBA">
        <w:rPr>
          <w:sz w:val="18"/>
          <w:szCs w:val="18"/>
        </w:rPr>
        <w:tab/>
      </w:r>
      <w:r w:rsidRPr="00024CBA">
        <w:rPr>
          <w:rFonts w:asciiTheme="minorHAnsi" w:hAnsiTheme="minorHAnsi"/>
          <w:sz w:val="18"/>
          <w:szCs w:val="18"/>
        </w:rPr>
        <w:t xml:space="preserve">BOHÁČ, Radim. </w:t>
      </w:r>
      <w:r w:rsidRPr="00024CBA">
        <w:rPr>
          <w:rFonts w:asciiTheme="minorHAnsi" w:hAnsiTheme="minorHAnsi"/>
          <w:i/>
          <w:iCs/>
          <w:sz w:val="18"/>
          <w:szCs w:val="18"/>
        </w:rPr>
        <w:t>Daňové příjmy veřejných rozpočtů v České republice</w:t>
      </w:r>
      <w:r w:rsidRPr="00024CBA">
        <w:rPr>
          <w:rFonts w:asciiTheme="minorHAnsi" w:hAnsiTheme="minorHAnsi"/>
          <w:sz w:val="18"/>
          <w:szCs w:val="18"/>
        </w:rPr>
        <w:t xml:space="preserve">. 1. vyd. Praha: Wolters Kluwer ČR, 2013, </w:t>
      </w:r>
      <w:r w:rsidRPr="00024CBA">
        <w:rPr>
          <w:sz w:val="18"/>
          <w:szCs w:val="18"/>
        </w:rPr>
        <w:t>s. 249</w:t>
      </w:r>
    </w:p>
  </w:footnote>
  <w:footnote w:id="27">
    <w:p w14:paraId="3E51229F" w14:textId="77777777" w:rsidR="0072007C" w:rsidRPr="00911250" w:rsidRDefault="0072007C" w:rsidP="004C1A9D">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r w:rsidRPr="00911250">
        <w:rPr>
          <w:rFonts w:asciiTheme="minorHAnsi" w:hAnsiTheme="minorHAnsi"/>
          <w:sz w:val="18"/>
          <w:szCs w:val="18"/>
        </w:rPr>
        <w:t xml:space="preserve">BAXA, Josef. </w:t>
      </w:r>
      <w:r w:rsidRPr="00911250">
        <w:rPr>
          <w:rFonts w:asciiTheme="minorHAnsi" w:hAnsiTheme="minorHAnsi"/>
          <w:i/>
          <w:sz w:val="18"/>
          <w:szCs w:val="18"/>
        </w:rPr>
        <w:t>Daňový řád. Komentář. I. díl.</w:t>
      </w:r>
      <w:r w:rsidRPr="00911250">
        <w:rPr>
          <w:rFonts w:asciiTheme="minorHAnsi" w:hAnsiTheme="minorHAnsi"/>
          <w:sz w:val="18"/>
          <w:szCs w:val="18"/>
        </w:rPr>
        <w:t xml:space="preserve"> 1. vyd. Praha: Wolters Kluwer ČR, 2011, s. 8</w:t>
      </w:r>
    </w:p>
  </w:footnote>
  <w:footnote w:id="28">
    <w:p w14:paraId="24502B0E" w14:textId="468C12AF" w:rsidR="0072007C" w:rsidRDefault="0072007C" w:rsidP="004C1A9D">
      <w:pPr>
        <w:pStyle w:val="Textpoznpodarou"/>
        <w:spacing w:line="240" w:lineRule="auto"/>
        <w:ind w:left="301" w:hanging="301"/>
      </w:pPr>
      <w:r w:rsidRPr="00911250">
        <w:rPr>
          <w:rStyle w:val="Znakapoznpodarou"/>
          <w:sz w:val="18"/>
          <w:szCs w:val="18"/>
        </w:rPr>
        <w:footnoteRef/>
      </w:r>
      <w:r w:rsidRPr="00911250">
        <w:rPr>
          <w:sz w:val="18"/>
          <w:szCs w:val="18"/>
        </w:rPr>
        <w:t xml:space="preserve"> </w:t>
      </w:r>
      <w:r w:rsidRPr="00911250">
        <w:rPr>
          <w:sz w:val="18"/>
          <w:szCs w:val="18"/>
        </w:rPr>
        <w:tab/>
        <w:t xml:space="preserve">Podrobněji k vymezení pojmu daně BOHÁČ, Radim. Pojem daň v daňových zákonech. In: KOTÁSEK, Josef et al. (eds.). </w:t>
      </w:r>
      <w:r w:rsidRPr="00911250">
        <w:rPr>
          <w:i/>
          <w:iCs/>
          <w:sz w:val="18"/>
          <w:szCs w:val="18"/>
        </w:rPr>
        <w:t>Dny práva – 2011 – Days of Law.</w:t>
      </w:r>
      <w:r w:rsidRPr="00911250">
        <w:rPr>
          <w:sz w:val="18"/>
          <w:szCs w:val="18"/>
        </w:rPr>
        <w:t xml:space="preserve"> Brno: Masarykova univerzita, 2012</w:t>
      </w:r>
    </w:p>
  </w:footnote>
  <w:footnote w:id="29">
    <w:p w14:paraId="1D22F767" w14:textId="77777777" w:rsidR="0072007C" w:rsidRPr="00024CBA" w:rsidRDefault="0072007C" w:rsidP="004C1A9D">
      <w:pPr>
        <w:pStyle w:val="Textpoznpodarou"/>
        <w:spacing w:line="240" w:lineRule="auto"/>
        <w:ind w:left="301" w:hanging="301"/>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KUBÁTOVÁ, Květa. </w:t>
      </w:r>
      <w:r w:rsidRPr="00024CBA">
        <w:rPr>
          <w:rFonts w:asciiTheme="minorHAnsi" w:hAnsiTheme="minorHAnsi"/>
          <w:i/>
          <w:sz w:val="18"/>
          <w:szCs w:val="18"/>
        </w:rPr>
        <w:t>Daňová teorie a politika.</w:t>
      </w:r>
      <w:r w:rsidRPr="00024CBA">
        <w:rPr>
          <w:rFonts w:asciiTheme="minorHAnsi" w:hAnsiTheme="minorHAnsi"/>
          <w:sz w:val="18"/>
          <w:szCs w:val="18"/>
        </w:rPr>
        <w:t xml:space="preserve"> 7. vyd. Praha: Wolters Kluwer, 2018, s. 15-16</w:t>
      </w:r>
    </w:p>
  </w:footnote>
  <w:footnote w:id="30">
    <w:p w14:paraId="6179DF77" w14:textId="77777777" w:rsidR="0072007C" w:rsidRPr="00024CBA" w:rsidRDefault="0072007C" w:rsidP="004C1A9D">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BOHÁČ, Radim, 2013, op. cit., s. 105</w:t>
      </w:r>
    </w:p>
  </w:footnote>
  <w:footnote w:id="31">
    <w:p w14:paraId="1B7EC926" w14:textId="77777777" w:rsidR="0072007C" w:rsidRPr="00024CBA" w:rsidRDefault="0072007C" w:rsidP="00BF3055">
      <w:pPr>
        <w:pStyle w:val="Textpoznpodarou"/>
        <w:spacing w:line="240" w:lineRule="auto"/>
        <w:ind w:left="301" w:hanging="301"/>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Čl. 11 odst. 5 usnesení předsednictva ČNR č. 2/1993 Sb., o vyhlášení Listiny základních práv a svobod jako součásti ústavního pořádku České republiky, ve znění pozdějších předpisů (dále jen „LZPS“)</w:t>
      </w:r>
    </w:p>
  </w:footnote>
  <w:footnote w:id="32">
    <w:p w14:paraId="69F78660" w14:textId="77777777" w:rsidR="0072007C" w:rsidRPr="00024CBA" w:rsidRDefault="0072007C" w:rsidP="00BF3055">
      <w:pPr>
        <w:pStyle w:val="Textpoznpodarou"/>
        <w:spacing w:line="240" w:lineRule="auto"/>
        <w:ind w:left="301" w:hanging="301"/>
        <w:rPr>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163 daňového řádu</w:t>
      </w:r>
    </w:p>
  </w:footnote>
  <w:footnote w:id="33">
    <w:p w14:paraId="57EB0D54" w14:textId="77777777" w:rsidR="0072007C" w:rsidRPr="00BF3055" w:rsidRDefault="0072007C" w:rsidP="009C6CBF">
      <w:pPr>
        <w:pStyle w:val="Textpoznpodarou"/>
        <w:spacing w:line="240" w:lineRule="auto"/>
        <w:ind w:left="301" w:hanging="301"/>
      </w:pPr>
      <w:r w:rsidRPr="00024CBA">
        <w:rPr>
          <w:rStyle w:val="Znakapoznpodarou"/>
          <w:sz w:val="18"/>
          <w:szCs w:val="18"/>
        </w:rPr>
        <w:footnoteRef/>
      </w:r>
      <w:r w:rsidRPr="00024CBA">
        <w:rPr>
          <w:sz w:val="18"/>
          <w:szCs w:val="18"/>
        </w:rPr>
        <w:t xml:space="preserve"> </w:t>
      </w:r>
      <w:r w:rsidRPr="00024CBA">
        <w:rPr>
          <w:sz w:val="18"/>
          <w:szCs w:val="18"/>
        </w:rPr>
        <w:tab/>
        <w:t xml:space="preserve">§ 7 zákona o </w:t>
      </w:r>
      <w:r w:rsidRPr="00024CBA">
        <w:rPr>
          <w:rFonts w:asciiTheme="minorHAnsi" w:hAnsiTheme="minorHAnsi"/>
          <w:sz w:val="18"/>
          <w:szCs w:val="18"/>
        </w:rPr>
        <w:t>dani</w:t>
      </w:r>
      <w:r w:rsidRPr="00024CBA">
        <w:rPr>
          <w:sz w:val="18"/>
          <w:szCs w:val="18"/>
        </w:rPr>
        <w:t xml:space="preserve"> z hazardních her</w:t>
      </w:r>
    </w:p>
  </w:footnote>
  <w:footnote w:id="34">
    <w:p w14:paraId="6F6B4467" w14:textId="77777777" w:rsidR="0072007C" w:rsidRPr="00A90A88" w:rsidRDefault="0072007C" w:rsidP="00A90A88">
      <w:pPr>
        <w:pStyle w:val="Textpoznpodarou"/>
        <w:spacing w:line="240" w:lineRule="auto"/>
        <w:rPr>
          <w:sz w:val="18"/>
          <w:szCs w:val="18"/>
        </w:rPr>
      </w:pPr>
      <w:r>
        <w:rPr>
          <w:rStyle w:val="Znakapoznpodarou"/>
        </w:rPr>
        <w:footnoteRef/>
      </w:r>
      <w:r>
        <w:t xml:space="preserve"> </w:t>
      </w:r>
      <w:r>
        <w:tab/>
      </w:r>
      <w:r w:rsidRPr="00A90A88">
        <w:rPr>
          <w:sz w:val="18"/>
          <w:szCs w:val="18"/>
        </w:rPr>
        <w:t>RADVAN, Michal. Vlastní daňové příjmy obcí. 1. vyd. Brno: Masarykova univerzita, 2011, s. 9</w:t>
      </w:r>
    </w:p>
  </w:footnote>
  <w:footnote w:id="35">
    <w:p w14:paraId="012C0B0C" w14:textId="77777777" w:rsidR="0072007C" w:rsidRPr="00024CBA" w:rsidRDefault="0072007C" w:rsidP="00A90A88">
      <w:pPr>
        <w:pStyle w:val="Textpoznpodarou"/>
        <w:spacing w:line="240" w:lineRule="auto"/>
        <w:ind w:left="301" w:hanging="301"/>
        <w:rPr>
          <w:rFonts w:asciiTheme="minorHAnsi" w:hAnsiTheme="minorHAnsi"/>
          <w:sz w:val="18"/>
        </w:rPr>
      </w:pPr>
      <w:r w:rsidRPr="00A90A88">
        <w:rPr>
          <w:rStyle w:val="Znakapoznpodarou"/>
          <w:rFonts w:asciiTheme="minorHAnsi" w:hAnsiTheme="minorHAnsi"/>
          <w:sz w:val="18"/>
          <w:szCs w:val="18"/>
        </w:rPr>
        <w:footnoteRef/>
      </w:r>
      <w:r w:rsidRPr="00A90A88">
        <w:rPr>
          <w:rFonts w:asciiTheme="minorHAnsi" w:hAnsiTheme="minorHAnsi"/>
          <w:sz w:val="18"/>
          <w:szCs w:val="18"/>
        </w:rPr>
        <w:t xml:space="preserve"> </w:t>
      </w:r>
      <w:r w:rsidRPr="00A90A88">
        <w:rPr>
          <w:rFonts w:asciiTheme="minorHAnsi" w:hAnsiTheme="minorHAnsi"/>
          <w:sz w:val="18"/>
          <w:szCs w:val="18"/>
        </w:rPr>
        <w:tab/>
        <w:t>KUBÁTOVÁ, 2018</w:t>
      </w:r>
      <w:r w:rsidRPr="00024CBA">
        <w:rPr>
          <w:rFonts w:asciiTheme="minorHAnsi" w:hAnsiTheme="minorHAnsi"/>
          <w:sz w:val="18"/>
        </w:rPr>
        <w:t>, op. cit., s. 16</w:t>
      </w:r>
    </w:p>
  </w:footnote>
  <w:footnote w:id="36">
    <w:p w14:paraId="11B086EE" w14:textId="77777777" w:rsidR="0072007C" w:rsidRPr="00024CBA" w:rsidRDefault="0072007C" w:rsidP="009C6CBF">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bookmarkStart w:id="13" w:name="_Hlk22769239"/>
      <w:r w:rsidRPr="00024CBA">
        <w:rPr>
          <w:rFonts w:asciiTheme="minorHAnsi" w:hAnsiTheme="minorHAnsi"/>
          <w:sz w:val="18"/>
        </w:rPr>
        <w:tab/>
        <w:t xml:space="preserve">BOHÁČ, 2013, op. cit., s. 36 KARFÍKOVÁ, Marie a kol. </w:t>
      </w:r>
      <w:r w:rsidRPr="00024CBA">
        <w:rPr>
          <w:rFonts w:asciiTheme="minorHAnsi" w:hAnsiTheme="minorHAnsi"/>
          <w:i/>
          <w:sz w:val="18"/>
        </w:rPr>
        <w:t>Teorie finančního práva a finanční vědy.</w:t>
      </w:r>
      <w:r w:rsidRPr="00024CBA">
        <w:rPr>
          <w:rFonts w:asciiTheme="minorHAnsi" w:hAnsiTheme="minorHAnsi"/>
          <w:sz w:val="18"/>
        </w:rPr>
        <w:t xml:space="preserve"> 1. vyd. Praha: Wolters Kluwer ČR, 2018, s. 150.</w:t>
      </w:r>
      <w:bookmarkEnd w:id="13"/>
    </w:p>
  </w:footnote>
  <w:footnote w:id="37">
    <w:p w14:paraId="3C351B73" w14:textId="77777777" w:rsidR="0072007C" w:rsidRPr="00024CBA" w:rsidRDefault="0072007C" w:rsidP="009C6CBF">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JÁNOŠÍKOVÁ, 2018, op. cit., s. 22</w:t>
      </w:r>
    </w:p>
  </w:footnote>
  <w:footnote w:id="38">
    <w:p w14:paraId="5C6AD897" w14:textId="014C2A1F" w:rsidR="0072007C" w:rsidRPr="00024CBA" w:rsidRDefault="0072007C" w:rsidP="009C6CBF">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r>
      <w:r w:rsidRPr="00024CBA">
        <w:rPr>
          <w:rFonts w:asciiTheme="minorHAnsi" w:hAnsiTheme="minorHAnsi"/>
          <w:color w:val="000000"/>
          <w:sz w:val="18"/>
        </w:rPr>
        <w:t xml:space="preserve">BAKEŠ, Milan, a kol. </w:t>
      </w:r>
      <w:r w:rsidRPr="00024CBA">
        <w:rPr>
          <w:rFonts w:asciiTheme="minorHAnsi" w:hAnsiTheme="minorHAnsi"/>
          <w:i/>
          <w:color w:val="000000"/>
          <w:sz w:val="18"/>
        </w:rPr>
        <w:t>Finanční právo</w:t>
      </w:r>
      <w:r w:rsidRPr="00024CBA">
        <w:rPr>
          <w:rFonts w:asciiTheme="minorHAnsi" w:hAnsiTheme="minorHAnsi"/>
          <w:color w:val="000000"/>
          <w:sz w:val="18"/>
        </w:rPr>
        <w:t>. 5. vyd. Praha: Nakladatelství C. H. Beck, 2009, s. 154</w:t>
      </w:r>
    </w:p>
  </w:footnote>
  <w:footnote w:id="39">
    <w:p w14:paraId="0A03F7DE" w14:textId="77777777" w:rsidR="0072007C" w:rsidRPr="00024CBA" w:rsidRDefault="0072007C" w:rsidP="009C6CBF">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BOHÁČ, KRASULOVÁ, op. cit., s. 8-9</w:t>
      </w:r>
    </w:p>
  </w:footnote>
  <w:footnote w:id="40">
    <w:p w14:paraId="5548BF69" w14:textId="6AC03209" w:rsidR="0072007C" w:rsidRPr="00024CBA" w:rsidRDefault="0072007C" w:rsidP="009C6CBF">
      <w:pPr>
        <w:pStyle w:val="Textpoznpodarou"/>
        <w:spacing w:line="240" w:lineRule="auto"/>
        <w:rPr>
          <w:rFonts w:asciiTheme="minorHAnsi" w:hAnsiTheme="minorHAnsi"/>
          <w:sz w:val="16"/>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r>
      <w:r w:rsidRPr="00024CBA">
        <w:rPr>
          <w:rFonts w:asciiTheme="minorHAnsi" w:hAnsiTheme="minorHAnsi"/>
          <w:color w:val="000000"/>
          <w:sz w:val="18"/>
        </w:rPr>
        <w:t xml:space="preserve">Důvodová zpráva k zákonu č. 187/2016 Sb. o dani z hazardních her. </w:t>
      </w:r>
      <w:r w:rsidRPr="00024CBA">
        <w:rPr>
          <w:rFonts w:asciiTheme="minorHAnsi" w:hAnsiTheme="minorHAnsi"/>
          <w:sz w:val="18"/>
        </w:rPr>
        <w:t xml:space="preserve">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6. 2019]</w:t>
      </w:r>
    </w:p>
  </w:footnote>
  <w:footnote w:id="41">
    <w:p w14:paraId="62E40F16" w14:textId="77777777" w:rsidR="0072007C" w:rsidRPr="00024CBA" w:rsidRDefault="0072007C" w:rsidP="00894C5C">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JÁNOŠÍKOVÁ, 2018, op. cit., s. 23</w:t>
      </w:r>
    </w:p>
  </w:footnote>
  <w:footnote w:id="42">
    <w:p w14:paraId="6223A711" w14:textId="77777777" w:rsidR="0072007C" w:rsidRPr="00DF3642" w:rsidRDefault="0072007C" w:rsidP="00DF3642">
      <w:pPr>
        <w:pStyle w:val="Textpoznpodarou"/>
        <w:spacing w:line="240" w:lineRule="auto"/>
        <w:rPr>
          <w:rFonts w:asciiTheme="minorHAnsi" w:hAnsiTheme="minorHAnsi"/>
          <w:sz w:val="18"/>
          <w:szCs w:val="18"/>
        </w:rPr>
      </w:pPr>
      <w:r w:rsidRPr="00DF3642">
        <w:rPr>
          <w:rStyle w:val="Znakapoznpodarou"/>
          <w:rFonts w:asciiTheme="minorHAnsi" w:hAnsiTheme="minorHAnsi"/>
          <w:sz w:val="18"/>
          <w:szCs w:val="18"/>
        </w:rPr>
        <w:footnoteRef/>
      </w:r>
      <w:r w:rsidRPr="00DF3642">
        <w:rPr>
          <w:rFonts w:asciiTheme="minorHAnsi" w:hAnsiTheme="minorHAnsi"/>
          <w:sz w:val="18"/>
          <w:szCs w:val="18"/>
        </w:rPr>
        <w:t xml:space="preserve"> </w:t>
      </w:r>
      <w:r w:rsidRPr="00DF3642">
        <w:rPr>
          <w:rFonts w:asciiTheme="minorHAnsi" w:hAnsiTheme="minorHAnsi"/>
          <w:sz w:val="18"/>
          <w:szCs w:val="18"/>
        </w:rPr>
        <w:tab/>
        <w:t>§ 7 zákona o dani z hazardních her</w:t>
      </w:r>
    </w:p>
  </w:footnote>
  <w:footnote w:id="43">
    <w:p w14:paraId="0CCD1C7B" w14:textId="77777777" w:rsidR="0072007C" w:rsidRPr="00DF3642" w:rsidRDefault="0072007C" w:rsidP="00DF3642">
      <w:pPr>
        <w:pStyle w:val="Textpoznpodarou"/>
        <w:spacing w:line="240" w:lineRule="auto"/>
        <w:rPr>
          <w:rFonts w:asciiTheme="minorHAnsi" w:hAnsiTheme="minorHAnsi"/>
          <w:sz w:val="18"/>
          <w:szCs w:val="18"/>
        </w:rPr>
      </w:pPr>
      <w:r w:rsidRPr="00DF3642">
        <w:rPr>
          <w:rStyle w:val="Znakapoznpodarou"/>
          <w:rFonts w:asciiTheme="minorHAnsi" w:hAnsiTheme="minorHAnsi"/>
          <w:sz w:val="18"/>
          <w:szCs w:val="18"/>
        </w:rPr>
        <w:footnoteRef/>
      </w:r>
      <w:r w:rsidRPr="00DF3642">
        <w:rPr>
          <w:rFonts w:asciiTheme="minorHAnsi" w:hAnsiTheme="minorHAnsi"/>
          <w:sz w:val="18"/>
          <w:szCs w:val="18"/>
        </w:rPr>
        <w:t xml:space="preserve"> </w:t>
      </w:r>
      <w:r w:rsidRPr="00DF3642">
        <w:rPr>
          <w:rFonts w:asciiTheme="minorHAnsi" w:hAnsiTheme="minorHAnsi"/>
          <w:sz w:val="18"/>
          <w:szCs w:val="18"/>
        </w:rPr>
        <w:tab/>
        <w:t xml:space="preserve">SOVOVÁ, Olga; FIALA, Zdeněk. </w:t>
      </w:r>
      <w:r w:rsidRPr="00DF3642">
        <w:rPr>
          <w:rFonts w:asciiTheme="minorHAnsi" w:hAnsiTheme="minorHAnsi"/>
          <w:i/>
          <w:sz w:val="18"/>
          <w:szCs w:val="18"/>
        </w:rPr>
        <w:t>Základy finančního a daňového práva</w:t>
      </w:r>
      <w:r w:rsidRPr="00DF3642">
        <w:rPr>
          <w:rFonts w:asciiTheme="minorHAnsi" w:hAnsiTheme="minorHAnsi"/>
          <w:sz w:val="18"/>
          <w:szCs w:val="18"/>
        </w:rPr>
        <w:t>. 1. vyd. Plzeň: Aleš Čeněk, 2009, s. 30</w:t>
      </w:r>
    </w:p>
  </w:footnote>
  <w:footnote w:id="44">
    <w:p w14:paraId="33CA6457" w14:textId="77777777" w:rsidR="0072007C" w:rsidRPr="00DF3642" w:rsidRDefault="0072007C" w:rsidP="00DF3642">
      <w:pPr>
        <w:pStyle w:val="Textpoznpodarou"/>
        <w:spacing w:line="240" w:lineRule="auto"/>
        <w:rPr>
          <w:rFonts w:asciiTheme="minorHAnsi" w:hAnsiTheme="minorHAnsi"/>
          <w:sz w:val="18"/>
          <w:szCs w:val="18"/>
        </w:rPr>
      </w:pPr>
      <w:r w:rsidRPr="00DF3642">
        <w:rPr>
          <w:rStyle w:val="Znakapoznpodarou"/>
          <w:rFonts w:asciiTheme="minorHAnsi" w:hAnsiTheme="minorHAnsi"/>
          <w:sz w:val="18"/>
          <w:szCs w:val="18"/>
        </w:rPr>
        <w:footnoteRef/>
      </w:r>
      <w:r w:rsidRPr="00DF3642">
        <w:rPr>
          <w:rFonts w:asciiTheme="minorHAnsi" w:hAnsiTheme="minorHAnsi"/>
          <w:sz w:val="18"/>
          <w:szCs w:val="18"/>
        </w:rPr>
        <w:t xml:space="preserve"> </w:t>
      </w:r>
      <w:r w:rsidRPr="00DF3642">
        <w:rPr>
          <w:rFonts w:asciiTheme="minorHAnsi" w:hAnsiTheme="minorHAnsi"/>
          <w:sz w:val="18"/>
          <w:szCs w:val="18"/>
        </w:rPr>
        <w:tab/>
        <w:t>SOVOVÁ, Olga; FIALA, Zdeněk, 2009, op. cit., s. 27</w:t>
      </w:r>
    </w:p>
  </w:footnote>
  <w:footnote w:id="45">
    <w:p w14:paraId="76782648" w14:textId="77777777" w:rsidR="0072007C" w:rsidRPr="00DF3642" w:rsidRDefault="0072007C" w:rsidP="00DF3642">
      <w:pPr>
        <w:pStyle w:val="Textpoznpodarou"/>
        <w:spacing w:line="240" w:lineRule="auto"/>
        <w:rPr>
          <w:sz w:val="18"/>
          <w:szCs w:val="18"/>
        </w:rPr>
      </w:pPr>
      <w:r w:rsidRPr="00DF3642">
        <w:rPr>
          <w:rStyle w:val="Znakapoznpodarou"/>
          <w:sz w:val="18"/>
          <w:szCs w:val="18"/>
        </w:rPr>
        <w:footnoteRef/>
      </w:r>
      <w:r w:rsidRPr="00DF3642">
        <w:rPr>
          <w:sz w:val="18"/>
          <w:szCs w:val="18"/>
        </w:rPr>
        <w:t xml:space="preserve"> </w:t>
      </w:r>
      <w:r w:rsidRPr="00DF3642">
        <w:rPr>
          <w:sz w:val="18"/>
          <w:szCs w:val="18"/>
        </w:rPr>
        <w:tab/>
        <w:t xml:space="preserve">PEKOVÁ, Jitka. </w:t>
      </w:r>
      <w:r w:rsidRPr="00E1645B">
        <w:rPr>
          <w:i/>
          <w:sz w:val="18"/>
          <w:szCs w:val="18"/>
        </w:rPr>
        <w:t>Veřejné finance: teorie a praxe v ČR.</w:t>
      </w:r>
      <w:r w:rsidRPr="00DF3642">
        <w:rPr>
          <w:sz w:val="18"/>
          <w:szCs w:val="18"/>
        </w:rPr>
        <w:t xml:space="preserve"> 1. vyd. Praha: Wolters Kluwer ČR, 2011, s. 20, 21 a 382</w:t>
      </w:r>
    </w:p>
  </w:footnote>
  <w:footnote w:id="46">
    <w:p w14:paraId="7A619FB3" w14:textId="77777777" w:rsidR="0072007C" w:rsidRPr="00DF3642" w:rsidRDefault="0072007C" w:rsidP="00DF3642">
      <w:pPr>
        <w:pStyle w:val="Textpoznpodarou"/>
        <w:spacing w:line="240" w:lineRule="auto"/>
        <w:rPr>
          <w:sz w:val="18"/>
          <w:szCs w:val="18"/>
        </w:rPr>
      </w:pPr>
      <w:r w:rsidRPr="00DF3642">
        <w:rPr>
          <w:rStyle w:val="Znakapoznpodarou"/>
          <w:sz w:val="18"/>
          <w:szCs w:val="18"/>
        </w:rPr>
        <w:footnoteRef/>
      </w:r>
      <w:r w:rsidRPr="00DF3642">
        <w:rPr>
          <w:sz w:val="18"/>
          <w:szCs w:val="18"/>
        </w:rPr>
        <w:t xml:space="preserve"> </w:t>
      </w:r>
      <w:r w:rsidRPr="00DF3642">
        <w:rPr>
          <w:sz w:val="18"/>
          <w:szCs w:val="18"/>
        </w:rPr>
        <w:tab/>
        <w:t>BOHÁČ, Radim; KRASULOVÁ, Hana, 2017, op. cit., s. 4</w:t>
      </w:r>
    </w:p>
  </w:footnote>
  <w:footnote w:id="47">
    <w:p w14:paraId="0E388680" w14:textId="4871DADC" w:rsidR="0072007C" w:rsidRPr="00DF3642" w:rsidRDefault="0072007C" w:rsidP="00DF3642">
      <w:pPr>
        <w:pStyle w:val="Textpoznpodarou"/>
        <w:spacing w:line="240" w:lineRule="auto"/>
        <w:rPr>
          <w:rFonts w:asciiTheme="minorHAnsi" w:hAnsiTheme="minorHAnsi"/>
          <w:sz w:val="18"/>
          <w:szCs w:val="18"/>
        </w:rPr>
      </w:pPr>
      <w:r w:rsidRPr="00DF3642">
        <w:rPr>
          <w:rStyle w:val="Znakapoznpodarou"/>
          <w:rFonts w:asciiTheme="minorHAnsi" w:hAnsiTheme="minorHAnsi"/>
          <w:sz w:val="18"/>
          <w:szCs w:val="18"/>
        </w:rPr>
        <w:footnoteRef/>
      </w:r>
      <w:r w:rsidRPr="00DF3642">
        <w:rPr>
          <w:rFonts w:asciiTheme="minorHAnsi" w:hAnsiTheme="minorHAnsi"/>
          <w:sz w:val="18"/>
          <w:szCs w:val="18"/>
        </w:rPr>
        <w:t xml:space="preserve"> </w:t>
      </w:r>
      <w:r w:rsidRPr="00DF3642">
        <w:rPr>
          <w:rFonts w:asciiTheme="minorHAnsi" w:hAnsiTheme="minorHAnsi"/>
          <w:sz w:val="18"/>
          <w:szCs w:val="18"/>
        </w:rPr>
        <w:tab/>
        <w:t xml:space="preserve">ŠRÁMKOVÁ, Alice. </w:t>
      </w:r>
      <w:r w:rsidRPr="00DF3642">
        <w:rPr>
          <w:rFonts w:asciiTheme="minorHAnsi" w:hAnsiTheme="minorHAnsi"/>
          <w:i/>
          <w:iCs/>
          <w:sz w:val="18"/>
          <w:szCs w:val="18"/>
        </w:rPr>
        <w:t xml:space="preserve">Nová daň české daňové soustavy, aneb zpřísnění regulace hazardních her. </w:t>
      </w:r>
      <w:r w:rsidRPr="00DF3642">
        <w:rPr>
          <w:rFonts w:asciiTheme="minorHAnsi" w:hAnsiTheme="minorHAnsi"/>
          <w:sz w:val="18"/>
          <w:szCs w:val="18"/>
        </w:rPr>
        <w:t xml:space="preserve">In: </w:t>
      </w:r>
      <w:r w:rsidRPr="00DF3642">
        <w:rPr>
          <w:rFonts w:asciiTheme="minorHAnsi" w:hAnsiTheme="minorHAnsi"/>
          <w:i/>
          <w:iCs/>
          <w:sz w:val="18"/>
          <w:szCs w:val="18"/>
        </w:rPr>
        <w:t>ASPI</w:t>
      </w:r>
      <w:r w:rsidRPr="00DF3642">
        <w:rPr>
          <w:rFonts w:asciiTheme="minorHAnsi" w:hAnsiTheme="minorHAnsi"/>
          <w:sz w:val="18"/>
          <w:szCs w:val="18"/>
        </w:rPr>
        <w:t xml:space="preserve"> [právní informační systém]. Wolters Kluwer ČR [cit. 1. 6. 2019]</w:t>
      </w:r>
    </w:p>
  </w:footnote>
  <w:footnote w:id="48">
    <w:p w14:paraId="298C8257" w14:textId="77777777" w:rsidR="0072007C" w:rsidRDefault="0072007C" w:rsidP="00DF3642">
      <w:pPr>
        <w:pStyle w:val="Textpoznpodarou"/>
        <w:spacing w:line="240" w:lineRule="auto"/>
      </w:pPr>
      <w:r w:rsidRPr="00DF3642">
        <w:rPr>
          <w:rStyle w:val="Znakapoznpodarou"/>
          <w:rFonts w:asciiTheme="minorHAnsi" w:hAnsiTheme="minorHAnsi"/>
          <w:sz w:val="18"/>
          <w:szCs w:val="18"/>
        </w:rPr>
        <w:footnoteRef/>
      </w:r>
      <w:r w:rsidRPr="00DF3642">
        <w:rPr>
          <w:rFonts w:asciiTheme="minorHAnsi" w:hAnsiTheme="minorHAnsi"/>
          <w:sz w:val="18"/>
          <w:szCs w:val="18"/>
        </w:rPr>
        <w:t xml:space="preserve"> </w:t>
      </w:r>
      <w:r w:rsidRPr="00DF3642">
        <w:rPr>
          <w:rFonts w:asciiTheme="minorHAnsi" w:hAnsiTheme="minorHAnsi"/>
          <w:sz w:val="18"/>
          <w:szCs w:val="18"/>
        </w:rPr>
        <w:tab/>
        <w:t>SOVOVÁ, Olga; FIALA, Zdeněk, 2009, op. cit., s. 28</w:t>
      </w:r>
    </w:p>
  </w:footnote>
  <w:footnote w:id="49">
    <w:p w14:paraId="0E711308" w14:textId="77777777" w:rsidR="0072007C" w:rsidRPr="008E19B8" w:rsidRDefault="0072007C" w:rsidP="008E19B8">
      <w:pPr>
        <w:pStyle w:val="Textpoznpodarou"/>
        <w:spacing w:line="240" w:lineRule="auto"/>
        <w:rPr>
          <w:sz w:val="18"/>
          <w:szCs w:val="18"/>
        </w:rPr>
      </w:pPr>
      <w:r w:rsidRPr="008E19B8">
        <w:rPr>
          <w:rStyle w:val="Znakapoznpodarou"/>
          <w:sz w:val="18"/>
          <w:szCs w:val="18"/>
        </w:rPr>
        <w:footnoteRef/>
      </w:r>
      <w:r w:rsidRPr="008E19B8">
        <w:rPr>
          <w:sz w:val="18"/>
          <w:szCs w:val="18"/>
        </w:rPr>
        <w:t xml:space="preserve"> </w:t>
      </w:r>
      <w:r w:rsidRPr="008E19B8">
        <w:rPr>
          <w:sz w:val="18"/>
          <w:szCs w:val="18"/>
        </w:rPr>
        <w:tab/>
        <w:t xml:space="preserve">ALEXA, Karel. </w:t>
      </w:r>
      <w:r w:rsidRPr="008E19B8">
        <w:rPr>
          <w:i/>
          <w:sz w:val="18"/>
          <w:szCs w:val="18"/>
        </w:rPr>
        <w:t>Lhůty při správě daní.</w:t>
      </w:r>
      <w:r w:rsidRPr="008E19B8">
        <w:rPr>
          <w:sz w:val="18"/>
          <w:szCs w:val="18"/>
        </w:rPr>
        <w:t xml:space="preserve"> 1. vyd. Plzeň: Aleš Čeněk, 2014, s. 16</w:t>
      </w:r>
    </w:p>
  </w:footnote>
  <w:footnote w:id="50">
    <w:p w14:paraId="22F3E210" w14:textId="77777777" w:rsidR="0072007C" w:rsidRPr="008E19B8" w:rsidRDefault="0072007C" w:rsidP="008E19B8">
      <w:pPr>
        <w:pStyle w:val="Textpoznpodarou"/>
        <w:spacing w:line="240" w:lineRule="auto"/>
        <w:rPr>
          <w:rFonts w:asciiTheme="minorHAnsi" w:hAnsiTheme="minorHAnsi"/>
          <w:sz w:val="18"/>
          <w:szCs w:val="18"/>
        </w:rPr>
      </w:pPr>
      <w:r w:rsidRPr="008E19B8">
        <w:rPr>
          <w:rStyle w:val="Znakapoznpodarou"/>
          <w:rFonts w:asciiTheme="minorHAnsi" w:hAnsiTheme="minorHAnsi"/>
          <w:sz w:val="18"/>
          <w:szCs w:val="18"/>
        </w:rPr>
        <w:footnoteRef/>
      </w:r>
      <w:r w:rsidRPr="008E19B8">
        <w:rPr>
          <w:rFonts w:asciiTheme="minorHAnsi" w:hAnsiTheme="minorHAnsi"/>
          <w:sz w:val="18"/>
          <w:szCs w:val="18"/>
        </w:rPr>
        <w:t xml:space="preserve"> </w:t>
      </w:r>
      <w:r w:rsidRPr="008E19B8">
        <w:rPr>
          <w:rFonts w:asciiTheme="minorHAnsi" w:hAnsiTheme="minorHAnsi"/>
          <w:sz w:val="18"/>
          <w:szCs w:val="18"/>
        </w:rPr>
        <w:tab/>
      </w:r>
      <w:bookmarkStart w:id="15" w:name="_Hlk23390971"/>
      <w:r w:rsidRPr="008E19B8">
        <w:rPr>
          <w:rFonts w:asciiTheme="minorHAnsi" w:hAnsiTheme="minorHAnsi"/>
          <w:sz w:val="18"/>
          <w:szCs w:val="18"/>
        </w:rPr>
        <w:t>RADVAN</w:t>
      </w:r>
      <w:bookmarkEnd w:id="15"/>
      <w:r w:rsidRPr="008E19B8">
        <w:rPr>
          <w:rFonts w:asciiTheme="minorHAnsi" w:hAnsiTheme="minorHAnsi"/>
          <w:sz w:val="18"/>
          <w:szCs w:val="18"/>
        </w:rPr>
        <w:t xml:space="preserve">, Michal. </w:t>
      </w:r>
      <w:r w:rsidRPr="008E19B8">
        <w:rPr>
          <w:rFonts w:asciiTheme="minorHAnsi" w:hAnsiTheme="minorHAnsi"/>
          <w:i/>
          <w:sz w:val="18"/>
          <w:szCs w:val="18"/>
        </w:rPr>
        <w:t>Vlastní daňové příjmy obcí.</w:t>
      </w:r>
      <w:r w:rsidRPr="008E19B8">
        <w:rPr>
          <w:rFonts w:asciiTheme="minorHAnsi" w:hAnsiTheme="minorHAnsi"/>
          <w:sz w:val="18"/>
          <w:szCs w:val="18"/>
        </w:rPr>
        <w:t xml:space="preserve"> 1. vyd. Brno: Masarykova univerzita, 2011, s. 10</w:t>
      </w:r>
    </w:p>
  </w:footnote>
  <w:footnote w:id="51">
    <w:p w14:paraId="01345695" w14:textId="77777777" w:rsidR="0072007C" w:rsidRPr="008E19B8" w:rsidRDefault="0072007C" w:rsidP="008E19B8">
      <w:pPr>
        <w:pStyle w:val="Textpoznpodarou"/>
        <w:spacing w:line="240" w:lineRule="auto"/>
        <w:rPr>
          <w:rFonts w:asciiTheme="minorHAnsi" w:hAnsiTheme="minorHAnsi"/>
          <w:sz w:val="18"/>
          <w:szCs w:val="18"/>
        </w:rPr>
      </w:pPr>
      <w:r w:rsidRPr="008E19B8">
        <w:rPr>
          <w:rStyle w:val="Znakapoznpodarou"/>
          <w:rFonts w:asciiTheme="minorHAnsi" w:hAnsiTheme="minorHAnsi"/>
          <w:sz w:val="18"/>
          <w:szCs w:val="18"/>
        </w:rPr>
        <w:footnoteRef/>
      </w:r>
      <w:r w:rsidRPr="008E19B8">
        <w:rPr>
          <w:rFonts w:asciiTheme="minorHAnsi" w:hAnsiTheme="minorHAnsi"/>
          <w:sz w:val="18"/>
          <w:szCs w:val="18"/>
        </w:rPr>
        <w:t xml:space="preserve"> </w:t>
      </w:r>
      <w:r w:rsidRPr="008E19B8">
        <w:rPr>
          <w:rFonts w:asciiTheme="minorHAnsi" w:hAnsiTheme="minorHAnsi"/>
          <w:sz w:val="18"/>
          <w:szCs w:val="18"/>
        </w:rPr>
        <w:tab/>
        <w:t>KARFÍKOVÁ a kol., 2018, op. cit., s. 158</w:t>
      </w:r>
    </w:p>
  </w:footnote>
  <w:footnote w:id="52">
    <w:p w14:paraId="4FEA52A4" w14:textId="77777777" w:rsidR="0072007C" w:rsidRPr="008E19B8" w:rsidRDefault="0072007C" w:rsidP="008E19B8">
      <w:pPr>
        <w:pStyle w:val="Textpoznpodarou"/>
        <w:spacing w:line="240" w:lineRule="auto"/>
        <w:rPr>
          <w:rFonts w:asciiTheme="minorHAnsi" w:hAnsiTheme="minorHAnsi"/>
          <w:sz w:val="18"/>
          <w:szCs w:val="18"/>
        </w:rPr>
      </w:pPr>
      <w:r w:rsidRPr="008E19B8">
        <w:rPr>
          <w:rStyle w:val="Znakapoznpodarou"/>
          <w:rFonts w:asciiTheme="minorHAnsi" w:hAnsiTheme="minorHAnsi"/>
          <w:sz w:val="18"/>
          <w:szCs w:val="18"/>
        </w:rPr>
        <w:footnoteRef/>
      </w:r>
      <w:r w:rsidRPr="008E19B8">
        <w:rPr>
          <w:rFonts w:asciiTheme="minorHAnsi" w:hAnsiTheme="minorHAnsi"/>
          <w:sz w:val="18"/>
          <w:szCs w:val="18"/>
        </w:rPr>
        <w:t xml:space="preserve"> </w:t>
      </w:r>
      <w:r w:rsidRPr="008E19B8">
        <w:rPr>
          <w:rFonts w:asciiTheme="minorHAnsi" w:hAnsiTheme="minorHAnsi"/>
          <w:sz w:val="18"/>
          <w:szCs w:val="18"/>
        </w:rPr>
        <w:tab/>
        <w:t>Tamtéž, s. 158 a s. 161.</w:t>
      </w:r>
    </w:p>
  </w:footnote>
  <w:footnote w:id="53">
    <w:p w14:paraId="6B71467A" w14:textId="77777777" w:rsidR="0072007C" w:rsidRPr="008E19B8" w:rsidRDefault="0072007C" w:rsidP="008E19B8">
      <w:pPr>
        <w:pStyle w:val="Textpoznpodarou"/>
        <w:spacing w:line="240" w:lineRule="auto"/>
        <w:rPr>
          <w:rFonts w:asciiTheme="minorHAnsi" w:hAnsiTheme="minorHAnsi"/>
          <w:sz w:val="18"/>
          <w:szCs w:val="18"/>
        </w:rPr>
      </w:pPr>
      <w:r w:rsidRPr="008E19B8">
        <w:rPr>
          <w:rStyle w:val="Znakapoznpodarou"/>
          <w:rFonts w:asciiTheme="minorHAnsi" w:hAnsiTheme="minorHAnsi"/>
          <w:sz w:val="18"/>
          <w:szCs w:val="18"/>
        </w:rPr>
        <w:footnoteRef/>
      </w:r>
      <w:r w:rsidRPr="008E19B8">
        <w:rPr>
          <w:rFonts w:asciiTheme="minorHAnsi" w:hAnsiTheme="minorHAnsi"/>
          <w:sz w:val="18"/>
          <w:szCs w:val="18"/>
        </w:rPr>
        <w:t xml:space="preserve"> </w:t>
      </w:r>
      <w:r w:rsidRPr="008E19B8">
        <w:rPr>
          <w:rFonts w:asciiTheme="minorHAnsi" w:hAnsiTheme="minorHAnsi"/>
          <w:sz w:val="18"/>
          <w:szCs w:val="18"/>
        </w:rPr>
        <w:tab/>
        <w:t>Tamtéž, s. 158.</w:t>
      </w:r>
    </w:p>
  </w:footnote>
  <w:footnote w:id="54">
    <w:p w14:paraId="73A9A702" w14:textId="77777777" w:rsidR="0072007C" w:rsidRPr="008E19B8" w:rsidRDefault="0072007C" w:rsidP="008E19B8">
      <w:pPr>
        <w:pStyle w:val="Textpoznpodarou"/>
        <w:spacing w:line="240" w:lineRule="auto"/>
        <w:rPr>
          <w:rFonts w:asciiTheme="minorHAnsi" w:hAnsiTheme="minorHAnsi"/>
          <w:sz w:val="18"/>
          <w:szCs w:val="18"/>
        </w:rPr>
      </w:pPr>
      <w:r w:rsidRPr="008E19B8">
        <w:rPr>
          <w:rStyle w:val="Znakapoznpodarou"/>
          <w:rFonts w:asciiTheme="minorHAnsi" w:hAnsiTheme="minorHAnsi"/>
          <w:sz w:val="18"/>
          <w:szCs w:val="18"/>
        </w:rPr>
        <w:footnoteRef/>
      </w:r>
      <w:r w:rsidRPr="008E19B8">
        <w:rPr>
          <w:rFonts w:asciiTheme="minorHAnsi" w:hAnsiTheme="minorHAnsi"/>
          <w:sz w:val="18"/>
          <w:szCs w:val="18"/>
        </w:rPr>
        <w:t xml:space="preserve"> </w:t>
      </w:r>
      <w:r w:rsidRPr="008E19B8">
        <w:rPr>
          <w:rFonts w:asciiTheme="minorHAnsi" w:hAnsiTheme="minorHAnsi"/>
          <w:sz w:val="18"/>
          <w:szCs w:val="18"/>
        </w:rPr>
        <w:tab/>
      </w:r>
      <w:bookmarkStart w:id="16" w:name="_Hlk23390998"/>
      <w:r w:rsidRPr="008E19B8">
        <w:rPr>
          <w:rFonts w:asciiTheme="minorHAnsi" w:hAnsiTheme="minorHAnsi"/>
          <w:sz w:val="18"/>
          <w:szCs w:val="18"/>
        </w:rPr>
        <w:t>BOHÁČ, Radim, 2013, op. cit., s. 78</w:t>
      </w:r>
      <w:bookmarkEnd w:id="16"/>
    </w:p>
  </w:footnote>
  <w:footnote w:id="55">
    <w:p w14:paraId="4E78FF1F" w14:textId="77777777" w:rsidR="0072007C" w:rsidRPr="00A13363" w:rsidRDefault="0072007C" w:rsidP="008E19B8">
      <w:pPr>
        <w:pStyle w:val="Textpoznpodarou"/>
        <w:spacing w:line="240" w:lineRule="auto"/>
        <w:rPr>
          <w:sz w:val="18"/>
          <w:szCs w:val="18"/>
        </w:rPr>
      </w:pPr>
      <w:r w:rsidRPr="008E19B8">
        <w:rPr>
          <w:rStyle w:val="Znakapoznpodarou"/>
          <w:sz w:val="18"/>
          <w:szCs w:val="18"/>
        </w:rPr>
        <w:footnoteRef/>
      </w:r>
      <w:r w:rsidRPr="008E19B8">
        <w:rPr>
          <w:sz w:val="18"/>
          <w:szCs w:val="18"/>
        </w:rPr>
        <w:t xml:space="preserve"> </w:t>
      </w:r>
      <w:r w:rsidRPr="008E19B8">
        <w:rPr>
          <w:sz w:val="18"/>
          <w:szCs w:val="18"/>
        </w:rPr>
        <w:tab/>
      </w:r>
      <w:r w:rsidRPr="008E19B8">
        <w:rPr>
          <w:rFonts w:asciiTheme="minorHAnsi" w:hAnsiTheme="minorHAnsi"/>
          <w:sz w:val="18"/>
          <w:szCs w:val="18"/>
        </w:rPr>
        <w:t>KARFÍKOVÁ a kol, 2018, op. cit., s. 158</w:t>
      </w:r>
    </w:p>
  </w:footnote>
  <w:footnote w:id="56">
    <w:p w14:paraId="12E02ACC" w14:textId="77777777" w:rsidR="0072007C" w:rsidRPr="00983719" w:rsidRDefault="0072007C" w:rsidP="00983719">
      <w:pPr>
        <w:pStyle w:val="Textpoznpodarou"/>
        <w:spacing w:line="240" w:lineRule="auto"/>
        <w:rPr>
          <w:rFonts w:ascii="Times New Roman" w:hAnsi="Times New Roman"/>
          <w:sz w:val="18"/>
          <w:szCs w:val="18"/>
        </w:rPr>
      </w:pPr>
      <w:r w:rsidRPr="00A13363">
        <w:rPr>
          <w:rStyle w:val="Znakapoznpodarou"/>
          <w:rFonts w:asciiTheme="minorHAnsi" w:hAnsiTheme="minorHAnsi"/>
          <w:sz w:val="18"/>
          <w:szCs w:val="18"/>
        </w:rPr>
        <w:footnoteRef/>
      </w:r>
      <w:r w:rsidRPr="00A13363">
        <w:rPr>
          <w:rFonts w:asciiTheme="minorHAnsi" w:hAnsiTheme="minorHAnsi"/>
          <w:sz w:val="18"/>
          <w:szCs w:val="18"/>
        </w:rPr>
        <w:t xml:space="preserve"> </w:t>
      </w:r>
      <w:r w:rsidRPr="00A13363">
        <w:rPr>
          <w:rFonts w:asciiTheme="minorHAnsi" w:hAnsiTheme="minorHAnsi"/>
          <w:sz w:val="18"/>
          <w:szCs w:val="18"/>
        </w:rPr>
        <w:tab/>
      </w:r>
      <w:r w:rsidRPr="00983719">
        <w:rPr>
          <w:rFonts w:asciiTheme="minorHAnsi" w:hAnsiTheme="minorHAnsi"/>
          <w:sz w:val="18"/>
          <w:szCs w:val="18"/>
        </w:rPr>
        <w:t>RADVAN a kol, 2008, op. cit., s. 33</w:t>
      </w:r>
    </w:p>
  </w:footnote>
  <w:footnote w:id="57">
    <w:p w14:paraId="3CD6821E" w14:textId="77777777" w:rsidR="0072007C" w:rsidRPr="00983719" w:rsidRDefault="0072007C" w:rsidP="00983719">
      <w:pPr>
        <w:pStyle w:val="Textpoznpodarou"/>
        <w:spacing w:line="240" w:lineRule="auto"/>
        <w:rPr>
          <w:sz w:val="18"/>
          <w:szCs w:val="18"/>
        </w:rPr>
      </w:pPr>
      <w:r w:rsidRPr="00983719">
        <w:rPr>
          <w:rStyle w:val="Znakapoznpodarou"/>
          <w:sz w:val="18"/>
          <w:szCs w:val="18"/>
        </w:rPr>
        <w:footnoteRef/>
      </w:r>
      <w:r w:rsidRPr="00983719">
        <w:rPr>
          <w:sz w:val="18"/>
          <w:szCs w:val="18"/>
        </w:rPr>
        <w:t xml:space="preserve"> </w:t>
      </w:r>
      <w:r w:rsidRPr="00983719">
        <w:rPr>
          <w:sz w:val="18"/>
          <w:szCs w:val="18"/>
        </w:rPr>
        <w:tab/>
        <w:t>BOHÁČ, Radim, 2013, op. cit., s. 73-76</w:t>
      </w:r>
    </w:p>
  </w:footnote>
  <w:footnote w:id="58">
    <w:p w14:paraId="0C4A809C" w14:textId="381EF4D7" w:rsidR="0072007C" w:rsidRPr="00983719" w:rsidRDefault="0072007C" w:rsidP="00983719">
      <w:pPr>
        <w:pStyle w:val="Textpoznpodarou"/>
        <w:spacing w:line="240" w:lineRule="auto"/>
        <w:rPr>
          <w:rFonts w:asciiTheme="minorHAnsi" w:hAnsiTheme="minorHAnsi"/>
          <w:sz w:val="18"/>
          <w:szCs w:val="18"/>
        </w:rPr>
      </w:pPr>
      <w:r w:rsidRPr="00983719">
        <w:rPr>
          <w:rStyle w:val="Znakapoznpodarou"/>
          <w:rFonts w:asciiTheme="minorHAnsi" w:hAnsiTheme="minorHAnsi"/>
          <w:sz w:val="18"/>
          <w:szCs w:val="18"/>
        </w:rPr>
        <w:footnoteRef/>
      </w:r>
      <w:r w:rsidRPr="00983719">
        <w:rPr>
          <w:rFonts w:asciiTheme="minorHAnsi" w:hAnsiTheme="minorHAnsi"/>
          <w:sz w:val="18"/>
          <w:szCs w:val="18"/>
        </w:rPr>
        <w:t xml:space="preserve"> </w:t>
      </w:r>
      <w:r w:rsidRPr="00983719">
        <w:rPr>
          <w:rFonts w:asciiTheme="minorHAnsi" w:hAnsiTheme="minorHAnsi"/>
          <w:sz w:val="18"/>
          <w:szCs w:val="18"/>
        </w:rPr>
        <w:tab/>
      </w:r>
      <w:r w:rsidRPr="00983719">
        <w:rPr>
          <w:rFonts w:asciiTheme="minorHAnsi" w:hAnsiTheme="minorHAnsi"/>
          <w:color w:val="000000"/>
          <w:sz w:val="18"/>
          <w:szCs w:val="18"/>
        </w:rPr>
        <w:t xml:space="preserve">Důvodová zpráva k zákonu č. 187/2016 Sb. o dani z hazardních her. </w:t>
      </w:r>
      <w:r w:rsidRPr="00983719">
        <w:rPr>
          <w:rFonts w:asciiTheme="minorHAnsi" w:hAnsiTheme="minorHAnsi"/>
          <w:sz w:val="18"/>
          <w:szCs w:val="18"/>
        </w:rPr>
        <w:t xml:space="preserve">In: </w:t>
      </w:r>
      <w:r w:rsidRPr="00983719">
        <w:rPr>
          <w:rFonts w:asciiTheme="minorHAnsi" w:hAnsiTheme="minorHAnsi"/>
          <w:i/>
          <w:iCs/>
          <w:sz w:val="18"/>
          <w:szCs w:val="18"/>
        </w:rPr>
        <w:t>ASPI</w:t>
      </w:r>
      <w:r w:rsidRPr="00983719">
        <w:rPr>
          <w:rFonts w:asciiTheme="minorHAnsi" w:hAnsiTheme="minorHAnsi"/>
          <w:sz w:val="18"/>
          <w:szCs w:val="18"/>
        </w:rPr>
        <w:t xml:space="preserve"> [právní informační systém]. Wolters Kluwer ČR [cit. 2. 3. 2019]</w:t>
      </w:r>
    </w:p>
  </w:footnote>
  <w:footnote w:id="59">
    <w:p w14:paraId="21348DA2" w14:textId="77777777" w:rsidR="0072007C" w:rsidRPr="00983719" w:rsidRDefault="0072007C" w:rsidP="00983719">
      <w:pPr>
        <w:pStyle w:val="Textpoznpodarou"/>
        <w:spacing w:line="240" w:lineRule="auto"/>
        <w:rPr>
          <w:rFonts w:asciiTheme="minorHAnsi" w:hAnsiTheme="minorHAnsi"/>
          <w:sz w:val="18"/>
          <w:szCs w:val="18"/>
        </w:rPr>
      </w:pPr>
      <w:r w:rsidRPr="00983719">
        <w:rPr>
          <w:rStyle w:val="Znakapoznpodarou"/>
          <w:rFonts w:asciiTheme="minorHAnsi" w:hAnsiTheme="minorHAnsi"/>
          <w:sz w:val="18"/>
          <w:szCs w:val="18"/>
        </w:rPr>
        <w:footnoteRef/>
      </w:r>
      <w:r w:rsidRPr="00983719">
        <w:rPr>
          <w:rFonts w:asciiTheme="minorHAnsi" w:hAnsiTheme="minorHAnsi"/>
          <w:sz w:val="18"/>
          <w:szCs w:val="18"/>
        </w:rPr>
        <w:t xml:space="preserve"> </w:t>
      </w:r>
      <w:r w:rsidRPr="00983719">
        <w:rPr>
          <w:rFonts w:asciiTheme="minorHAnsi" w:hAnsiTheme="minorHAnsi"/>
          <w:sz w:val="18"/>
          <w:szCs w:val="18"/>
        </w:rPr>
        <w:tab/>
        <w:t>RADVAN a kol., 2008, op. cit., s. 33</w:t>
      </w:r>
    </w:p>
  </w:footnote>
  <w:footnote w:id="60">
    <w:p w14:paraId="782A32BA" w14:textId="639C1980" w:rsidR="0072007C" w:rsidRPr="00983719" w:rsidRDefault="0072007C" w:rsidP="00983719">
      <w:pPr>
        <w:pStyle w:val="Textpoznpodarou"/>
        <w:spacing w:line="240" w:lineRule="auto"/>
        <w:rPr>
          <w:rFonts w:asciiTheme="minorHAnsi" w:hAnsiTheme="minorHAnsi"/>
          <w:sz w:val="18"/>
          <w:szCs w:val="18"/>
        </w:rPr>
      </w:pPr>
      <w:r w:rsidRPr="00983719">
        <w:rPr>
          <w:rStyle w:val="Znakapoznpodarou"/>
          <w:rFonts w:asciiTheme="minorHAnsi" w:hAnsiTheme="minorHAnsi"/>
          <w:sz w:val="18"/>
          <w:szCs w:val="18"/>
        </w:rPr>
        <w:footnoteRef/>
      </w:r>
      <w:r w:rsidRPr="00983719">
        <w:rPr>
          <w:rFonts w:asciiTheme="minorHAnsi" w:hAnsiTheme="minorHAnsi"/>
          <w:sz w:val="18"/>
          <w:szCs w:val="18"/>
        </w:rPr>
        <w:t xml:space="preserve"> </w:t>
      </w:r>
      <w:r w:rsidRPr="00983719">
        <w:rPr>
          <w:rFonts w:asciiTheme="minorHAnsi" w:hAnsiTheme="minorHAnsi"/>
          <w:sz w:val="18"/>
          <w:szCs w:val="18"/>
        </w:rPr>
        <w:tab/>
      </w:r>
      <w:r w:rsidRPr="00983719">
        <w:rPr>
          <w:rFonts w:asciiTheme="minorHAnsi" w:hAnsiTheme="minorHAnsi"/>
          <w:color w:val="000000"/>
          <w:sz w:val="18"/>
          <w:szCs w:val="18"/>
        </w:rPr>
        <w:t xml:space="preserve">Důvodová zpráva k zákonu č. 187/2016 Sb. o dani z hazardních her. </w:t>
      </w:r>
      <w:r w:rsidRPr="00983719">
        <w:rPr>
          <w:rFonts w:asciiTheme="minorHAnsi" w:hAnsiTheme="minorHAnsi"/>
          <w:sz w:val="18"/>
          <w:szCs w:val="18"/>
        </w:rPr>
        <w:t xml:space="preserve">In: </w:t>
      </w:r>
      <w:r w:rsidRPr="00983719">
        <w:rPr>
          <w:rFonts w:asciiTheme="minorHAnsi" w:hAnsiTheme="minorHAnsi"/>
          <w:i/>
          <w:iCs/>
          <w:sz w:val="18"/>
          <w:szCs w:val="18"/>
        </w:rPr>
        <w:t>ASPI</w:t>
      </w:r>
      <w:r w:rsidRPr="00983719">
        <w:rPr>
          <w:rFonts w:asciiTheme="minorHAnsi" w:hAnsiTheme="minorHAnsi"/>
          <w:sz w:val="18"/>
          <w:szCs w:val="18"/>
        </w:rPr>
        <w:t xml:space="preserve"> [právní informační systém]. Wolters Kluwer ČR [cit. 2. 3. 2019]</w:t>
      </w:r>
    </w:p>
  </w:footnote>
  <w:footnote w:id="61">
    <w:p w14:paraId="05E8F03A" w14:textId="31CB5295" w:rsidR="0072007C" w:rsidRPr="00983719" w:rsidRDefault="0072007C" w:rsidP="00983719">
      <w:pPr>
        <w:pStyle w:val="Textpoznpodarou"/>
        <w:spacing w:line="240" w:lineRule="auto"/>
        <w:rPr>
          <w:rFonts w:asciiTheme="minorHAnsi" w:hAnsiTheme="minorHAnsi"/>
          <w:sz w:val="18"/>
          <w:szCs w:val="18"/>
        </w:rPr>
      </w:pPr>
      <w:r w:rsidRPr="00983719">
        <w:rPr>
          <w:rStyle w:val="Znakapoznpodarou"/>
          <w:rFonts w:asciiTheme="minorHAnsi" w:hAnsiTheme="minorHAnsi"/>
          <w:sz w:val="18"/>
          <w:szCs w:val="18"/>
        </w:rPr>
        <w:footnoteRef/>
      </w:r>
      <w:r w:rsidRPr="00983719">
        <w:rPr>
          <w:rFonts w:asciiTheme="minorHAnsi" w:hAnsiTheme="minorHAnsi"/>
          <w:sz w:val="18"/>
          <w:szCs w:val="18"/>
        </w:rPr>
        <w:t xml:space="preserve"> </w:t>
      </w:r>
      <w:bookmarkStart w:id="18" w:name="_Hlk14259313"/>
      <w:r w:rsidRPr="00983719">
        <w:rPr>
          <w:rFonts w:asciiTheme="minorHAnsi" w:hAnsiTheme="minorHAnsi"/>
          <w:sz w:val="18"/>
          <w:szCs w:val="18"/>
        </w:rPr>
        <w:tab/>
      </w:r>
      <w:bookmarkStart w:id="19" w:name="_Hlk23411238"/>
      <w:r w:rsidRPr="00983719">
        <w:rPr>
          <w:rFonts w:asciiTheme="minorHAnsi" w:hAnsiTheme="minorHAnsi"/>
          <w:sz w:val="18"/>
          <w:szCs w:val="18"/>
        </w:rPr>
        <w:t xml:space="preserve">BAKEŠ, Milan a kol. </w:t>
      </w:r>
      <w:r w:rsidRPr="00983719">
        <w:rPr>
          <w:rFonts w:asciiTheme="minorHAnsi" w:hAnsiTheme="minorHAnsi"/>
          <w:i/>
          <w:iCs/>
          <w:sz w:val="18"/>
          <w:szCs w:val="18"/>
        </w:rPr>
        <w:t>Finanční právo</w:t>
      </w:r>
      <w:r w:rsidRPr="00983719">
        <w:rPr>
          <w:rFonts w:asciiTheme="minorHAnsi" w:hAnsiTheme="minorHAnsi"/>
          <w:sz w:val="18"/>
          <w:szCs w:val="18"/>
        </w:rPr>
        <w:t xml:space="preserve">. 6. upravené vyd. Praha: C. H. Beck, 2012, </w:t>
      </w:r>
      <w:bookmarkEnd w:id="18"/>
      <w:r w:rsidRPr="00983719">
        <w:rPr>
          <w:rFonts w:asciiTheme="minorHAnsi" w:hAnsiTheme="minorHAnsi"/>
          <w:sz w:val="18"/>
          <w:szCs w:val="18"/>
        </w:rPr>
        <w:t>s. 157</w:t>
      </w:r>
      <w:bookmarkEnd w:id="19"/>
    </w:p>
  </w:footnote>
  <w:footnote w:id="62">
    <w:p w14:paraId="54548EDA" w14:textId="77777777" w:rsidR="0072007C" w:rsidRPr="00042369" w:rsidRDefault="0072007C" w:rsidP="00024CBA">
      <w:pPr>
        <w:pStyle w:val="Textpoznpodarou"/>
        <w:spacing w:line="240" w:lineRule="auto"/>
        <w:rPr>
          <w:rFonts w:asciiTheme="minorHAnsi" w:hAnsiTheme="minorHAnsi"/>
          <w:sz w:val="18"/>
          <w:szCs w:val="18"/>
        </w:rPr>
      </w:pPr>
      <w:r w:rsidRPr="00042369">
        <w:rPr>
          <w:rStyle w:val="Znakapoznpodarou"/>
          <w:rFonts w:asciiTheme="minorHAnsi" w:hAnsiTheme="minorHAnsi"/>
          <w:sz w:val="18"/>
          <w:szCs w:val="18"/>
        </w:rPr>
        <w:footnoteRef/>
      </w:r>
      <w:r w:rsidRPr="00042369">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sz w:val="18"/>
          <w:szCs w:val="18"/>
        </w:rPr>
        <w:t>KRAMÁŘ</w:t>
      </w:r>
      <w:r>
        <w:rPr>
          <w:rFonts w:asciiTheme="minorHAnsi" w:hAnsiTheme="minorHAnsi"/>
          <w:sz w:val="18"/>
          <w:szCs w:val="18"/>
        </w:rPr>
        <w:t xml:space="preserve"> a kol., 2006, op. cit., s. 47</w:t>
      </w:r>
    </w:p>
  </w:footnote>
  <w:footnote w:id="63">
    <w:p w14:paraId="4AF91A5C" w14:textId="77777777" w:rsidR="0072007C" w:rsidRPr="00042369" w:rsidRDefault="0072007C" w:rsidP="00024CBA">
      <w:pPr>
        <w:pStyle w:val="Textpoznpodarou"/>
        <w:spacing w:line="240" w:lineRule="auto"/>
        <w:rPr>
          <w:rFonts w:asciiTheme="minorHAnsi" w:hAnsiTheme="minorHAnsi"/>
          <w:sz w:val="18"/>
          <w:szCs w:val="18"/>
        </w:rPr>
      </w:pPr>
      <w:r w:rsidRPr="00042369">
        <w:rPr>
          <w:rStyle w:val="Znakapoznpodarou"/>
          <w:rFonts w:asciiTheme="minorHAnsi" w:hAnsiTheme="minorHAnsi"/>
          <w:sz w:val="18"/>
          <w:szCs w:val="18"/>
        </w:rPr>
        <w:footnoteRef/>
      </w:r>
      <w:r w:rsidRPr="00042369">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sz w:val="18"/>
          <w:szCs w:val="18"/>
        </w:rPr>
        <w:t xml:space="preserve">§ 41 </w:t>
      </w:r>
      <w:r>
        <w:rPr>
          <w:rFonts w:asciiTheme="minorHAnsi" w:hAnsiTheme="minorHAnsi"/>
          <w:sz w:val="18"/>
          <w:szCs w:val="18"/>
        </w:rPr>
        <w:t>loterního zákona</w:t>
      </w:r>
    </w:p>
  </w:footnote>
  <w:footnote w:id="64">
    <w:p w14:paraId="51751B1B" w14:textId="77777777" w:rsidR="0072007C" w:rsidRPr="00E55656" w:rsidRDefault="0072007C" w:rsidP="00E55656">
      <w:pPr>
        <w:pStyle w:val="Textpoznpodarou"/>
        <w:spacing w:line="240" w:lineRule="auto"/>
        <w:rPr>
          <w:rFonts w:asciiTheme="minorHAnsi" w:hAnsiTheme="minorHAnsi"/>
          <w:sz w:val="18"/>
          <w:szCs w:val="18"/>
        </w:rPr>
      </w:pPr>
      <w:r w:rsidRPr="00042369">
        <w:rPr>
          <w:rStyle w:val="Znakapoznpodarou"/>
          <w:rFonts w:asciiTheme="minorHAnsi" w:hAnsiTheme="minorHAnsi"/>
          <w:sz w:val="18"/>
          <w:szCs w:val="18"/>
        </w:rPr>
        <w:footnoteRef/>
      </w:r>
      <w:r w:rsidRPr="00042369">
        <w:rPr>
          <w:rFonts w:asciiTheme="minorHAnsi" w:hAnsiTheme="minorHAnsi"/>
          <w:sz w:val="18"/>
          <w:szCs w:val="18"/>
        </w:rPr>
        <w:t xml:space="preserve"> </w:t>
      </w:r>
      <w:bookmarkStart w:id="20" w:name="_Hlk22117641"/>
      <w:r>
        <w:rPr>
          <w:rFonts w:asciiTheme="minorHAnsi" w:hAnsiTheme="minorHAnsi"/>
          <w:sz w:val="18"/>
          <w:szCs w:val="18"/>
        </w:rPr>
        <w:tab/>
      </w:r>
      <w:r w:rsidRPr="00E55656">
        <w:rPr>
          <w:rFonts w:asciiTheme="minorHAnsi" w:hAnsiTheme="minorHAnsi"/>
          <w:sz w:val="18"/>
          <w:szCs w:val="18"/>
        </w:rPr>
        <w:t>BOHÁČ, KRASULOVÁ, 2017, op. cit., s. 19-20</w:t>
      </w:r>
      <w:bookmarkEnd w:id="20"/>
    </w:p>
  </w:footnote>
  <w:footnote w:id="65">
    <w:p w14:paraId="22DE3A39" w14:textId="553BB9B2" w:rsidR="0072007C" w:rsidRPr="00E55656" w:rsidRDefault="0072007C" w:rsidP="00E55656">
      <w:pPr>
        <w:pStyle w:val="Textpoznpodarou"/>
        <w:spacing w:line="240" w:lineRule="auto"/>
        <w:rPr>
          <w:sz w:val="18"/>
          <w:szCs w:val="18"/>
        </w:rPr>
      </w:pPr>
      <w:r w:rsidRPr="00E55656">
        <w:rPr>
          <w:rStyle w:val="Znakapoznpodarou"/>
          <w:sz w:val="18"/>
          <w:szCs w:val="18"/>
        </w:rPr>
        <w:footnoteRef/>
      </w:r>
      <w:r w:rsidRPr="00E55656">
        <w:rPr>
          <w:sz w:val="18"/>
          <w:szCs w:val="18"/>
        </w:rPr>
        <w:t xml:space="preserve"> </w:t>
      </w:r>
      <w:r w:rsidRPr="00E55656">
        <w:rPr>
          <w:sz w:val="18"/>
          <w:szCs w:val="18"/>
        </w:rPr>
        <w:tab/>
        <w:t xml:space="preserve">Stanovisko Komise EU zveřejněno nebylo. Dle tisku se ale jednalo o velmi kritické stanovisko viz k tomu ŠUCHMAN, Jaroslav. </w:t>
      </w:r>
      <w:r w:rsidRPr="00E55656">
        <w:rPr>
          <w:i/>
          <w:iCs/>
          <w:sz w:val="18"/>
          <w:szCs w:val="18"/>
        </w:rPr>
        <w:t>Přeshraniční poskytování služeb online hraní – již brzy svobodně(ji)?</w:t>
      </w:r>
      <w:r>
        <w:rPr>
          <w:sz w:val="18"/>
          <w:szCs w:val="18"/>
        </w:rPr>
        <w:t xml:space="preserve">  EPRAVO.CZ [ONLINE], publikováno 24. 7. 2013 [cit. 2. 10. 2019]. ISSN 1213-189X. </w:t>
      </w:r>
      <w:r w:rsidRPr="0065401C">
        <w:rPr>
          <w:sz w:val="18"/>
          <w:szCs w:val="18"/>
        </w:rPr>
        <w:t xml:space="preserve">Dostupné z: </w:t>
      </w:r>
      <w:hyperlink r:id="rId3" w:history="1">
        <w:r w:rsidRPr="00E358BC">
          <w:rPr>
            <w:rStyle w:val="Hypertextovodkaz"/>
            <w:sz w:val="18"/>
            <w:szCs w:val="18"/>
          </w:rPr>
          <w:t>https://www.epravo.cz/top/clanky/preshranicni-poskytovani-sluzeb-online-hrani-jiz-brzy-svobodneji-91738.html</w:t>
        </w:r>
      </w:hyperlink>
      <w:r>
        <w:rPr>
          <w:sz w:val="18"/>
          <w:szCs w:val="18"/>
        </w:rPr>
        <w:t xml:space="preserve"> </w:t>
      </w:r>
    </w:p>
  </w:footnote>
  <w:footnote w:id="66">
    <w:p w14:paraId="149DB2ED" w14:textId="77777777" w:rsidR="0072007C" w:rsidRPr="00042369" w:rsidRDefault="0072007C" w:rsidP="00E55656">
      <w:pPr>
        <w:pStyle w:val="Textpoznpodarou"/>
        <w:spacing w:line="240" w:lineRule="auto"/>
        <w:rPr>
          <w:rFonts w:asciiTheme="minorHAnsi" w:hAnsiTheme="minorHAnsi"/>
          <w:sz w:val="18"/>
          <w:szCs w:val="18"/>
        </w:rPr>
      </w:pPr>
      <w:r w:rsidRPr="00E55656">
        <w:rPr>
          <w:rStyle w:val="Znakapoznpodarou"/>
          <w:rFonts w:asciiTheme="minorHAnsi" w:hAnsiTheme="minorHAnsi"/>
          <w:sz w:val="18"/>
          <w:szCs w:val="18"/>
        </w:rPr>
        <w:footnoteRef/>
      </w:r>
      <w:r w:rsidRPr="00E55656">
        <w:rPr>
          <w:rFonts w:asciiTheme="minorHAnsi" w:hAnsiTheme="minorHAnsi"/>
          <w:sz w:val="18"/>
          <w:szCs w:val="18"/>
        </w:rPr>
        <w:t xml:space="preserve"> </w:t>
      </w:r>
      <w:r w:rsidRPr="00E55656">
        <w:rPr>
          <w:rFonts w:asciiTheme="minorHAnsi" w:hAnsiTheme="minorHAnsi"/>
          <w:sz w:val="18"/>
          <w:szCs w:val="18"/>
        </w:rPr>
        <w:tab/>
        <w:t>§ 1 odst. 7 loterního zákona</w:t>
      </w:r>
    </w:p>
  </w:footnote>
  <w:footnote w:id="67">
    <w:p w14:paraId="00E5F8F5" w14:textId="77777777" w:rsidR="0072007C" w:rsidRPr="00042369" w:rsidRDefault="0072007C" w:rsidP="00024CBA">
      <w:pPr>
        <w:pStyle w:val="Textpoznpodarou"/>
        <w:spacing w:line="240" w:lineRule="auto"/>
        <w:rPr>
          <w:rFonts w:asciiTheme="minorHAnsi" w:hAnsiTheme="minorHAnsi"/>
          <w:sz w:val="18"/>
          <w:szCs w:val="18"/>
        </w:rPr>
      </w:pPr>
      <w:r w:rsidRPr="00042369">
        <w:rPr>
          <w:rStyle w:val="Znakapoznpodarou"/>
          <w:rFonts w:asciiTheme="minorHAnsi" w:hAnsiTheme="minorHAnsi"/>
          <w:sz w:val="18"/>
          <w:szCs w:val="18"/>
        </w:rPr>
        <w:footnoteRef/>
      </w:r>
      <w:r w:rsidRPr="00042369">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sz w:val="18"/>
          <w:szCs w:val="18"/>
        </w:rPr>
        <w:t>Čl. 56 SFEU</w:t>
      </w:r>
    </w:p>
  </w:footnote>
  <w:footnote w:id="68">
    <w:p w14:paraId="118C6DBA" w14:textId="77777777" w:rsidR="0072007C" w:rsidRPr="00705279" w:rsidRDefault="0072007C" w:rsidP="00024CBA">
      <w:pPr>
        <w:pStyle w:val="Textpoznpodarou"/>
        <w:spacing w:line="240" w:lineRule="auto"/>
        <w:rPr>
          <w:rFonts w:ascii="Times New Roman" w:hAnsi="Times New Roman"/>
          <w:sz w:val="18"/>
          <w:szCs w:val="18"/>
        </w:rPr>
      </w:pPr>
      <w:r w:rsidRPr="00042369">
        <w:rPr>
          <w:rStyle w:val="Znakapoznpodarou"/>
          <w:rFonts w:asciiTheme="minorHAnsi" w:hAnsiTheme="minorHAnsi"/>
          <w:sz w:val="18"/>
          <w:szCs w:val="18"/>
        </w:rPr>
        <w:footnoteRef/>
      </w:r>
      <w:r w:rsidRPr="00042369">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sz w:val="18"/>
          <w:szCs w:val="18"/>
        </w:rPr>
        <w:t>Čl. 63 SFEU</w:t>
      </w:r>
    </w:p>
  </w:footnote>
  <w:footnote w:id="69">
    <w:p w14:paraId="535A3E2E"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1 písm. a) zákona </w:t>
      </w:r>
      <w:r>
        <w:rPr>
          <w:rFonts w:asciiTheme="minorHAnsi" w:hAnsiTheme="minorHAnsi"/>
          <w:sz w:val="18"/>
          <w:szCs w:val="18"/>
        </w:rPr>
        <w:t>o dani z hazardních her</w:t>
      </w:r>
    </w:p>
  </w:footnote>
  <w:footnote w:id="70">
    <w:p w14:paraId="4810463C"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1 písm. b) zákona </w:t>
      </w:r>
      <w:r>
        <w:rPr>
          <w:rFonts w:asciiTheme="minorHAnsi" w:hAnsiTheme="minorHAnsi"/>
          <w:sz w:val="18"/>
          <w:szCs w:val="18"/>
        </w:rPr>
        <w:t>o dani z hazardních her</w:t>
      </w:r>
    </w:p>
  </w:footnote>
  <w:footnote w:id="71">
    <w:p w14:paraId="336353F3" w14:textId="3D0CC6A1"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bookmarkStart w:id="21" w:name="_Hlk23391175"/>
      <w:r w:rsidRPr="006E2534">
        <w:rPr>
          <w:rFonts w:asciiTheme="minorHAnsi" w:hAnsiTheme="minorHAnsi"/>
          <w:sz w:val="18"/>
          <w:szCs w:val="18"/>
        </w:rPr>
        <w:t xml:space="preserve">PELC, Vladimír. </w:t>
      </w:r>
      <w:r w:rsidRPr="006E2534">
        <w:rPr>
          <w:rFonts w:asciiTheme="minorHAnsi" w:hAnsiTheme="minorHAnsi"/>
          <w:i/>
          <w:iCs/>
          <w:sz w:val="18"/>
          <w:szCs w:val="18"/>
        </w:rPr>
        <w:t>Daň z hazardních her: s komentářem</w:t>
      </w:r>
      <w:r w:rsidRPr="006E2534">
        <w:rPr>
          <w:rFonts w:asciiTheme="minorHAnsi" w:hAnsiTheme="minorHAnsi"/>
          <w:sz w:val="18"/>
          <w:szCs w:val="18"/>
        </w:rPr>
        <w:t>. 1. vyd. Olomouc: Anag, 2016, s</w:t>
      </w:r>
      <w:bookmarkEnd w:id="21"/>
      <w:r w:rsidRPr="006E2534">
        <w:rPr>
          <w:rFonts w:asciiTheme="minorHAnsi" w:hAnsiTheme="minorHAnsi"/>
          <w:sz w:val="18"/>
          <w:szCs w:val="18"/>
        </w:rPr>
        <w:t>. 46</w:t>
      </w:r>
    </w:p>
  </w:footnote>
  <w:footnote w:id="72">
    <w:p w14:paraId="04985730"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125 </w:t>
      </w:r>
      <w:r>
        <w:rPr>
          <w:rFonts w:asciiTheme="minorHAnsi" w:hAnsiTheme="minorHAnsi"/>
          <w:sz w:val="18"/>
          <w:szCs w:val="18"/>
        </w:rPr>
        <w:t>daňového řádu</w:t>
      </w:r>
    </w:p>
  </w:footnote>
  <w:footnote w:id="73">
    <w:p w14:paraId="635591F8" w14:textId="10C29A09" w:rsidR="0072007C" w:rsidRPr="00705279" w:rsidRDefault="0072007C" w:rsidP="00024CBA">
      <w:pPr>
        <w:pStyle w:val="Textpoznpodarou"/>
        <w:spacing w:line="240" w:lineRule="auto"/>
        <w:rPr>
          <w:rFonts w:ascii="Times New Roman" w:hAnsi="Times New Roman"/>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bookmarkStart w:id="22" w:name="_Hlk14257982"/>
      <w:r>
        <w:rPr>
          <w:rFonts w:asciiTheme="minorHAnsi" w:hAnsiTheme="minorHAnsi"/>
          <w:sz w:val="18"/>
          <w:szCs w:val="18"/>
        </w:rPr>
        <w:tab/>
      </w:r>
      <w:bookmarkStart w:id="23" w:name="_Hlk23391205"/>
      <w:r w:rsidRPr="006E2534">
        <w:rPr>
          <w:rFonts w:asciiTheme="minorHAnsi" w:hAnsiTheme="minorHAnsi"/>
          <w:sz w:val="18"/>
          <w:szCs w:val="18"/>
        </w:rPr>
        <w:t xml:space="preserve">MATYÁŠOVÁ, Lenka; GROSSOVÁ, Marie Emílie. </w:t>
      </w:r>
      <w:r w:rsidRPr="006E2534">
        <w:rPr>
          <w:rFonts w:asciiTheme="minorHAnsi" w:hAnsiTheme="minorHAnsi"/>
          <w:i/>
          <w:sz w:val="18"/>
          <w:szCs w:val="18"/>
        </w:rPr>
        <w:t>Daňov</w:t>
      </w:r>
      <w:r>
        <w:rPr>
          <w:rFonts w:asciiTheme="minorHAnsi" w:hAnsiTheme="minorHAnsi"/>
          <w:i/>
          <w:sz w:val="18"/>
          <w:szCs w:val="18"/>
        </w:rPr>
        <w:t>ý</w:t>
      </w:r>
      <w:r w:rsidRPr="006E2534">
        <w:rPr>
          <w:rFonts w:asciiTheme="minorHAnsi" w:hAnsiTheme="minorHAnsi"/>
          <w:i/>
          <w:sz w:val="18"/>
          <w:szCs w:val="18"/>
        </w:rPr>
        <w:t xml:space="preserve"> řád. Komentář.</w:t>
      </w:r>
      <w:r w:rsidRPr="006E2534">
        <w:rPr>
          <w:rFonts w:asciiTheme="minorHAnsi" w:hAnsiTheme="minorHAnsi"/>
          <w:sz w:val="18"/>
          <w:szCs w:val="18"/>
        </w:rPr>
        <w:t xml:space="preserve"> 2. vyd. Praha: Nakladatelství Leges, 2015, </w:t>
      </w:r>
      <w:bookmarkEnd w:id="22"/>
      <w:r w:rsidRPr="006E2534">
        <w:rPr>
          <w:rFonts w:asciiTheme="minorHAnsi" w:hAnsiTheme="minorHAnsi"/>
          <w:sz w:val="18"/>
          <w:szCs w:val="18"/>
        </w:rPr>
        <w:t>s. 471</w:t>
      </w:r>
      <w:bookmarkEnd w:id="23"/>
    </w:p>
  </w:footnote>
  <w:footnote w:id="74">
    <w:p w14:paraId="64CDC683"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57 a</w:t>
      </w:r>
      <w:r>
        <w:rPr>
          <w:rFonts w:asciiTheme="minorHAnsi" w:hAnsiTheme="minorHAnsi"/>
          <w:sz w:val="18"/>
          <w:szCs w:val="18"/>
        </w:rPr>
        <w:t>n. daňového řádu</w:t>
      </w:r>
    </w:p>
  </w:footnote>
  <w:footnote w:id="75">
    <w:p w14:paraId="45456D40"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131 zákona </w:t>
      </w:r>
      <w:r>
        <w:rPr>
          <w:rFonts w:asciiTheme="minorHAnsi" w:hAnsiTheme="minorHAnsi"/>
          <w:sz w:val="18"/>
          <w:szCs w:val="18"/>
        </w:rPr>
        <w:t>o hazardních hrách</w:t>
      </w:r>
    </w:p>
  </w:footnote>
  <w:footnote w:id="76">
    <w:p w14:paraId="137D0C0A" w14:textId="31DD9C71"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bookmarkStart w:id="24" w:name="_Hlk23411305"/>
      <w:r w:rsidRPr="006E2534">
        <w:rPr>
          <w:rFonts w:asciiTheme="minorHAnsi" w:hAnsiTheme="minorHAnsi"/>
          <w:sz w:val="18"/>
          <w:szCs w:val="18"/>
        </w:rPr>
        <w:t>§ 251 zákona č. 40/2009 Sb.,</w:t>
      </w:r>
      <w:r>
        <w:rPr>
          <w:rFonts w:asciiTheme="minorHAnsi" w:hAnsiTheme="minorHAnsi"/>
          <w:sz w:val="18"/>
          <w:szCs w:val="18"/>
        </w:rPr>
        <w:t xml:space="preserve"> trestní zákoník, </w:t>
      </w:r>
      <w:r w:rsidRPr="006E2534">
        <w:rPr>
          <w:rFonts w:asciiTheme="minorHAnsi" w:hAnsiTheme="minorHAnsi"/>
          <w:sz w:val="18"/>
          <w:szCs w:val="18"/>
        </w:rPr>
        <w:t xml:space="preserve">ve znění pozdějších předpisů. 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3. 2019]</w:t>
      </w:r>
      <w:bookmarkEnd w:id="24"/>
    </w:p>
  </w:footnote>
  <w:footnote w:id="77">
    <w:p w14:paraId="3F43A2AA"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122 odst. 1 písm. b) a §</w:t>
      </w:r>
      <w:r>
        <w:rPr>
          <w:rFonts w:asciiTheme="minorHAnsi" w:hAnsiTheme="minorHAnsi"/>
          <w:sz w:val="18"/>
          <w:szCs w:val="18"/>
        </w:rPr>
        <w:t xml:space="preserve"> </w:t>
      </w:r>
      <w:r w:rsidRPr="006E2534">
        <w:rPr>
          <w:rFonts w:asciiTheme="minorHAnsi" w:hAnsiTheme="minorHAnsi"/>
          <w:sz w:val="18"/>
          <w:szCs w:val="18"/>
        </w:rPr>
        <w:t xml:space="preserve">123 odst. 1 písm. b) zákona </w:t>
      </w:r>
      <w:r>
        <w:rPr>
          <w:rFonts w:asciiTheme="minorHAnsi" w:hAnsiTheme="minorHAnsi"/>
          <w:sz w:val="18"/>
          <w:szCs w:val="18"/>
        </w:rPr>
        <w:t>o hazardních hrách</w:t>
      </w:r>
    </w:p>
  </w:footnote>
  <w:footnote w:id="78">
    <w:p w14:paraId="20C43518" w14:textId="77777777" w:rsidR="0072007C" w:rsidRPr="006E2534" w:rsidRDefault="0072007C" w:rsidP="00024CBA">
      <w:pPr>
        <w:pStyle w:val="Textpoznpodarou"/>
        <w:spacing w:line="240" w:lineRule="auto"/>
        <w:rPr>
          <w:rFonts w:asciiTheme="minorHAnsi" w:hAnsiTheme="minorHAnsi"/>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8 odst. 1 </w:t>
      </w:r>
      <w:r>
        <w:rPr>
          <w:rFonts w:asciiTheme="minorHAnsi" w:hAnsiTheme="minorHAnsi"/>
          <w:sz w:val="18"/>
          <w:szCs w:val="18"/>
        </w:rPr>
        <w:t>daňového řádu</w:t>
      </w:r>
    </w:p>
  </w:footnote>
  <w:footnote w:id="79">
    <w:p w14:paraId="22358B53" w14:textId="77777777" w:rsidR="0072007C" w:rsidRPr="00705279" w:rsidRDefault="0072007C" w:rsidP="00024CBA">
      <w:pPr>
        <w:pStyle w:val="Textpoznpodarou"/>
        <w:spacing w:line="240" w:lineRule="auto"/>
        <w:rPr>
          <w:rFonts w:ascii="Times New Roman" w:hAnsi="Times New Roman"/>
          <w:sz w:val="18"/>
          <w:szCs w:val="18"/>
        </w:rPr>
      </w:pPr>
      <w:r w:rsidRPr="006E2534">
        <w:rPr>
          <w:rStyle w:val="Znakapoznpodarou"/>
          <w:rFonts w:asciiTheme="minorHAnsi" w:hAnsiTheme="minorHAnsi"/>
          <w:sz w:val="18"/>
          <w:szCs w:val="18"/>
        </w:rPr>
        <w:footnoteRef/>
      </w:r>
      <w:r w:rsidRPr="006E2534">
        <w:rPr>
          <w:rFonts w:asciiTheme="minorHAnsi" w:hAnsiTheme="minorHAnsi"/>
          <w:sz w:val="18"/>
          <w:szCs w:val="18"/>
        </w:rPr>
        <w:t xml:space="preserve"> </w:t>
      </w:r>
      <w:r>
        <w:rPr>
          <w:rFonts w:asciiTheme="minorHAnsi" w:hAnsiTheme="minorHAnsi"/>
          <w:sz w:val="18"/>
          <w:szCs w:val="18"/>
        </w:rPr>
        <w:tab/>
      </w:r>
      <w:r w:rsidRPr="006E2534">
        <w:rPr>
          <w:rFonts w:asciiTheme="minorHAnsi" w:hAnsiTheme="minorHAnsi"/>
          <w:sz w:val="18"/>
          <w:szCs w:val="18"/>
        </w:rPr>
        <w:t xml:space="preserve">§ 118 </w:t>
      </w:r>
      <w:r>
        <w:rPr>
          <w:rFonts w:asciiTheme="minorHAnsi" w:hAnsiTheme="minorHAnsi"/>
          <w:sz w:val="18"/>
          <w:szCs w:val="18"/>
        </w:rPr>
        <w:t>daňového řádu</w:t>
      </w:r>
    </w:p>
  </w:footnote>
  <w:footnote w:id="80">
    <w:p w14:paraId="7B2EAC11" w14:textId="77777777" w:rsidR="0072007C" w:rsidRPr="00532C2A" w:rsidRDefault="0072007C" w:rsidP="00024CBA">
      <w:pPr>
        <w:pStyle w:val="Textpoznpodarou"/>
        <w:spacing w:line="240" w:lineRule="auto"/>
        <w:rPr>
          <w:rFonts w:asciiTheme="minorHAnsi" w:hAnsiTheme="minorHAnsi"/>
          <w:sz w:val="18"/>
          <w:szCs w:val="18"/>
        </w:rPr>
      </w:pPr>
      <w:r w:rsidRPr="00532C2A">
        <w:rPr>
          <w:rStyle w:val="Znakapoznpodarou"/>
          <w:rFonts w:asciiTheme="minorHAnsi" w:hAnsiTheme="minorHAnsi"/>
          <w:sz w:val="18"/>
          <w:szCs w:val="18"/>
        </w:rPr>
        <w:footnoteRef/>
      </w:r>
      <w:r w:rsidRPr="00532C2A">
        <w:rPr>
          <w:rFonts w:asciiTheme="minorHAnsi" w:hAnsiTheme="minorHAnsi"/>
          <w:sz w:val="18"/>
          <w:szCs w:val="18"/>
        </w:rPr>
        <w:t xml:space="preserve"> </w:t>
      </w:r>
      <w:r w:rsidRPr="00532C2A">
        <w:rPr>
          <w:rFonts w:asciiTheme="minorHAnsi" w:hAnsiTheme="minorHAnsi"/>
          <w:sz w:val="18"/>
          <w:szCs w:val="18"/>
        </w:rPr>
        <w:tab/>
        <w:t>Rozsudek Soudního dvora</w:t>
      </w:r>
      <w:r>
        <w:rPr>
          <w:rFonts w:asciiTheme="minorHAnsi" w:hAnsiTheme="minorHAnsi"/>
          <w:sz w:val="18"/>
          <w:szCs w:val="18"/>
        </w:rPr>
        <w:t xml:space="preserve"> (druhého senátu)</w:t>
      </w:r>
      <w:r w:rsidRPr="00532C2A">
        <w:rPr>
          <w:rFonts w:asciiTheme="minorHAnsi" w:hAnsiTheme="minorHAnsi"/>
          <w:sz w:val="18"/>
          <w:szCs w:val="18"/>
        </w:rPr>
        <w:t xml:space="preserve"> ze dne 17. 2. 2005</w:t>
      </w:r>
      <w:r>
        <w:rPr>
          <w:rFonts w:asciiTheme="minorHAnsi" w:hAnsiTheme="minorHAnsi"/>
          <w:sz w:val="18"/>
          <w:szCs w:val="18"/>
        </w:rPr>
        <w:t>,</w:t>
      </w:r>
      <w:r w:rsidRPr="00532C2A">
        <w:rPr>
          <w:rFonts w:asciiTheme="minorHAnsi" w:hAnsiTheme="minorHAnsi"/>
          <w:sz w:val="18"/>
          <w:szCs w:val="18"/>
        </w:rPr>
        <w:t xml:space="preserve"> ve spojených věcech </w:t>
      </w:r>
    </w:p>
    <w:p w14:paraId="488BFBDD" w14:textId="77777777" w:rsidR="0072007C" w:rsidRDefault="0072007C" w:rsidP="00024CBA">
      <w:pPr>
        <w:pStyle w:val="Textpoznpodarou"/>
        <w:spacing w:line="240" w:lineRule="auto"/>
        <w:ind w:firstLine="0"/>
      </w:pPr>
      <w:r w:rsidRPr="00532C2A">
        <w:rPr>
          <w:rFonts w:asciiTheme="minorHAnsi" w:hAnsiTheme="minorHAnsi"/>
          <w:sz w:val="18"/>
          <w:szCs w:val="18"/>
        </w:rPr>
        <w:t>C-453/02 a C-462/02</w:t>
      </w:r>
      <w:r>
        <w:rPr>
          <w:rFonts w:asciiTheme="minorHAnsi" w:hAnsiTheme="minorHAnsi"/>
          <w:sz w:val="18"/>
          <w:szCs w:val="18"/>
        </w:rPr>
        <w:t xml:space="preserve">. In: </w:t>
      </w:r>
      <w:r w:rsidRPr="00067E78">
        <w:rPr>
          <w:rFonts w:asciiTheme="minorHAnsi" w:hAnsiTheme="minorHAnsi"/>
          <w:i/>
          <w:iCs/>
          <w:sz w:val="18"/>
          <w:szCs w:val="18"/>
        </w:rPr>
        <w:t xml:space="preserve">ASPI </w:t>
      </w:r>
      <w:r>
        <w:rPr>
          <w:rFonts w:asciiTheme="minorHAnsi" w:hAnsiTheme="minorHAnsi"/>
          <w:sz w:val="18"/>
          <w:szCs w:val="18"/>
        </w:rPr>
        <w:t>[právní informační systém]. Wolters Kluwer ČR [cit. 15. 8. 2019]</w:t>
      </w:r>
    </w:p>
  </w:footnote>
  <w:footnote w:id="81">
    <w:p w14:paraId="3D4A3882" w14:textId="77777777" w:rsidR="0072007C" w:rsidRPr="00D64D1B" w:rsidRDefault="0072007C" w:rsidP="00024CBA">
      <w:pPr>
        <w:pStyle w:val="Textpoznpodarou"/>
        <w:spacing w:line="240" w:lineRule="auto"/>
        <w:rPr>
          <w:rFonts w:asciiTheme="minorHAnsi" w:hAnsiTheme="minorHAnsi"/>
          <w:sz w:val="18"/>
          <w:szCs w:val="18"/>
        </w:rPr>
      </w:pPr>
      <w:bookmarkStart w:id="25" w:name="_Hlk23411365"/>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sidRPr="00D64D1B">
        <w:rPr>
          <w:rFonts w:asciiTheme="minorHAnsi" w:hAnsiTheme="minorHAnsi"/>
          <w:sz w:val="18"/>
          <w:szCs w:val="18"/>
        </w:rPr>
        <w:tab/>
        <w:t>Rozsudek Městského soudu v</w:t>
      </w:r>
      <w:r>
        <w:rPr>
          <w:rFonts w:asciiTheme="minorHAnsi" w:hAnsiTheme="minorHAnsi"/>
          <w:sz w:val="18"/>
          <w:szCs w:val="18"/>
        </w:rPr>
        <w:t> </w:t>
      </w:r>
      <w:r w:rsidRPr="00D64D1B">
        <w:rPr>
          <w:rFonts w:asciiTheme="minorHAnsi" w:hAnsiTheme="minorHAnsi"/>
          <w:sz w:val="18"/>
          <w:szCs w:val="18"/>
        </w:rPr>
        <w:t>Praze</w:t>
      </w:r>
      <w:r>
        <w:rPr>
          <w:rFonts w:asciiTheme="minorHAnsi" w:hAnsiTheme="minorHAnsi"/>
          <w:sz w:val="18"/>
          <w:szCs w:val="18"/>
        </w:rPr>
        <w:t xml:space="preserve"> ze dne 17. 3. 2010,</w:t>
      </w:r>
      <w:r w:rsidRPr="00D64D1B">
        <w:rPr>
          <w:rFonts w:asciiTheme="minorHAnsi" w:hAnsiTheme="minorHAnsi"/>
          <w:sz w:val="18"/>
          <w:szCs w:val="18"/>
        </w:rPr>
        <w:t xml:space="preserve"> sp. zn. 5 Ca 65/2007-77</w:t>
      </w:r>
      <w:bookmarkEnd w:id="25"/>
      <w:r>
        <w:rPr>
          <w:rFonts w:asciiTheme="minorHAnsi" w:hAnsiTheme="minorHAnsi"/>
          <w:sz w:val="18"/>
          <w:szCs w:val="18"/>
        </w:rPr>
        <w:t xml:space="preserve">.  In: </w:t>
      </w:r>
      <w:r w:rsidRPr="00067E78">
        <w:rPr>
          <w:rFonts w:asciiTheme="minorHAnsi" w:hAnsiTheme="minorHAnsi"/>
          <w:i/>
          <w:iCs/>
          <w:sz w:val="18"/>
          <w:szCs w:val="18"/>
        </w:rPr>
        <w:t xml:space="preserve">ASPI </w:t>
      </w:r>
      <w:r>
        <w:rPr>
          <w:rFonts w:asciiTheme="minorHAnsi" w:hAnsiTheme="minorHAnsi"/>
          <w:sz w:val="18"/>
          <w:szCs w:val="18"/>
        </w:rPr>
        <w:t>[právní informační systém]. Wolters Kluwer ČR [cit. 15. 8. 2019]</w:t>
      </w:r>
    </w:p>
  </w:footnote>
  <w:footnote w:id="82">
    <w:p w14:paraId="6366AA4B"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3 zákona o hazardních hrách</w:t>
      </w:r>
    </w:p>
  </w:footnote>
  <w:footnote w:id="83">
    <w:p w14:paraId="749FDBA1"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7 odst. 2 písm. a) zákona o hazardních hrách</w:t>
      </w:r>
    </w:p>
  </w:footnote>
  <w:footnote w:id="84">
    <w:p w14:paraId="33B9AE45" w14:textId="5765E9CE" w:rsidR="0072007C" w:rsidRPr="00DD7D94" w:rsidRDefault="0072007C" w:rsidP="00DD7D94">
      <w:pPr>
        <w:pStyle w:val="Textpoznpodarou"/>
        <w:spacing w:line="240" w:lineRule="auto"/>
        <w:rPr>
          <w:sz w:val="18"/>
          <w:szCs w:val="18"/>
        </w:rPr>
      </w:pPr>
      <w:r w:rsidRPr="00DD7D94">
        <w:rPr>
          <w:rStyle w:val="Znakapoznpodarou"/>
          <w:sz w:val="18"/>
          <w:szCs w:val="18"/>
        </w:rPr>
        <w:footnoteRef/>
      </w:r>
      <w:r w:rsidRPr="00DD7D94">
        <w:rPr>
          <w:sz w:val="18"/>
          <w:szCs w:val="18"/>
        </w:rPr>
        <w:t xml:space="preserve"> </w:t>
      </w:r>
      <w:r w:rsidRPr="00DD7D94">
        <w:rPr>
          <w:sz w:val="18"/>
          <w:szCs w:val="18"/>
        </w:rPr>
        <w:tab/>
        <w:t xml:space="preserve">RICHTER, Štěpán. </w:t>
      </w:r>
      <w:r w:rsidRPr="00DD7D94">
        <w:rPr>
          <w:iCs/>
          <w:sz w:val="18"/>
          <w:szCs w:val="18"/>
        </w:rPr>
        <w:t>Právní problematika loot boxů</w:t>
      </w:r>
      <w:r w:rsidRPr="00DD7D94">
        <w:rPr>
          <w:sz w:val="18"/>
          <w:szCs w:val="18"/>
        </w:rPr>
        <w:t xml:space="preserve">. </w:t>
      </w:r>
      <w:r w:rsidRPr="00DD7D94">
        <w:rPr>
          <w:i/>
          <w:sz w:val="18"/>
          <w:szCs w:val="18"/>
        </w:rPr>
        <w:t>Revue pro právo a technologie: odborný recenzovaný časopis pro technologické obory práva a právní vědy</w:t>
      </w:r>
      <w:r w:rsidRPr="00DD7D94">
        <w:rPr>
          <w:sz w:val="18"/>
          <w:szCs w:val="18"/>
        </w:rPr>
        <w:t>. Brno: Masarykova univerzita. 2019, roč. 10, č. 19, s.</w:t>
      </w:r>
      <w:r>
        <w:rPr>
          <w:sz w:val="18"/>
          <w:szCs w:val="18"/>
        </w:rPr>
        <w:t xml:space="preserve"> 69-86</w:t>
      </w:r>
    </w:p>
  </w:footnote>
  <w:footnote w:id="85">
    <w:p w14:paraId="67103AA1" w14:textId="0CB5FBF4" w:rsidR="0072007C" w:rsidRPr="00DD7D94" w:rsidRDefault="0072007C" w:rsidP="004E79B1">
      <w:pPr>
        <w:pStyle w:val="Textpoznpodarou"/>
        <w:spacing w:line="240" w:lineRule="auto"/>
        <w:rPr>
          <w:rFonts w:asciiTheme="minorHAnsi" w:hAnsiTheme="minorHAnsi"/>
          <w:sz w:val="18"/>
          <w:szCs w:val="18"/>
        </w:rPr>
      </w:pPr>
      <w:r w:rsidRPr="00DD7D94">
        <w:rPr>
          <w:rStyle w:val="Znakapoznpodarou"/>
          <w:rFonts w:asciiTheme="minorHAnsi" w:hAnsiTheme="minorHAnsi"/>
          <w:sz w:val="18"/>
          <w:szCs w:val="18"/>
        </w:rPr>
        <w:footnoteRef/>
      </w:r>
      <w:r w:rsidRPr="00DD7D94">
        <w:rPr>
          <w:rFonts w:asciiTheme="minorHAnsi" w:hAnsiTheme="minorHAnsi"/>
          <w:sz w:val="18"/>
          <w:szCs w:val="18"/>
        </w:rPr>
        <w:t xml:space="preserve">    </w:t>
      </w:r>
      <w:r>
        <w:rPr>
          <w:rFonts w:asciiTheme="minorHAnsi" w:hAnsiTheme="minorHAnsi"/>
          <w:color w:val="000000"/>
          <w:sz w:val="18"/>
          <w:szCs w:val="18"/>
        </w:rPr>
        <w:t xml:space="preserve">JINDRA, Lukáš. </w:t>
      </w:r>
      <w:r w:rsidRPr="004E79B1">
        <w:rPr>
          <w:rFonts w:asciiTheme="minorHAnsi" w:hAnsiTheme="minorHAnsi"/>
          <w:i/>
          <w:iCs/>
          <w:color w:val="000000"/>
          <w:sz w:val="18"/>
          <w:szCs w:val="18"/>
        </w:rPr>
        <w:t>Novelizace právní úpravy svěřenského fondu</w:t>
      </w:r>
      <w:r>
        <w:rPr>
          <w:rFonts w:asciiTheme="minorHAnsi" w:hAnsiTheme="minorHAnsi"/>
          <w:color w:val="000000"/>
          <w:sz w:val="18"/>
          <w:szCs w:val="18"/>
        </w:rPr>
        <w:t>.</w:t>
      </w:r>
      <w:r>
        <w:rPr>
          <w:sz w:val="18"/>
          <w:szCs w:val="18"/>
        </w:rPr>
        <w:t xml:space="preserve">  EPRAVO.CZ [ONLINE], publikováno 19. 7. 2017 [cit. 2. 10. 2019]. </w:t>
      </w:r>
      <w:r w:rsidRPr="00E15C0B">
        <w:rPr>
          <w:sz w:val="18"/>
          <w:szCs w:val="18"/>
        </w:rPr>
        <w:t xml:space="preserve">Dostupné z: </w:t>
      </w:r>
      <w:hyperlink r:id="rId4" w:history="1">
        <w:r w:rsidRPr="00E358BC">
          <w:rPr>
            <w:rStyle w:val="Hypertextovodkaz"/>
            <w:sz w:val="18"/>
            <w:szCs w:val="18"/>
          </w:rPr>
          <w:t>https://www.epravo.cz/clanky/novelizace-pravni-upravy-sverenskeho-fondu-106148.html</w:t>
        </w:r>
      </w:hyperlink>
      <w:r>
        <w:rPr>
          <w:color w:val="FF0000"/>
          <w:sz w:val="18"/>
          <w:szCs w:val="18"/>
        </w:rPr>
        <w:t xml:space="preserve"> </w:t>
      </w:r>
    </w:p>
  </w:footnote>
  <w:footnote w:id="86">
    <w:p w14:paraId="775BDF01" w14:textId="38693E79" w:rsidR="0072007C" w:rsidRPr="00DD7D94" w:rsidRDefault="0072007C" w:rsidP="00C14044">
      <w:pPr>
        <w:pStyle w:val="Textpoznpodarou"/>
        <w:spacing w:line="240" w:lineRule="auto"/>
        <w:rPr>
          <w:rFonts w:asciiTheme="minorHAnsi" w:hAnsiTheme="minorHAnsi"/>
          <w:sz w:val="18"/>
          <w:szCs w:val="18"/>
        </w:rPr>
      </w:pPr>
      <w:r w:rsidRPr="00DD7D94">
        <w:rPr>
          <w:rStyle w:val="Znakapoznpodarou"/>
          <w:rFonts w:asciiTheme="minorHAnsi" w:hAnsiTheme="minorHAnsi"/>
          <w:sz w:val="18"/>
          <w:szCs w:val="18"/>
        </w:rPr>
        <w:footnoteRef/>
      </w:r>
      <w:r w:rsidRPr="00DD7D94">
        <w:rPr>
          <w:rFonts w:asciiTheme="minorHAnsi" w:hAnsiTheme="minorHAnsi"/>
          <w:sz w:val="18"/>
          <w:szCs w:val="18"/>
        </w:rPr>
        <w:t xml:space="preserve"> </w:t>
      </w:r>
      <w:r w:rsidRPr="00DD7D94">
        <w:rPr>
          <w:rFonts w:asciiTheme="minorHAnsi" w:hAnsiTheme="minorHAnsi"/>
          <w:sz w:val="18"/>
          <w:szCs w:val="18"/>
        </w:rPr>
        <w:tab/>
      </w:r>
      <w:bookmarkStart w:id="26" w:name="_Hlk23411407"/>
      <w:r w:rsidRPr="00DD7D94">
        <w:rPr>
          <w:rFonts w:asciiTheme="minorHAnsi" w:hAnsiTheme="minorHAnsi"/>
          <w:sz w:val="18"/>
          <w:szCs w:val="18"/>
        </w:rPr>
        <w:t xml:space="preserve">§ 65a an. zákona č. 304/2013 Sb., Zákon o veřejných rejstřících právnických a fyzických osob, ve znění pozdějších předpisů. In: </w:t>
      </w:r>
      <w:r w:rsidRPr="00DD7D94">
        <w:rPr>
          <w:rFonts w:asciiTheme="minorHAnsi" w:hAnsiTheme="minorHAnsi"/>
          <w:i/>
          <w:iCs/>
          <w:sz w:val="18"/>
          <w:szCs w:val="18"/>
        </w:rPr>
        <w:t>ASPI</w:t>
      </w:r>
      <w:r w:rsidRPr="00DD7D94">
        <w:rPr>
          <w:rFonts w:asciiTheme="minorHAnsi" w:hAnsiTheme="minorHAnsi"/>
          <w:sz w:val="18"/>
          <w:szCs w:val="18"/>
        </w:rPr>
        <w:t xml:space="preserve"> [právní informační systém]. Wolters Kluwer ČR [cit. 2. 6. 2019]</w:t>
      </w:r>
      <w:bookmarkEnd w:id="26"/>
    </w:p>
  </w:footnote>
  <w:footnote w:id="87">
    <w:p w14:paraId="4648FE5B" w14:textId="77777777" w:rsidR="0072007C" w:rsidRPr="00D64D1B" w:rsidRDefault="0072007C" w:rsidP="00DD7D94">
      <w:pPr>
        <w:pStyle w:val="Textpoznpodarou"/>
        <w:spacing w:line="240" w:lineRule="auto"/>
        <w:rPr>
          <w:rFonts w:asciiTheme="minorHAnsi" w:hAnsiTheme="minorHAnsi"/>
          <w:sz w:val="18"/>
          <w:szCs w:val="18"/>
        </w:rPr>
      </w:pPr>
      <w:r w:rsidRPr="00DD7D94">
        <w:rPr>
          <w:rStyle w:val="Znakapoznpodarou"/>
          <w:rFonts w:asciiTheme="minorHAnsi" w:hAnsiTheme="minorHAnsi"/>
          <w:sz w:val="18"/>
          <w:szCs w:val="18"/>
        </w:rPr>
        <w:footnoteRef/>
      </w:r>
      <w:r w:rsidRPr="00DD7D94">
        <w:rPr>
          <w:rFonts w:asciiTheme="minorHAnsi" w:hAnsiTheme="minorHAnsi"/>
          <w:sz w:val="18"/>
          <w:szCs w:val="18"/>
        </w:rPr>
        <w:t xml:space="preserve"> </w:t>
      </w:r>
      <w:r w:rsidRPr="00DD7D94">
        <w:rPr>
          <w:rFonts w:asciiTheme="minorHAnsi" w:hAnsiTheme="minorHAnsi"/>
          <w:sz w:val="18"/>
          <w:szCs w:val="18"/>
        </w:rPr>
        <w:tab/>
        <w:t>RADVAN a kol., 2008, op. cit., s. 34</w:t>
      </w:r>
    </w:p>
  </w:footnote>
  <w:footnote w:id="88">
    <w:p w14:paraId="7952B8EE"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5 zákona </w:t>
      </w:r>
      <w:r>
        <w:rPr>
          <w:rFonts w:asciiTheme="minorHAnsi" w:hAnsiTheme="minorHAnsi"/>
          <w:sz w:val="18"/>
          <w:szCs w:val="18"/>
        </w:rPr>
        <w:t>o hazardních hrách</w:t>
      </w:r>
    </w:p>
  </w:footnote>
  <w:footnote w:id="89">
    <w:p w14:paraId="758D746D"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2 odst. 1 zákona </w:t>
      </w:r>
      <w:r>
        <w:rPr>
          <w:rFonts w:asciiTheme="minorHAnsi" w:hAnsiTheme="minorHAnsi"/>
          <w:sz w:val="18"/>
          <w:szCs w:val="18"/>
        </w:rPr>
        <w:t>o dani z hazardních her</w:t>
      </w:r>
    </w:p>
  </w:footnote>
  <w:footnote w:id="90">
    <w:p w14:paraId="4EB85E13"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2 odst. 3 zákona </w:t>
      </w:r>
      <w:r>
        <w:rPr>
          <w:rFonts w:asciiTheme="minorHAnsi" w:hAnsiTheme="minorHAnsi"/>
          <w:sz w:val="18"/>
          <w:szCs w:val="18"/>
        </w:rPr>
        <w:t>o dani z hazardních her</w:t>
      </w:r>
    </w:p>
  </w:footnote>
  <w:footnote w:id="91">
    <w:p w14:paraId="11FDEF13"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2 odst. 2 zákona </w:t>
      </w:r>
      <w:r>
        <w:rPr>
          <w:rFonts w:asciiTheme="minorHAnsi" w:hAnsiTheme="minorHAnsi"/>
          <w:sz w:val="18"/>
          <w:szCs w:val="18"/>
        </w:rPr>
        <w:t>o dani z hazardních her</w:t>
      </w:r>
    </w:p>
  </w:footnote>
  <w:footnote w:id="92">
    <w:p w14:paraId="55C95C28"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41a </w:t>
      </w:r>
      <w:r>
        <w:rPr>
          <w:rFonts w:asciiTheme="minorHAnsi" w:hAnsiTheme="minorHAnsi"/>
          <w:sz w:val="18"/>
          <w:szCs w:val="18"/>
        </w:rPr>
        <w:t>loterního zákona</w:t>
      </w:r>
    </w:p>
  </w:footnote>
  <w:footnote w:id="93">
    <w:p w14:paraId="28E14379"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BOHÁČ,</w:t>
      </w:r>
      <w:r>
        <w:rPr>
          <w:rFonts w:asciiTheme="minorHAnsi" w:hAnsiTheme="minorHAnsi"/>
          <w:sz w:val="18"/>
          <w:szCs w:val="18"/>
        </w:rPr>
        <w:t xml:space="preserve"> KRASULOVÁ, 2017, op. cit., s. 33</w:t>
      </w:r>
    </w:p>
  </w:footnote>
  <w:footnote w:id="94">
    <w:p w14:paraId="64E643BC" w14:textId="5C76D734"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w:t>
      </w:r>
      <w:r>
        <w:rPr>
          <w:rFonts w:asciiTheme="minorHAnsi" w:hAnsiTheme="minorHAnsi"/>
          <w:sz w:val="18"/>
          <w:szCs w:val="18"/>
        </w:rPr>
        <w:t xml:space="preserve"> Sb., o dani z hazardních her.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95">
    <w:p w14:paraId="70C167C6" w14:textId="77777777"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xml:space="preserve">§ 2 odst. 2 zákona </w:t>
      </w:r>
      <w:r>
        <w:rPr>
          <w:rFonts w:asciiTheme="minorHAnsi" w:hAnsiTheme="minorHAnsi"/>
          <w:sz w:val="18"/>
          <w:szCs w:val="18"/>
        </w:rPr>
        <w:t>o hazardních hrách</w:t>
      </w:r>
    </w:p>
  </w:footnote>
  <w:footnote w:id="96">
    <w:p w14:paraId="46B70706" w14:textId="3E428ACF" w:rsidR="0072007C" w:rsidRPr="00D64D1B" w:rsidRDefault="0072007C" w:rsidP="00024CBA">
      <w:pPr>
        <w:pStyle w:val="Textpoznpodarou"/>
        <w:spacing w:line="240" w:lineRule="auto"/>
        <w:rPr>
          <w:rFonts w:asciiTheme="minorHAnsi" w:hAnsiTheme="minorHAnsi"/>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 80 zákona č. 89/2012 Sb.</w:t>
      </w:r>
      <w:r>
        <w:rPr>
          <w:rFonts w:asciiTheme="minorHAnsi" w:hAnsiTheme="minorHAnsi"/>
          <w:sz w:val="18"/>
          <w:szCs w:val="18"/>
        </w:rPr>
        <w:t xml:space="preserve">, občanský zákoník, ve znění pozdějších předpisů.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97">
    <w:p w14:paraId="769540D3" w14:textId="1253782E" w:rsidR="0072007C" w:rsidRPr="00705279" w:rsidRDefault="0072007C" w:rsidP="00024CBA">
      <w:pPr>
        <w:pStyle w:val="Textpoznpodarou"/>
        <w:spacing w:line="240" w:lineRule="auto"/>
        <w:rPr>
          <w:rFonts w:ascii="Times New Roman" w:hAnsi="Times New Roman"/>
          <w:sz w:val="18"/>
          <w:szCs w:val="18"/>
        </w:rPr>
      </w:pPr>
      <w:r w:rsidRPr="00D64D1B">
        <w:rPr>
          <w:rStyle w:val="Znakapoznpodarou"/>
          <w:rFonts w:asciiTheme="minorHAnsi" w:hAnsiTheme="minorHAnsi"/>
          <w:sz w:val="18"/>
          <w:szCs w:val="18"/>
        </w:rPr>
        <w:footnoteRef/>
      </w:r>
      <w:r w:rsidRPr="00D64D1B">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 Sb., o dani z hazardních her</w:t>
      </w:r>
      <w:r>
        <w:rPr>
          <w:rFonts w:asciiTheme="minorHAnsi" w:hAnsiTheme="minorHAnsi"/>
          <w:sz w:val="18"/>
          <w:szCs w:val="18"/>
        </w:rPr>
        <w:t xml:space="preserve">.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98">
    <w:p w14:paraId="56E4E213" w14:textId="348E4D05" w:rsidR="0072007C" w:rsidRPr="00007283" w:rsidRDefault="0072007C" w:rsidP="00024CBA">
      <w:pPr>
        <w:pStyle w:val="Textpoznpodarou"/>
        <w:spacing w:line="240" w:lineRule="auto"/>
        <w:rPr>
          <w:rFonts w:asciiTheme="minorHAnsi" w:hAnsiTheme="minorHAnsi"/>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sidRPr="00007283">
        <w:rPr>
          <w:rFonts w:asciiTheme="minorHAnsi" w:hAnsiTheme="minorHAnsi"/>
          <w:sz w:val="18"/>
          <w:szCs w:val="18"/>
        </w:rPr>
        <w:tab/>
      </w:r>
      <w:bookmarkStart w:id="28" w:name="_Hlk23411450"/>
      <w:r w:rsidRPr="00007283">
        <w:rPr>
          <w:rFonts w:asciiTheme="minorHAnsi" w:hAnsiTheme="minorHAnsi"/>
          <w:sz w:val="18"/>
          <w:szCs w:val="18"/>
        </w:rPr>
        <w:t>Rozsudek Soudního dvora Evropské unie (velkého senátu) ze dne 7. prosince 2010 ve spojených věcech C-585/08 a C-144/09</w:t>
      </w:r>
      <w:r>
        <w:rPr>
          <w:rFonts w:asciiTheme="minorHAnsi" w:hAnsiTheme="minorHAnsi"/>
          <w:sz w:val="18"/>
          <w:szCs w:val="18"/>
        </w:rPr>
        <w:t>.</w:t>
      </w:r>
      <w:bookmarkEnd w:id="28"/>
      <w:r>
        <w:rPr>
          <w:rFonts w:asciiTheme="minorHAnsi" w:hAnsiTheme="minorHAnsi"/>
          <w:sz w:val="18"/>
          <w:szCs w:val="18"/>
        </w:rPr>
        <w:t xml:space="preserve"> In:</w:t>
      </w:r>
      <w:r w:rsidRPr="00A72EDB">
        <w:rPr>
          <w:rFonts w:asciiTheme="minorHAnsi" w:hAnsiTheme="minorHAnsi"/>
          <w:sz w:val="18"/>
          <w:szCs w:val="18"/>
        </w:rPr>
        <w:t xml:space="preserve"> </w:t>
      </w:r>
      <w:r w:rsidRPr="006B2BA0">
        <w:rPr>
          <w:rFonts w:asciiTheme="minorHAnsi" w:hAnsiTheme="minorHAnsi"/>
          <w:i/>
          <w:iCs/>
          <w:sz w:val="18"/>
          <w:szCs w:val="18"/>
        </w:rPr>
        <w:t>Beck-online</w:t>
      </w:r>
      <w:r>
        <w:rPr>
          <w:rFonts w:asciiTheme="minorHAnsi" w:hAnsiTheme="minorHAnsi"/>
          <w:sz w:val="18"/>
          <w:szCs w:val="18"/>
        </w:rPr>
        <w:t xml:space="preserve"> [online právní informační systém]. Nakladatelství C.H. Beck [cit. 1. 6</w:t>
      </w:r>
      <w:r w:rsidRPr="00EB61E7">
        <w:rPr>
          <w:rFonts w:asciiTheme="minorHAnsi" w:hAnsiTheme="minorHAnsi"/>
          <w:sz w:val="18"/>
          <w:szCs w:val="18"/>
        </w:rPr>
        <w:t>. 2019].</w:t>
      </w:r>
      <w:r>
        <w:rPr>
          <w:rFonts w:asciiTheme="minorHAnsi" w:hAnsiTheme="minorHAnsi"/>
          <w:sz w:val="18"/>
          <w:szCs w:val="18"/>
        </w:rPr>
        <w:t xml:space="preserve"> </w:t>
      </w:r>
      <w:r w:rsidRPr="00024CBA">
        <w:rPr>
          <w:rFonts w:asciiTheme="minorHAnsi" w:hAnsiTheme="minorHAnsi"/>
          <w:sz w:val="18"/>
          <w:szCs w:val="18"/>
        </w:rPr>
        <w:t xml:space="preserve">Dostupné z: </w:t>
      </w:r>
      <w:hyperlink r:id="rId5" w:history="1">
        <w:r w:rsidRPr="00E358BC">
          <w:rPr>
            <w:rStyle w:val="Hypertextovodkaz"/>
            <w:rFonts w:asciiTheme="minorHAnsi" w:hAnsiTheme="minorHAnsi"/>
            <w:sz w:val="18"/>
            <w:szCs w:val="18"/>
          </w:rPr>
          <w:t>www.beck-online.cz/bo/document-view.seam?documentId=mv2tmxzsgaydqx3dniydkobv&amp;groupIndex=2&amp;rowIndex=0</w:t>
        </w:r>
      </w:hyperlink>
      <w:r>
        <w:rPr>
          <w:rFonts w:asciiTheme="minorHAnsi" w:hAnsiTheme="minorHAnsi"/>
          <w:sz w:val="18"/>
          <w:szCs w:val="18"/>
        </w:rPr>
        <w:t xml:space="preserve"> </w:t>
      </w:r>
    </w:p>
  </w:footnote>
  <w:footnote w:id="99">
    <w:p w14:paraId="25C1E3D2" w14:textId="0BD46BA0" w:rsidR="0072007C" w:rsidRPr="00594844" w:rsidRDefault="0072007C" w:rsidP="00594844">
      <w:pPr>
        <w:pStyle w:val="Textpoznpodarou"/>
        <w:spacing w:line="240" w:lineRule="auto"/>
        <w:rPr>
          <w:rFonts w:asciiTheme="minorHAnsi" w:hAnsiTheme="minorHAnsi"/>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sidRPr="00007283">
        <w:rPr>
          <w:rFonts w:asciiTheme="minorHAnsi" w:hAnsiTheme="minorHAnsi"/>
          <w:sz w:val="18"/>
          <w:szCs w:val="18"/>
        </w:rPr>
        <w:tab/>
      </w:r>
      <w:bookmarkStart w:id="29" w:name="_Hlk23396396"/>
      <w:r w:rsidRPr="00007283">
        <w:rPr>
          <w:rFonts w:asciiTheme="minorHAnsi" w:hAnsiTheme="minorHAnsi"/>
          <w:sz w:val="18"/>
          <w:szCs w:val="18"/>
        </w:rPr>
        <w:t xml:space="preserve">RADVAN, Michal. </w:t>
      </w:r>
      <w:r w:rsidRPr="00007283">
        <w:rPr>
          <w:rFonts w:asciiTheme="minorHAnsi" w:hAnsiTheme="minorHAnsi"/>
          <w:i/>
          <w:iCs/>
          <w:sz w:val="18"/>
          <w:szCs w:val="18"/>
        </w:rPr>
        <w:t xml:space="preserve">Municipalities and Gambling Taxation in the Czech Republic. </w:t>
      </w:r>
      <w:r w:rsidRPr="00007283">
        <w:rPr>
          <w:rFonts w:asciiTheme="minorHAnsi" w:hAnsiTheme="minorHAnsi"/>
          <w:sz w:val="18"/>
          <w:szCs w:val="18"/>
        </w:rPr>
        <w:t xml:space="preserve">LEX </w:t>
      </w:r>
      <w:r>
        <w:rPr>
          <w:rFonts w:asciiTheme="minorHAnsi" w:hAnsiTheme="minorHAnsi"/>
          <w:sz w:val="18"/>
          <w:szCs w:val="18"/>
        </w:rPr>
        <w:t xml:space="preserve">LOCALIS – JOURNAL OF </w:t>
      </w:r>
      <w:r w:rsidRPr="00594844">
        <w:rPr>
          <w:rFonts w:asciiTheme="minorHAnsi" w:hAnsiTheme="minorHAnsi"/>
          <w:sz w:val="18"/>
          <w:szCs w:val="18"/>
        </w:rPr>
        <w:t>LOCAL SELF-GOVERNMENT. 2017, vol. 15, no. 3, s. 536</w:t>
      </w:r>
      <w:bookmarkEnd w:id="29"/>
    </w:p>
  </w:footnote>
  <w:footnote w:id="100">
    <w:p w14:paraId="1A4DBEDE" w14:textId="77777777" w:rsidR="0072007C" w:rsidRPr="00594844" w:rsidRDefault="0072007C" w:rsidP="00594844">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 4 odst. 1 písm. a) zákona o hazardních hrách</w:t>
      </w:r>
    </w:p>
  </w:footnote>
  <w:footnote w:id="101">
    <w:p w14:paraId="339FFA61" w14:textId="77777777" w:rsidR="0072007C" w:rsidRPr="00594844" w:rsidRDefault="0072007C" w:rsidP="00594844">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 4 odst. 2 zákona o hazardních hrách</w:t>
      </w:r>
    </w:p>
  </w:footnote>
  <w:footnote w:id="102">
    <w:p w14:paraId="1B5529C4" w14:textId="3830FD43" w:rsidR="0072007C" w:rsidRPr="00594844" w:rsidRDefault="0072007C" w:rsidP="00594844">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r>
      <w:bookmarkStart w:id="30" w:name="_Hlk23411477"/>
      <w:r w:rsidRPr="00594844">
        <w:rPr>
          <w:rFonts w:asciiTheme="minorHAnsi" w:hAnsiTheme="minorHAnsi"/>
          <w:sz w:val="18"/>
          <w:szCs w:val="18"/>
        </w:rPr>
        <w:t>ŠINDELKA, Vladimír. Daňová harmonizace – pokračování.</w:t>
      </w:r>
      <w:r w:rsidR="00594844" w:rsidRPr="00594844">
        <w:rPr>
          <w:rFonts w:asciiTheme="minorHAnsi" w:hAnsiTheme="minorHAnsi"/>
          <w:sz w:val="18"/>
          <w:szCs w:val="18"/>
        </w:rPr>
        <w:t xml:space="preserve"> Finance.cz [online], publikováno 27. 6. 2001 [cit. 5. 10. 2019]. Dostupné z: </w:t>
      </w:r>
      <w:hyperlink r:id="rId6" w:history="1">
        <w:r w:rsidR="00594844" w:rsidRPr="00594844">
          <w:rPr>
            <w:rStyle w:val="Hypertextovodkaz"/>
            <w:rFonts w:asciiTheme="minorHAnsi" w:hAnsiTheme="minorHAnsi"/>
            <w:sz w:val="18"/>
            <w:szCs w:val="18"/>
          </w:rPr>
          <w:t>https://www.finance.cz/zpravy/finance/17361-danova-harmonizace-pokracovani/</w:t>
        </w:r>
      </w:hyperlink>
    </w:p>
    <w:bookmarkEnd w:id="30"/>
  </w:footnote>
  <w:footnote w:id="103">
    <w:p w14:paraId="2D300578" w14:textId="77777777" w:rsidR="0072007C" w:rsidRPr="00594844" w:rsidRDefault="0072007C" w:rsidP="00594844">
      <w:pPr>
        <w:pStyle w:val="Textpoznpodarou"/>
        <w:spacing w:line="240" w:lineRule="auto"/>
        <w:rPr>
          <w:rFonts w:ascii="Times New Roman" w:hAnsi="Times New Roman"/>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 xml:space="preserve">BOHÁČ, KRASULOVÁ, 2017, op. cit., s. 45 </w:t>
      </w:r>
    </w:p>
  </w:footnote>
  <w:footnote w:id="104">
    <w:p w14:paraId="264E8817" w14:textId="77777777" w:rsidR="0072007C" w:rsidRPr="00007283" w:rsidRDefault="0072007C" w:rsidP="00594844">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BOHÁČ, KRASULOVÁ, 2017, op. cit., s. 45-48</w:t>
      </w:r>
    </w:p>
  </w:footnote>
  <w:footnote w:id="105">
    <w:p w14:paraId="2DC79660" w14:textId="77777777" w:rsidR="0072007C" w:rsidRPr="00007283" w:rsidRDefault="0072007C" w:rsidP="00F909D7">
      <w:pPr>
        <w:pStyle w:val="Textpoznpodarou"/>
        <w:spacing w:line="240" w:lineRule="auto"/>
        <w:rPr>
          <w:rFonts w:asciiTheme="minorHAnsi" w:hAnsiTheme="minorHAnsi"/>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Pr>
          <w:rFonts w:asciiTheme="minorHAnsi" w:hAnsiTheme="minorHAnsi"/>
          <w:sz w:val="18"/>
          <w:szCs w:val="18"/>
        </w:rPr>
        <w:tab/>
      </w:r>
      <w:r w:rsidRPr="00007283">
        <w:rPr>
          <w:rFonts w:asciiTheme="minorHAnsi" w:hAnsiTheme="minorHAnsi"/>
          <w:sz w:val="18"/>
          <w:szCs w:val="18"/>
        </w:rPr>
        <w:t xml:space="preserve">§ 4 odst. 3 zákona </w:t>
      </w:r>
      <w:r>
        <w:rPr>
          <w:rFonts w:asciiTheme="minorHAnsi" w:hAnsiTheme="minorHAnsi"/>
          <w:sz w:val="18"/>
          <w:szCs w:val="18"/>
        </w:rPr>
        <w:t>o hazardních hrách</w:t>
      </w:r>
      <w:r w:rsidRPr="006E2534">
        <w:rPr>
          <w:rFonts w:asciiTheme="minorHAnsi" w:hAnsiTheme="minorHAnsi"/>
          <w:sz w:val="18"/>
          <w:szCs w:val="18"/>
        </w:rPr>
        <w:t xml:space="preserve"> </w:t>
      </w:r>
    </w:p>
  </w:footnote>
  <w:footnote w:id="106">
    <w:p w14:paraId="5CE0A74E" w14:textId="77777777" w:rsidR="0072007C" w:rsidRPr="00007283" w:rsidRDefault="0072007C" w:rsidP="00F909D7">
      <w:pPr>
        <w:pStyle w:val="Textpoznpodarou"/>
        <w:spacing w:line="240" w:lineRule="auto"/>
        <w:rPr>
          <w:rFonts w:asciiTheme="minorHAnsi" w:hAnsiTheme="minorHAnsi"/>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Pr>
          <w:rFonts w:asciiTheme="minorHAnsi" w:hAnsiTheme="minorHAnsi"/>
          <w:sz w:val="18"/>
          <w:szCs w:val="18"/>
        </w:rPr>
        <w:tab/>
      </w:r>
      <w:r w:rsidRPr="00007283">
        <w:rPr>
          <w:rFonts w:asciiTheme="minorHAnsi" w:hAnsiTheme="minorHAnsi"/>
          <w:sz w:val="18"/>
          <w:szCs w:val="18"/>
        </w:rPr>
        <w:t xml:space="preserve">§ 85 zákona </w:t>
      </w:r>
      <w:r>
        <w:rPr>
          <w:rFonts w:asciiTheme="minorHAnsi" w:hAnsiTheme="minorHAnsi"/>
          <w:sz w:val="18"/>
          <w:szCs w:val="18"/>
        </w:rPr>
        <w:t>o hazardních hrách</w:t>
      </w:r>
    </w:p>
  </w:footnote>
  <w:footnote w:id="107">
    <w:p w14:paraId="317F51A6" w14:textId="77777777" w:rsidR="0072007C" w:rsidRPr="00007283" w:rsidRDefault="0072007C" w:rsidP="00F909D7">
      <w:pPr>
        <w:pStyle w:val="Textpoznpodarou"/>
        <w:spacing w:line="240" w:lineRule="auto"/>
        <w:rPr>
          <w:rFonts w:asciiTheme="minorHAnsi" w:hAnsiTheme="minorHAnsi"/>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Pr>
          <w:rFonts w:asciiTheme="minorHAnsi" w:hAnsiTheme="minorHAnsi"/>
          <w:sz w:val="18"/>
          <w:szCs w:val="18"/>
        </w:rPr>
        <w:tab/>
      </w:r>
      <w:r w:rsidRPr="00007283">
        <w:rPr>
          <w:rFonts w:asciiTheme="minorHAnsi" w:hAnsiTheme="minorHAnsi"/>
          <w:sz w:val="18"/>
          <w:szCs w:val="18"/>
        </w:rPr>
        <w:t xml:space="preserve">§ 97 odst. 1 zákona </w:t>
      </w:r>
      <w:r>
        <w:rPr>
          <w:rFonts w:asciiTheme="minorHAnsi" w:hAnsiTheme="minorHAnsi"/>
          <w:sz w:val="18"/>
          <w:szCs w:val="18"/>
        </w:rPr>
        <w:t>o hazardních hrách</w:t>
      </w:r>
    </w:p>
  </w:footnote>
  <w:footnote w:id="108">
    <w:p w14:paraId="7C6C1FDF" w14:textId="77777777" w:rsidR="0072007C" w:rsidRPr="00705279" w:rsidRDefault="0072007C" w:rsidP="00F909D7">
      <w:pPr>
        <w:pStyle w:val="Textpoznpodarou"/>
        <w:spacing w:line="240" w:lineRule="auto"/>
        <w:rPr>
          <w:rFonts w:ascii="Times New Roman" w:hAnsi="Times New Roman"/>
          <w:sz w:val="18"/>
          <w:szCs w:val="18"/>
        </w:rPr>
      </w:pPr>
      <w:r w:rsidRPr="00007283">
        <w:rPr>
          <w:rStyle w:val="Znakapoznpodarou"/>
          <w:rFonts w:asciiTheme="minorHAnsi" w:hAnsiTheme="minorHAnsi"/>
          <w:sz w:val="18"/>
          <w:szCs w:val="18"/>
        </w:rPr>
        <w:footnoteRef/>
      </w:r>
      <w:r w:rsidRPr="00007283">
        <w:rPr>
          <w:rFonts w:asciiTheme="minorHAnsi" w:hAnsiTheme="minorHAnsi"/>
          <w:sz w:val="18"/>
          <w:szCs w:val="18"/>
        </w:rPr>
        <w:t xml:space="preserve"> </w:t>
      </w:r>
      <w:r>
        <w:rPr>
          <w:rFonts w:asciiTheme="minorHAnsi" w:hAnsiTheme="minorHAnsi"/>
          <w:sz w:val="18"/>
          <w:szCs w:val="18"/>
        </w:rPr>
        <w:tab/>
      </w:r>
      <w:r w:rsidRPr="00007283">
        <w:rPr>
          <w:rFonts w:asciiTheme="minorHAnsi" w:hAnsiTheme="minorHAnsi"/>
          <w:sz w:val="18"/>
          <w:szCs w:val="18"/>
        </w:rPr>
        <w:t xml:space="preserve">§ 105 zákona </w:t>
      </w:r>
      <w:r>
        <w:rPr>
          <w:rFonts w:asciiTheme="minorHAnsi" w:hAnsiTheme="minorHAnsi"/>
          <w:sz w:val="18"/>
          <w:szCs w:val="18"/>
        </w:rPr>
        <w:t>o hazardních hrách</w:t>
      </w:r>
    </w:p>
  </w:footnote>
  <w:footnote w:id="109">
    <w:p w14:paraId="5B0FB4A8" w14:textId="77777777" w:rsidR="0072007C" w:rsidRPr="00DA620A" w:rsidRDefault="0072007C" w:rsidP="00F909D7">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007283">
        <w:rPr>
          <w:rFonts w:asciiTheme="minorHAnsi" w:hAnsiTheme="minorHAnsi"/>
          <w:sz w:val="18"/>
          <w:szCs w:val="18"/>
        </w:rPr>
        <w:t xml:space="preserve">RADVAN, </w:t>
      </w:r>
      <w:r>
        <w:rPr>
          <w:rFonts w:asciiTheme="minorHAnsi" w:hAnsiTheme="minorHAnsi"/>
          <w:sz w:val="18"/>
          <w:szCs w:val="18"/>
        </w:rPr>
        <w:t xml:space="preserve">2017, op. cit., s. 536 </w:t>
      </w:r>
    </w:p>
  </w:footnote>
  <w:footnote w:id="110">
    <w:p w14:paraId="04927A9C"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7 odst. 2 písm. a) zákona </w:t>
      </w:r>
      <w:r>
        <w:rPr>
          <w:rFonts w:asciiTheme="minorHAnsi" w:hAnsiTheme="minorHAnsi"/>
          <w:sz w:val="18"/>
          <w:szCs w:val="18"/>
        </w:rPr>
        <w:t>o hazardních hrách</w:t>
      </w:r>
    </w:p>
  </w:footnote>
  <w:footnote w:id="111">
    <w:p w14:paraId="02766387"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105 zákona </w:t>
      </w:r>
      <w:r>
        <w:rPr>
          <w:rFonts w:asciiTheme="minorHAnsi" w:hAnsiTheme="minorHAnsi"/>
          <w:sz w:val="18"/>
          <w:szCs w:val="18"/>
        </w:rPr>
        <w:t>o hazardních hrách</w:t>
      </w:r>
    </w:p>
  </w:footnote>
  <w:footnote w:id="112">
    <w:p w14:paraId="12D4F602"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85 zákona </w:t>
      </w:r>
      <w:r>
        <w:rPr>
          <w:rFonts w:asciiTheme="minorHAnsi" w:hAnsiTheme="minorHAnsi"/>
          <w:sz w:val="18"/>
          <w:szCs w:val="18"/>
        </w:rPr>
        <w:t>o hazardních hrách</w:t>
      </w:r>
    </w:p>
  </w:footnote>
  <w:footnote w:id="113">
    <w:p w14:paraId="0EEE548B" w14:textId="77777777" w:rsidR="0072007C" w:rsidRPr="00705279" w:rsidRDefault="0072007C" w:rsidP="00024CBA">
      <w:pPr>
        <w:pStyle w:val="Textpoznpodarou"/>
        <w:spacing w:line="240" w:lineRule="auto"/>
        <w:rPr>
          <w:rFonts w:ascii="Times New Roman" w:hAnsi="Times New Roman"/>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BOHÁČ, </w:t>
      </w:r>
      <w:r>
        <w:rPr>
          <w:rFonts w:asciiTheme="minorHAnsi" w:hAnsiTheme="minorHAnsi"/>
          <w:sz w:val="18"/>
          <w:szCs w:val="18"/>
        </w:rPr>
        <w:t>KRASULOVÁ, 2017, op. cit., s. 38-39</w:t>
      </w:r>
    </w:p>
  </w:footnote>
  <w:footnote w:id="114">
    <w:p w14:paraId="682E0A3F"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Pr>
          <w:rFonts w:asciiTheme="minorHAnsi" w:hAnsiTheme="minorHAnsi"/>
          <w:sz w:val="18"/>
          <w:szCs w:val="18"/>
        </w:rPr>
        <w:t xml:space="preserve">  </w:t>
      </w:r>
      <w:r w:rsidRPr="00DA620A">
        <w:rPr>
          <w:rFonts w:asciiTheme="minorHAnsi" w:hAnsiTheme="minorHAnsi"/>
          <w:sz w:val="18"/>
          <w:szCs w:val="18"/>
        </w:rPr>
        <w:t xml:space="preserve"> §</w:t>
      </w:r>
      <w:r>
        <w:rPr>
          <w:rFonts w:asciiTheme="minorHAnsi" w:hAnsiTheme="minorHAnsi"/>
          <w:sz w:val="18"/>
          <w:szCs w:val="18"/>
        </w:rPr>
        <w:t xml:space="preserve"> </w:t>
      </w:r>
      <w:r w:rsidRPr="00DA620A">
        <w:rPr>
          <w:rFonts w:asciiTheme="minorHAnsi" w:hAnsiTheme="minorHAnsi"/>
          <w:sz w:val="18"/>
          <w:szCs w:val="18"/>
        </w:rPr>
        <w:t xml:space="preserve">19 zákona </w:t>
      </w:r>
      <w:r>
        <w:rPr>
          <w:rFonts w:asciiTheme="minorHAnsi" w:hAnsiTheme="minorHAnsi"/>
          <w:sz w:val="18"/>
          <w:szCs w:val="18"/>
        </w:rPr>
        <w:t>o hazardních hrách</w:t>
      </w:r>
    </w:p>
  </w:footnote>
  <w:footnote w:id="115">
    <w:p w14:paraId="494C041A"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BOHÁČ, </w:t>
      </w:r>
      <w:r>
        <w:rPr>
          <w:rFonts w:asciiTheme="minorHAnsi" w:hAnsiTheme="minorHAnsi"/>
          <w:sz w:val="18"/>
          <w:szCs w:val="18"/>
        </w:rPr>
        <w:t>KRASULOVÁ, 2017, op. cit., s. 49-51</w:t>
      </w:r>
    </w:p>
  </w:footnote>
  <w:footnote w:id="116">
    <w:p w14:paraId="044644E5"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2 odst. 2 zákona </w:t>
      </w:r>
      <w:r>
        <w:rPr>
          <w:rFonts w:asciiTheme="minorHAnsi" w:hAnsiTheme="minorHAnsi"/>
          <w:sz w:val="18"/>
          <w:szCs w:val="18"/>
        </w:rPr>
        <w:t>o dani z hazardních her</w:t>
      </w:r>
    </w:p>
  </w:footnote>
  <w:footnote w:id="117">
    <w:p w14:paraId="16CDCACD" w14:textId="10753AC0"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w:t>
      </w:r>
      <w:r>
        <w:rPr>
          <w:rFonts w:asciiTheme="minorHAnsi" w:hAnsiTheme="minorHAnsi"/>
          <w:sz w:val="18"/>
          <w:szCs w:val="18"/>
        </w:rPr>
        <w:t xml:space="preserve"> Sb., zákona o dani z hazardních her.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118">
    <w:p w14:paraId="6FE9EA7E"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sidRPr="00DA620A">
        <w:rPr>
          <w:rFonts w:asciiTheme="minorHAnsi" w:hAnsiTheme="minorHAnsi"/>
          <w:sz w:val="18"/>
          <w:szCs w:val="18"/>
        </w:rPr>
        <w:tab/>
        <w:t xml:space="preserve">§ 2 odst. 3 zákona </w:t>
      </w:r>
      <w:r>
        <w:rPr>
          <w:rFonts w:asciiTheme="minorHAnsi" w:hAnsiTheme="minorHAnsi"/>
          <w:sz w:val="18"/>
          <w:szCs w:val="18"/>
        </w:rPr>
        <w:t>o dani z hazardních her</w:t>
      </w:r>
    </w:p>
  </w:footnote>
  <w:footnote w:id="119">
    <w:p w14:paraId="7BD5E3AC"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sidRPr="00DA620A">
        <w:rPr>
          <w:rFonts w:asciiTheme="minorHAnsi" w:hAnsiTheme="minorHAnsi"/>
          <w:sz w:val="18"/>
          <w:szCs w:val="18"/>
        </w:rPr>
        <w:tab/>
        <w:t>KARFÍKOVÁ</w:t>
      </w:r>
      <w:r>
        <w:rPr>
          <w:rFonts w:asciiTheme="minorHAnsi" w:hAnsiTheme="minorHAnsi"/>
          <w:sz w:val="18"/>
          <w:szCs w:val="18"/>
        </w:rPr>
        <w:t xml:space="preserve"> a kol., 2018, op. cit., s. 159</w:t>
      </w:r>
    </w:p>
  </w:footnote>
  <w:footnote w:id="120">
    <w:p w14:paraId="578C4015" w14:textId="77777777" w:rsidR="0072007C" w:rsidRPr="00DA620A" w:rsidRDefault="0072007C" w:rsidP="00024CBA">
      <w:pPr>
        <w:pStyle w:val="Textpoznpodarou"/>
        <w:spacing w:line="240" w:lineRule="auto"/>
        <w:rPr>
          <w:rFonts w:asciiTheme="minorHAnsi" w:hAnsiTheme="minorHAnsi"/>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5 odst. 2 zákona </w:t>
      </w:r>
      <w:r>
        <w:rPr>
          <w:rFonts w:asciiTheme="minorHAnsi" w:hAnsiTheme="minorHAnsi"/>
          <w:sz w:val="18"/>
          <w:szCs w:val="18"/>
        </w:rPr>
        <w:t>o dani z hazardních her</w:t>
      </w:r>
    </w:p>
  </w:footnote>
  <w:footnote w:id="121">
    <w:p w14:paraId="3A83568C" w14:textId="77777777" w:rsidR="0072007C" w:rsidRPr="00705279" w:rsidRDefault="0072007C" w:rsidP="00024CBA">
      <w:pPr>
        <w:pStyle w:val="Textpoznpodarou"/>
        <w:spacing w:line="240" w:lineRule="auto"/>
        <w:rPr>
          <w:rFonts w:ascii="Times New Roman" w:hAnsi="Times New Roman"/>
          <w:sz w:val="18"/>
          <w:szCs w:val="18"/>
        </w:rPr>
      </w:pPr>
      <w:r w:rsidRPr="00DA620A">
        <w:rPr>
          <w:rStyle w:val="Znakapoznpodarou"/>
          <w:rFonts w:asciiTheme="minorHAnsi" w:hAnsiTheme="minorHAnsi"/>
          <w:sz w:val="18"/>
          <w:szCs w:val="18"/>
        </w:rPr>
        <w:footnoteRef/>
      </w:r>
      <w:r w:rsidRPr="00DA620A">
        <w:rPr>
          <w:rFonts w:asciiTheme="minorHAnsi" w:hAnsiTheme="minorHAnsi"/>
          <w:sz w:val="18"/>
          <w:szCs w:val="18"/>
        </w:rPr>
        <w:t xml:space="preserve"> </w:t>
      </w:r>
      <w:r>
        <w:rPr>
          <w:rFonts w:asciiTheme="minorHAnsi" w:hAnsiTheme="minorHAnsi"/>
          <w:sz w:val="18"/>
          <w:szCs w:val="18"/>
        </w:rPr>
        <w:tab/>
      </w:r>
      <w:r w:rsidRPr="00DA620A">
        <w:rPr>
          <w:rFonts w:asciiTheme="minorHAnsi" w:hAnsiTheme="minorHAnsi"/>
          <w:sz w:val="18"/>
          <w:szCs w:val="18"/>
        </w:rPr>
        <w:t xml:space="preserve">§ 3 odst. 1 zákona </w:t>
      </w:r>
      <w:r>
        <w:rPr>
          <w:rFonts w:asciiTheme="minorHAnsi" w:hAnsiTheme="minorHAnsi"/>
          <w:sz w:val="18"/>
          <w:szCs w:val="18"/>
        </w:rPr>
        <w:t>o dani z hazardních her</w:t>
      </w:r>
    </w:p>
  </w:footnote>
  <w:footnote w:id="122">
    <w:p w14:paraId="5DD9F440" w14:textId="77777777" w:rsidR="0072007C" w:rsidRPr="00705279" w:rsidRDefault="0072007C" w:rsidP="00775AA6">
      <w:pPr>
        <w:pStyle w:val="Textpoznpodarou"/>
        <w:spacing w:line="240" w:lineRule="auto"/>
        <w:rPr>
          <w:rFonts w:ascii="Times New Roman" w:hAnsi="Times New Roman"/>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w:t>
      </w:r>
      <w:r>
        <w:rPr>
          <w:rFonts w:asciiTheme="minorHAnsi" w:hAnsiTheme="minorHAnsi"/>
          <w:sz w:val="18"/>
          <w:szCs w:val="18"/>
        </w:rPr>
        <w:t xml:space="preserve"> Sb., o dani z hazardních her.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123">
    <w:p w14:paraId="0D7C2341" w14:textId="77777777" w:rsidR="0072007C" w:rsidRPr="00DC543A" w:rsidRDefault="0072007C" w:rsidP="00775AA6">
      <w:pPr>
        <w:pStyle w:val="Textpoznpodarou"/>
        <w:spacing w:line="240" w:lineRule="auto"/>
        <w:rPr>
          <w:rFonts w:asciiTheme="minorHAnsi" w:hAnsiTheme="minorHAnsi"/>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C543A">
        <w:rPr>
          <w:rFonts w:asciiTheme="minorHAnsi" w:hAnsiTheme="minorHAnsi"/>
          <w:sz w:val="18"/>
          <w:szCs w:val="18"/>
        </w:rPr>
        <w:t xml:space="preserve">BOHÁČ, </w:t>
      </w:r>
      <w:r>
        <w:rPr>
          <w:rFonts w:asciiTheme="minorHAnsi" w:hAnsiTheme="minorHAnsi"/>
          <w:sz w:val="18"/>
          <w:szCs w:val="18"/>
        </w:rPr>
        <w:t>KRASULOVÁ, 2017, op. cit., s. 6</w:t>
      </w:r>
    </w:p>
  </w:footnote>
  <w:footnote w:id="124">
    <w:p w14:paraId="6E612C95" w14:textId="77777777" w:rsidR="0072007C" w:rsidRPr="00705279" w:rsidRDefault="0072007C" w:rsidP="00775AA6">
      <w:pPr>
        <w:pStyle w:val="Textpoznpodarou"/>
        <w:spacing w:line="240" w:lineRule="auto"/>
        <w:rPr>
          <w:rFonts w:ascii="Times New Roman" w:hAnsi="Times New Roman"/>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C543A">
        <w:rPr>
          <w:rFonts w:asciiTheme="minorHAnsi" w:hAnsiTheme="minorHAnsi"/>
          <w:sz w:val="18"/>
          <w:szCs w:val="18"/>
        </w:rPr>
        <w:t xml:space="preserve">§ 10 odst. 5 zákona </w:t>
      </w:r>
      <w:r>
        <w:rPr>
          <w:rFonts w:asciiTheme="minorHAnsi" w:hAnsiTheme="minorHAnsi"/>
          <w:sz w:val="18"/>
          <w:szCs w:val="18"/>
        </w:rPr>
        <w:t>o hazardních hrách</w:t>
      </w:r>
    </w:p>
  </w:footnote>
  <w:footnote w:id="125">
    <w:p w14:paraId="5B9C086F" w14:textId="77777777" w:rsidR="0072007C" w:rsidRPr="00F94E9B" w:rsidRDefault="0072007C" w:rsidP="00024CBA">
      <w:pPr>
        <w:pStyle w:val="Textpoznpodarou"/>
        <w:spacing w:line="240" w:lineRule="auto"/>
        <w:rPr>
          <w:rFonts w:asciiTheme="minorHAnsi" w:hAnsiTheme="minorHAnsi"/>
          <w:sz w:val="18"/>
          <w:szCs w:val="18"/>
        </w:rPr>
      </w:pPr>
      <w:r w:rsidRPr="00F94E9B">
        <w:rPr>
          <w:rStyle w:val="Znakapoznpodarou"/>
          <w:rFonts w:asciiTheme="minorHAnsi" w:hAnsiTheme="minorHAnsi"/>
          <w:sz w:val="18"/>
          <w:szCs w:val="18"/>
        </w:rPr>
        <w:footnoteRef/>
      </w:r>
      <w:r w:rsidRPr="00F94E9B">
        <w:rPr>
          <w:rFonts w:asciiTheme="minorHAnsi" w:hAnsiTheme="minorHAnsi"/>
          <w:sz w:val="18"/>
          <w:szCs w:val="18"/>
        </w:rPr>
        <w:t xml:space="preserve"> </w:t>
      </w:r>
      <w:r>
        <w:rPr>
          <w:rFonts w:asciiTheme="minorHAnsi" w:hAnsiTheme="minorHAnsi"/>
          <w:sz w:val="18"/>
          <w:szCs w:val="18"/>
        </w:rPr>
        <w:tab/>
      </w:r>
      <w:r w:rsidRPr="00F94E9B">
        <w:rPr>
          <w:rFonts w:asciiTheme="minorHAnsi" w:hAnsiTheme="minorHAnsi"/>
          <w:sz w:val="18"/>
          <w:szCs w:val="18"/>
        </w:rPr>
        <w:t>RAJCHL</w:t>
      </w:r>
      <w:r>
        <w:rPr>
          <w:rFonts w:asciiTheme="minorHAnsi" w:hAnsiTheme="minorHAnsi"/>
          <w:sz w:val="18"/>
          <w:szCs w:val="18"/>
        </w:rPr>
        <w:t xml:space="preserve"> a kol., 2018, op. cit., s. 117-118</w:t>
      </w:r>
    </w:p>
  </w:footnote>
  <w:footnote w:id="126">
    <w:p w14:paraId="0BFC606C" w14:textId="77777777" w:rsidR="0072007C" w:rsidRPr="00F94E9B" w:rsidRDefault="0072007C" w:rsidP="00024CBA">
      <w:pPr>
        <w:pStyle w:val="Textpoznpodarou"/>
        <w:spacing w:line="240" w:lineRule="auto"/>
        <w:rPr>
          <w:rFonts w:asciiTheme="minorHAnsi" w:hAnsiTheme="minorHAnsi"/>
          <w:sz w:val="18"/>
          <w:szCs w:val="18"/>
        </w:rPr>
      </w:pPr>
      <w:r w:rsidRPr="00F94E9B">
        <w:rPr>
          <w:rStyle w:val="Znakapoznpodarou"/>
          <w:rFonts w:asciiTheme="minorHAnsi" w:hAnsiTheme="minorHAnsi"/>
          <w:sz w:val="18"/>
          <w:szCs w:val="18"/>
        </w:rPr>
        <w:footnoteRef/>
      </w:r>
      <w:r w:rsidRPr="00F94E9B">
        <w:rPr>
          <w:rFonts w:asciiTheme="minorHAnsi" w:hAnsiTheme="minorHAnsi"/>
          <w:sz w:val="18"/>
          <w:szCs w:val="18"/>
        </w:rPr>
        <w:t xml:space="preserve"> </w:t>
      </w:r>
      <w:r>
        <w:rPr>
          <w:rFonts w:asciiTheme="minorHAnsi" w:hAnsiTheme="minorHAnsi"/>
          <w:sz w:val="18"/>
          <w:szCs w:val="18"/>
        </w:rPr>
        <w:tab/>
      </w:r>
      <w:r w:rsidRPr="00F94E9B">
        <w:rPr>
          <w:rFonts w:asciiTheme="minorHAnsi" w:hAnsiTheme="minorHAnsi"/>
          <w:sz w:val="18"/>
          <w:szCs w:val="18"/>
        </w:rPr>
        <w:t xml:space="preserve">§ 7 odst. 4 zákona </w:t>
      </w:r>
      <w:r>
        <w:rPr>
          <w:rFonts w:asciiTheme="minorHAnsi" w:hAnsiTheme="minorHAnsi"/>
          <w:sz w:val="18"/>
          <w:szCs w:val="18"/>
        </w:rPr>
        <w:t>o hazardních hrách</w:t>
      </w:r>
    </w:p>
  </w:footnote>
  <w:footnote w:id="127">
    <w:p w14:paraId="6C0BB765" w14:textId="77777777" w:rsidR="0072007C" w:rsidRPr="00F94E9B" w:rsidRDefault="0072007C" w:rsidP="00024CBA">
      <w:pPr>
        <w:pStyle w:val="Textpoznpodarou"/>
        <w:spacing w:line="240" w:lineRule="auto"/>
        <w:rPr>
          <w:rFonts w:asciiTheme="minorHAnsi" w:hAnsiTheme="minorHAnsi"/>
          <w:sz w:val="18"/>
          <w:szCs w:val="18"/>
        </w:rPr>
      </w:pPr>
      <w:r w:rsidRPr="00F94E9B">
        <w:rPr>
          <w:rStyle w:val="Znakapoznpodarou"/>
          <w:rFonts w:asciiTheme="minorHAnsi" w:hAnsiTheme="minorHAnsi"/>
          <w:sz w:val="18"/>
          <w:szCs w:val="18"/>
        </w:rPr>
        <w:footnoteRef/>
      </w:r>
      <w:r w:rsidRPr="00F94E9B">
        <w:rPr>
          <w:rFonts w:asciiTheme="minorHAnsi" w:hAnsiTheme="minorHAnsi"/>
          <w:sz w:val="18"/>
          <w:szCs w:val="18"/>
        </w:rPr>
        <w:t xml:space="preserve"> </w:t>
      </w:r>
      <w:r>
        <w:rPr>
          <w:rFonts w:asciiTheme="minorHAnsi" w:hAnsiTheme="minorHAnsi"/>
          <w:sz w:val="18"/>
          <w:szCs w:val="18"/>
        </w:rPr>
        <w:tab/>
      </w:r>
      <w:r w:rsidRPr="00F94E9B">
        <w:rPr>
          <w:rFonts w:asciiTheme="minorHAnsi" w:hAnsiTheme="minorHAnsi"/>
          <w:sz w:val="18"/>
          <w:szCs w:val="18"/>
        </w:rPr>
        <w:t>§</w:t>
      </w:r>
      <w:r>
        <w:rPr>
          <w:rFonts w:asciiTheme="minorHAnsi" w:hAnsiTheme="minorHAnsi"/>
          <w:sz w:val="18"/>
          <w:szCs w:val="18"/>
        </w:rPr>
        <w:t xml:space="preserve"> </w:t>
      </w:r>
      <w:r w:rsidRPr="00F94E9B">
        <w:rPr>
          <w:rFonts w:asciiTheme="minorHAnsi" w:hAnsiTheme="minorHAnsi"/>
          <w:sz w:val="18"/>
          <w:szCs w:val="18"/>
        </w:rPr>
        <w:t xml:space="preserve">3 odst. 3 zákona </w:t>
      </w:r>
      <w:r>
        <w:rPr>
          <w:rFonts w:asciiTheme="minorHAnsi" w:hAnsiTheme="minorHAnsi"/>
          <w:sz w:val="18"/>
          <w:szCs w:val="18"/>
        </w:rPr>
        <w:t>o hazardních hrách</w:t>
      </w:r>
    </w:p>
  </w:footnote>
  <w:footnote w:id="128">
    <w:p w14:paraId="18878552" w14:textId="77777777" w:rsidR="0072007C" w:rsidRPr="00705279" w:rsidRDefault="0072007C" w:rsidP="00024CBA">
      <w:pPr>
        <w:pStyle w:val="Textpoznpodarou"/>
        <w:spacing w:line="240" w:lineRule="auto"/>
        <w:rPr>
          <w:rFonts w:ascii="Times New Roman" w:hAnsi="Times New Roman"/>
          <w:sz w:val="18"/>
          <w:szCs w:val="18"/>
        </w:rPr>
      </w:pPr>
      <w:r w:rsidRPr="00F94E9B">
        <w:rPr>
          <w:rStyle w:val="Znakapoznpodarou"/>
          <w:rFonts w:asciiTheme="minorHAnsi" w:hAnsiTheme="minorHAnsi"/>
          <w:sz w:val="18"/>
          <w:szCs w:val="18"/>
        </w:rPr>
        <w:footnoteRef/>
      </w:r>
      <w:r w:rsidRPr="00F94E9B">
        <w:rPr>
          <w:rFonts w:asciiTheme="minorHAnsi" w:hAnsiTheme="minorHAnsi"/>
          <w:sz w:val="18"/>
          <w:szCs w:val="18"/>
        </w:rPr>
        <w:t xml:space="preserve"> </w:t>
      </w:r>
      <w:r>
        <w:rPr>
          <w:rFonts w:asciiTheme="minorHAnsi" w:hAnsiTheme="minorHAnsi"/>
          <w:sz w:val="18"/>
          <w:szCs w:val="18"/>
        </w:rPr>
        <w:tab/>
      </w:r>
      <w:r w:rsidRPr="00F94E9B">
        <w:rPr>
          <w:rFonts w:asciiTheme="minorHAnsi" w:hAnsiTheme="minorHAnsi"/>
          <w:sz w:val="18"/>
          <w:szCs w:val="18"/>
        </w:rPr>
        <w:t xml:space="preserve">BOHÁČ, </w:t>
      </w:r>
      <w:r>
        <w:rPr>
          <w:rFonts w:asciiTheme="minorHAnsi" w:hAnsiTheme="minorHAnsi"/>
          <w:sz w:val="18"/>
          <w:szCs w:val="18"/>
        </w:rPr>
        <w:t xml:space="preserve">KRASULOVÁ, 2017, op. cit., s. 58-59 </w:t>
      </w:r>
    </w:p>
  </w:footnote>
  <w:footnote w:id="129">
    <w:p w14:paraId="2212565C" w14:textId="301759A0" w:rsidR="0072007C" w:rsidRPr="00DC543A" w:rsidRDefault="0072007C" w:rsidP="00024CBA">
      <w:pPr>
        <w:pStyle w:val="Textpoznpodarou"/>
        <w:spacing w:line="240" w:lineRule="auto"/>
        <w:rPr>
          <w:rFonts w:asciiTheme="minorHAnsi" w:hAnsiTheme="minorHAnsi"/>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w:t>
      </w:r>
      <w:r>
        <w:rPr>
          <w:rFonts w:asciiTheme="minorHAnsi" w:hAnsiTheme="minorHAnsi"/>
          <w:sz w:val="18"/>
          <w:szCs w:val="18"/>
        </w:rPr>
        <w:t xml:space="preserve"> Sb., o dani z hazardních her.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130">
    <w:p w14:paraId="3487CA69" w14:textId="77777777" w:rsidR="0072007C" w:rsidRPr="00DC543A" w:rsidRDefault="0072007C" w:rsidP="00024CBA">
      <w:pPr>
        <w:pStyle w:val="Textpoznpodarou"/>
        <w:spacing w:line="240" w:lineRule="auto"/>
        <w:rPr>
          <w:rFonts w:asciiTheme="minorHAnsi" w:hAnsiTheme="minorHAnsi"/>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C543A">
        <w:rPr>
          <w:rFonts w:asciiTheme="minorHAnsi" w:hAnsiTheme="minorHAnsi"/>
          <w:sz w:val="18"/>
          <w:szCs w:val="18"/>
        </w:rPr>
        <w:t>§</w:t>
      </w:r>
      <w:r>
        <w:rPr>
          <w:rFonts w:asciiTheme="minorHAnsi" w:hAnsiTheme="minorHAnsi"/>
          <w:sz w:val="18"/>
          <w:szCs w:val="18"/>
        </w:rPr>
        <w:t xml:space="preserve"> </w:t>
      </w:r>
      <w:r w:rsidRPr="00DC543A">
        <w:rPr>
          <w:rFonts w:asciiTheme="minorHAnsi" w:hAnsiTheme="minorHAnsi"/>
          <w:sz w:val="18"/>
          <w:szCs w:val="18"/>
        </w:rPr>
        <w:t xml:space="preserve">141 odst. 2 </w:t>
      </w:r>
      <w:r>
        <w:rPr>
          <w:rFonts w:asciiTheme="minorHAnsi" w:hAnsiTheme="minorHAnsi"/>
          <w:sz w:val="18"/>
          <w:szCs w:val="18"/>
        </w:rPr>
        <w:t>daňového řádu</w:t>
      </w:r>
    </w:p>
  </w:footnote>
  <w:footnote w:id="131">
    <w:p w14:paraId="5B2493DA" w14:textId="77777777" w:rsidR="0072007C" w:rsidRPr="00A80758" w:rsidRDefault="0072007C" w:rsidP="00024CBA">
      <w:r w:rsidRPr="00DC543A">
        <w:rPr>
          <w:rStyle w:val="Znakapoznpodarou"/>
          <w:rFonts w:asciiTheme="minorHAnsi" w:hAnsiTheme="minorHAnsi"/>
          <w:sz w:val="18"/>
          <w:szCs w:val="18"/>
        </w:rPr>
        <w:footnoteRef/>
      </w:r>
      <w:r>
        <w:rPr>
          <w:rFonts w:asciiTheme="minorHAnsi" w:hAnsiTheme="minorHAnsi"/>
          <w:sz w:val="18"/>
          <w:szCs w:val="18"/>
        </w:rPr>
        <w:t xml:space="preserve">   </w:t>
      </w:r>
      <w:r w:rsidRPr="00042369">
        <w:rPr>
          <w:rFonts w:asciiTheme="minorHAnsi" w:hAnsiTheme="minorHAnsi"/>
          <w:sz w:val="18"/>
          <w:szCs w:val="18"/>
        </w:rPr>
        <w:t>RADVAN</w:t>
      </w:r>
      <w:r>
        <w:rPr>
          <w:rFonts w:asciiTheme="minorHAnsi" w:hAnsiTheme="minorHAnsi"/>
          <w:sz w:val="18"/>
          <w:szCs w:val="18"/>
        </w:rPr>
        <w:t xml:space="preserve"> a kol., 2008, op. cit., s. 55</w:t>
      </w:r>
    </w:p>
  </w:footnote>
  <w:footnote w:id="132">
    <w:p w14:paraId="2548FD92" w14:textId="77777777" w:rsidR="0072007C" w:rsidRPr="00DC543A" w:rsidRDefault="0072007C" w:rsidP="00024CBA">
      <w:pPr>
        <w:pStyle w:val="Textpoznpodarou"/>
        <w:spacing w:line="240" w:lineRule="auto"/>
        <w:rPr>
          <w:rFonts w:asciiTheme="minorHAnsi" w:hAnsiTheme="minorHAnsi"/>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C543A">
        <w:rPr>
          <w:rFonts w:asciiTheme="minorHAnsi" w:hAnsiTheme="minorHAnsi"/>
          <w:sz w:val="18"/>
          <w:szCs w:val="18"/>
        </w:rPr>
        <w:t>BOHÁČ,</w:t>
      </w:r>
      <w:r>
        <w:rPr>
          <w:rFonts w:asciiTheme="minorHAnsi" w:hAnsiTheme="minorHAnsi"/>
          <w:sz w:val="18"/>
          <w:szCs w:val="18"/>
        </w:rPr>
        <w:t xml:space="preserve"> KRASULOVÁ, 2017, op. cit., s. 62-63</w:t>
      </w:r>
    </w:p>
  </w:footnote>
  <w:footnote w:id="133">
    <w:p w14:paraId="7C3488AD" w14:textId="77777777" w:rsidR="0072007C" w:rsidRPr="00DC543A" w:rsidRDefault="0072007C" w:rsidP="00024CBA">
      <w:pPr>
        <w:pStyle w:val="Textpoznpodarou"/>
        <w:spacing w:line="240" w:lineRule="auto"/>
        <w:rPr>
          <w:rFonts w:asciiTheme="minorHAnsi" w:hAnsiTheme="minorHAnsi"/>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t>Tamtéž</w:t>
      </w:r>
      <w:r w:rsidRPr="00DC543A">
        <w:rPr>
          <w:rFonts w:asciiTheme="minorHAnsi" w:hAnsiTheme="minorHAnsi"/>
          <w:sz w:val="18"/>
          <w:szCs w:val="18"/>
        </w:rPr>
        <w:t>, s. 63.</w:t>
      </w:r>
    </w:p>
  </w:footnote>
  <w:footnote w:id="134">
    <w:p w14:paraId="066C4F5C" w14:textId="77777777" w:rsidR="0072007C" w:rsidRPr="00705279" w:rsidRDefault="0072007C" w:rsidP="00024CBA">
      <w:pPr>
        <w:pStyle w:val="Textpoznpodarou"/>
        <w:spacing w:line="240" w:lineRule="auto"/>
        <w:rPr>
          <w:rFonts w:ascii="Times New Roman" w:hAnsi="Times New Roman"/>
          <w:sz w:val="18"/>
          <w:szCs w:val="18"/>
        </w:rPr>
      </w:pPr>
      <w:r w:rsidRPr="00DC543A">
        <w:rPr>
          <w:rStyle w:val="Znakapoznpodarou"/>
          <w:rFonts w:asciiTheme="minorHAnsi" w:hAnsiTheme="minorHAnsi"/>
          <w:sz w:val="18"/>
          <w:szCs w:val="18"/>
        </w:rPr>
        <w:footnoteRef/>
      </w:r>
      <w:r w:rsidRPr="00DC543A">
        <w:rPr>
          <w:rFonts w:asciiTheme="minorHAnsi" w:hAnsiTheme="minorHAnsi"/>
          <w:sz w:val="18"/>
          <w:szCs w:val="18"/>
        </w:rPr>
        <w:t xml:space="preserve"> </w:t>
      </w:r>
      <w:r>
        <w:rPr>
          <w:rFonts w:asciiTheme="minorHAnsi" w:hAnsiTheme="minorHAnsi"/>
          <w:sz w:val="18"/>
          <w:szCs w:val="18"/>
        </w:rPr>
        <w:tab/>
      </w:r>
      <w:r w:rsidRPr="00D64D1B">
        <w:rPr>
          <w:rFonts w:asciiTheme="minorHAnsi" w:hAnsiTheme="minorHAnsi"/>
          <w:sz w:val="18"/>
          <w:szCs w:val="18"/>
        </w:rPr>
        <w:t>Důvodová zpráva k zákonu č. 187/2016</w:t>
      </w:r>
      <w:r>
        <w:rPr>
          <w:rFonts w:asciiTheme="minorHAnsi" w:hAnsiTheme="minorHAnsi"/>
          <w:sz w:val="18"/>
          <w:szCs w:val="18"/>
        </w:rPr>
        <w:t xml:space="preserve"> Sb., o dani z hazardních her. </w:t>
      </w:r>
      <w:r w:rsidRPr="006E2534">
        <w:rPr>
          <w:rFonts w:asciiTheme="minorHAnsi" w:hAnsiTheme="minorHAnsi"/>
          <w:sz w:val="18"/>
          <w:szCs w:val="18"/>
        </w:rPr>
        <w:t xml:space="preserve">In: </w:t>
      </w:r>
      <w:r w:rsidRPr="006E2534">
        <w:rPr>
          <w:rFonts w:asciiTheme="minorHAnsi" w:hAnsiTheme="minorHAnsi"/>
          <w:i/>
          <w:iCs/>
          <w:sz w:val="18"/>
          <w:szCs w:val="18"/>
        </w:rPr>
        <w:t>ASPI</w:t>
      </w:r>
      <w:r w:rsidRPr="006E2534">
        <w:rPr>
          <w:rFonts w:asciiTheme="minorHAnsi" w:hAnsiTheme="minorHAnsi"/>
          <w:sz w:val="18"/>
          <w:szCs w:val="18"/>
        </w:rPr>
        <w:t xml:space="preserve"> [právní informační systém]. Wolters Kluwer ČR [cit. 2. 6. 201</w:t>
      </w:r>
      <w:r>
        <w:rPr>
          <w:rFonts w:asciiTheme="minorHAnsi" w:hAnsiTheme="minorHAnsi"/>
          <w:sz w:val="18"/>
          <w:szCs w:val="18"/>
        </w:rPr>
        <w:t>8</w:t>
      </w:r>
      <w:r w:rsidRPr="006E2534">
        <w:rPr>
          <w:rFonts w:asciiTheme="minorHAnsi" w:hAnsiTheme="minorHAnsi"/>
          <w:sz w:val="18"/>
          <w:szCs w:val="18"/>
        </w:rPr>
        <w:t>].</w:t>
      </w:r>
    </w:p>
  </w:footnote>
  <w:footnote w:id="135">
    <w:p w14:paraId="042D2F4D" w14:textId="77777777" w:rsidR="0072007C" w:rsidRPr="00B95A3E" w:rsidRDefault="0072007C" w:rsidP="00B95A3E">
      <w:pPr>
        <w:pStyle w:val="Textpoznpodarou"/>
        <w:spacing w:line="240" w:lineRule="auto"/>
        <w:rPr>
          <w:rFonts w:asciiTheme="minorHAnsi" w:hAnsiTheme="minorHAnsi"/>
          <w:sz w:val="18"/>
          <w:szCs w:val="18"/>
        </w:rPr>
      </w:pPr>
      <w:r w:rsidRPr="00A80758">
        <w:rPr>
          <w:rStyle w:val="Znakapoznpodarou"/>
          <w:rFonts w:asciiTheme="minorHAnsi" w:hAnsiTheme="minorHAnsi"/>
          <w:sz w:val="18"/>
          <w:szCs w:val="18"/>
        </w:rPr>
        <w:footnoteRef/>
      </w:r>
      <w:r w:rsidRPr="00A80758">
        <w:rPr>
          <w:rFonts w:asciiTheme="minorHAnsi" w:hAnsiTheme="minorHAnsi"/>
          <w:sz w:val="18"/>
          <w:szCs w:val="18"/>
        </w:rPr>
        <w:t xml:space="preserve"> </w:t>
      </w:r>
      <w:r>
        <w:rPr>
          <w:rFonts w:asciiTheme="minorHAnsi" w:hAnsiTheme="minorHAnsi"/>
          <w:sz w:val="18"/>
          <w:szCs w:val="18"/>
        </w:rPr>
        <w:tab/>
      </w:r>
      <w:r w:rsidRPr="00B95A3E">
        <w:rPr>
          <w:rFonts w:asciiTheme="minorHAnsi" w:hAnsiTheme="minorHAnsi"/>
          <w:sz w:val="18"/>
          <w:szCs w:val="18"/>
        </w:rPr>
        <w:t>§ 3 odst. 2 zákona o dani z hazardních her</w:t>
      </w:r>
    </w:p>
  </w:footnote>
  <w:footnote w:id="136">
    <w:p w14:paraId="687A0156" w14:textId="77777777" w:rsidR="00CA7DD6" w:rsidRPr="00B95A3E" w:rsidRDefault="00CA7DD6" w:rsidP="00CA7DD6">
      <w:pPr>
        <w:pStyle w:val="Textpoznpodarou"/>
        <w:spacing w:line="240" w:lineRule="auto"/>
        <w:rPr>
          <w:sz w:val="18"/>
          <w:szCs w:val="18"/>
        </w:rPr>
      </w:pPr>
      <w:r w:rsidRPr="00B95A3E">
        <w:rPr>
          <w:rStyle w:val="Znakapoznpodarou"/>
          <w:sz w:val="18"/>
          <w:szCs w:val="18"/>
        </w:rPr>
        <w:footnoteRef/>
      </w:r>
      <w:r w:rsidRPr="00B95A3E">
        <w:rPr>
          <w:sz w:val="18"/>
          <w:szCs w:val="18"/>
        </w:rPr>
        <w:t xml:space="preserve"> </w:t>
      </w:r>
      <w:r w:rsidRPr="00B95A3E">
        <w:rPr>
          <w:sz w:val="18"/>
          <w:szCs w:val="18"/>
        </w:rPr>
        <w:tab/>
        <w:t>Zákon č. 187/2016 Sb., o dani z hazardních her, ve znění zákona č. 80/2019 Sb.</w:t>
      </w:r>
      <w:r>
        <w:rPr>
          <w:sz w:val="18"/>
          <w:szCs w:val="18"/>
        </w:rPr>
        <w:t xml:space="preserve"> </w:t>
      </w:r>
      <w:r w:rsidRPr="007D1DC4">
        <w:rPr>
          <w:rFonts w:asciiTheme="minorHAnsi" w:hAnsiTheme="minorHAnsi"/>
        </w:rPr>
        <w:t xml:space="preserve">In: </w:t>
      </w:r>
      <w:r w:rsidRPr="007D1DC4">
        <w:rPr>
          <w:rFonts w:asciiTheme="minorHAnsi" w:hAnsiTheme="minorHAnsi"/>
          <w:i/>
          <w:iCs/>
        </w:rPr>
        <w:t>ASPI</w:t>
      </w:r>
      <w:r w:rsidRPr="007D1DC4">
        <w:rPr>
          <w:rFonts w:asciiTheme="minorHAnsi" w:hAnsiTheme="minorHAnsi"/>
        </w:rPr>
        <w:t xml:space="preserve"> [právní informační systém]. Wolters Kluwer ČR [cit. </w:t>
      </w:r>
      <w:r>
        <w:rPr>
          <w:rFonts w:asciiTheme="minorHAnsi" w:hAnsiTheme="minorHAnsi"/>
        </w:rPr>
        <w:t>1</w:t>
      </w:r>
      <w:r w:rsidRPr="007D1DC4">
        <w:rPr>
          <w:rFonts w:asciiTheme="minorHAnsi" w:hAnsiTheme="minorHAnsi"/>
        </w:rPr>
        <w:t xml:space="preserve">. </w:t>
      </w:r>
      <w:r>
        <w:rPr>
          <w:rFonts w:asciiTheme="minorHAnsi" w:hAnsiTheme="minorHAnsi"/>
        </w:rPr>
        <w:t>12</w:t>
      </w:r>
      <w:r w:rsidRPr="007D1DC4">
        <w:rPr>
          <w:rFonts w:asciiTheme="minorHAnsi" w:hAnsiTheme="minorHAnsi"/>
        </w:rPr>
        <w:t>. 20</w:t>
      </w:r>
      <w:r>
        <w:rPr>
          <w:rFonts w:asciiTheme="minorHAnsi" w:hAnsiTheme="minorHAnsi"/>
        </w:rPr>
        <w:t>19</w:t>
      </w:r>
      <w:r w:rsidRPr="007D1DC4">
        <w:rPr>
          <w:rFonts w:asciiTheme="minorHAnsi" w:hAnsiTheme="minorHAnsi"/>
        </w:rPr>
        <w:t>].</w:t>
      </w:r>
    </w:p>
  </w:footnote>
  <w:footnote w:id="137">
    <w:p w14:paraId="547C5D43" w14:textId="77777777" w:rsidR="0072007C" w:rsidRPr="00586093" w:rsidRDefault="0072007C" w:rsidP="00B95A3E">
      <w:pPr>
        <w:pStyle w:val="Textpoznpodarou"/>
        <w:spacing w:line="240" w:lineRule="auto"/>
        <w:rPr>
          <w:rFonts w:asciiTheme="minorHAnsi" w:hAnsiTheme="minorHAnsi"/>
          <w:sz w:val="18"/>
          <w:szCs w:val="18"/>
        </w:rPr>
      </w:pPr>
      <w:r w:rsidRPr="00B95A3E">
        <w:rPr>
          <w:rStyle w:val="Znakapoznpodarou"/>
          <w:rFonts w:asciiTheme="minorHAnsi" w:hAnsiTheme="minorHAnsi"/>
          <w:sz w:val="18"/>
          <w:szCs w:val="18"/>
        </w:rPr>
        <w:footnoteRef/>
      </w:r>
      <w:r w:rsidRPr="00B95A3E">
        <w:rPr>
          <w:rFonts w:asciiTheme="minorHAnsi" w:hAnsiTheme="minorHAnsi"/>
          <w:sz w:val="18"/>
          <w:szCs w:val="18"/>
        </w:rPr>
        <w:t xml:space="preserve"> </w:t>
      </w:r>
      <w:r w:rsidRPr="00B95A3E">
        <w:rPr>
          <w:rFonts w:asciiTheme="minorHAnsi" w:hAnsiTheme="minorHAnsi"/>
          <w:sz w:val="18"/>
          <w:szCs w:val="18"/>
        </w:rPr>
        <w:tab/>
        <w:t>KARFÍKOVÁ a kol., 2018, op. cit., s. 159-160</w:t>
      </w:r>
    </w:p>
  </w:footnote>
  <w:footnote w:id="138">
    <w:p w14:paraId="01CD4767" w14:textId="3CFD784D" w:rsidR="0072007C" w:rsidRPr="00586093" w:rsidRDefault="0072007C" w:rsidP="00586093">
      <w:pPr>
        <w:pStyle w:val="Textpoznpodarou"/>
        <w:spacing w:line="240" w:lineRule="auto"/>
        <w:rPr>
          <w:sz w:val="18"/>
          <w:szCs w:val="18"/>
        </w:rPr>
      </w:pPr>
      <w:r w:rsidRPr="00586093">
        <w:rPr>
          <w:rStyle w:val="Znakapoznpodarou"/>
          <w:sz w:val="18"/>
          <w:szCs w:val="18"/>
        </w:rPr>
        <w:footnoteRef/>
      </w:r>
      <w:r w:rsidRPr="00586093">
        <w:rPr>
          <w:sz w:val="18"/>
          <w:szCs w:val="18"/>
        </w:rPr>
        <w:t xml:space="preserve"> V průběhu zpracování diplomové práce došlo k přijetí zákona č. 364/2019 Sb., Zákon, kterým se mění některé zákony v oblasti daní v souvislosti se zvyšováním příjmů veřejných rozpočtů, který nabyl účinnosti 1. 1. 2020. Citovan</w:t>
      </w:r>
      <w:r>
        <w:rPr>
          <w:sz w:val="18"/>
          <w:szCs w:val="18"/>
        </w:rPr>
        <w:t>ý změnový zákon zvýšil sazbu daně pro dílčí základ daně z loterií na 35 %. V původním návrhu tohoto změnového zákona se objevily dvě různé sazby. Kdyby došlo k jeho přijetí, sazba daně z loterií a živých her by se zvýšila na 30 %, technické hry by byly zatíženy 35 %, tedy stejně jako je tomu doposud a u ostatních hazardních her by došlo k navýšení na 25 %.</w:t>
      </w:r>
    </w:p>
  </w:footnote>
  <w:footnote w:id="139">
    <w:p w14:paraId="4212A756" w14:textId="7355C2CC" w:rsidR="0072007C" w:rsidRPr="00586093" w:rsidRDefault="0072007C" w:rsidP="00586093">
      <w:pPr>
        <w:pStyle w:val="Textpoznpodarou"/>
        <w:spacing w:line="240" w:lineRule="auto"/>
        <w:rPr>
          <w:rFonts w:asciiTheme="minorHAnsi" w:hAnsiTheme="minorHAnsi"/>
          <w:sz w:val="18"/>
          <w:szCs w:val="18"/>
        </w:rPr>
      </w:pPr>
      <w:r w:rsidRPr="00586093">
        <w:rPr>
          <w:rStyle w:val="Znakapoznpodarou"/>
          <w:rFonts w:asciiTheme="minorHAnsi" w:hAnsiTheme="minorHAnsi"/>
          <w:sz w:val="18"/>
          <w:szCs w:val="18"/>
        </w:rPr>
        <w:footnoteRef/>
      </w:r>
      <w:r w:rsidRPr="00586093">
        <w:rPr>
          <w:rFonts w:asciiTheme="minorHAnsi" w:hAnsiTheme="minorHAnsi"/>
          <w:sz w:val="18"/>
          <w:szCs w:val="18"/>
        </w:rPr>
        <w:t xml:space="preserve"> </w:t>
      </w:r>
      <w:r w:rsidRPr="00586093">
        <w:rPr>
          <w:rFonts w:asciiTheme="minorHAnsi" w:hAnsiTheme="minorHAnsi"/>
          <w:sz w:val="18"/>
          <w:szCs w:val="18"/>
        </w:rPr>
        <w:tab/>
        <w:t xml:space="preserve">Důvodová zpráva k zákonu č. 187/2016 Sb., o dani z hazardních her. In: </w:t>
      </w:r>
      <w:r w:rsidRPr="00586093">
        <w:rPr>
          <w:rFonts w:asciiTheme="minorHAnsi" w:hAnsiTheme="minorHAnsi"/>
          <w:i/>
          <w:iCs/>
          <w:sz w:val="18"/>
          <w:szCs w:val="18"/>
        </w:rPr>
        <w:t>ASPI</w:t>
      </w:r>
      <w:r w:rsidRPr="00586093">
        <w:rPr>
          <w:rFonts w:asciiTheme="minorHAnsi" w:hAnsiTheme="minorHAnsi"/>
          <w:sz w:val="18"/>
          <w:szCs w:val="18"/>
        </w:rPr>
        <w:t xml:space="preserve"> [právní informační systém]. Wolters Kluwer ČR [cit. 2. 6. 2018]</w:t>
      </w:r>
    </w:p>
  </w:footnote>
  <w:footnote w:id="140">
    <w:p w14:paraId="60AA5978" w14:textId="7F1990D1" w:rsidR="0072007C" w:rsidRPr="00024CBA" w:rsidRDefault="0072007C" w:rsidP="00586093">
      <w:pPr>
        <w:pStyle w:val="Textpoznpodarou"/>
        <w:spacing w:line="240" w:lineRule="auto"/>
        <w:rPr>
          <w:rFonts w:asciiTheme="minorHAnsi" w:hAnsiTheme="minorHAnsi"/>
          <w:sz w:val="18"/>
          <w:szCs w:val="18"/>
        </w:rPr>
      </w:pPr>
      <w:r w:rsidRPr="00586093">
        <w:rPr>
          <w:rStyle w:val="Znakapoznpodarou"/>
          <w:rFonts w:asciiTheme="minorHAnsi" w:hAnsiTheme="minorHAnsi"/>
          <w:sz w:val="18"/>
          <w:szCs w:val="18"/>
        </w:rPr>
        <w:footnoteRef/>
      </w:r>
      <w:r w:rsidRPr="00586093">
        <w:rPr>
          <w:rFonts w:asciiTheme="minorHAnsi" w:hAnsiTheme="minorHAnsi"/>
          <w:sz w:val="18"/>
          <w:szCs w:val="18"/>
        </w:rPr>
        <w:t xml:space="preserve">  </w:t>
      </w:r>
      <w:bookmarkStart w:id="34" w:name="_Hlk23411774"/>
      <w:r w:rsidRPr="00586093">
        <w:rPr>
          <w:rFonts w:asciiTheme="minorHAnsi" w:hAnsiTheme="minorHAnsi"/>
          <w:sz w:val="18"/>
          <w:szCs w:val="18"/>
        </w:rPr>
        <w:t xml:space="preserve">Vládní návrh zákona č. 187/2016 Sb., o dani z hazardních her [online]. Dostupné z: </w:t>
      </w:r>
      <w:hyperlink r:id="rId7" w:history="1">
        <w:r w:rsidRPr="00586093">
          <w:rPr>
            <w:rStyle w:val="Hypertextovodkaz"/>
            <w:rFonts w:asciiTheme="minorHAnsi" w:hAnsiTheme="minorHAnsi"/>
            <w:color w:val="000000" w:themeColor="text1"/>
            <w:sz w:val="18"/>
            <w:szCs w:val="18"/>
            <w:u w:val="none"/>
          </w:rPr>
          <w:t>https://www.psp.cz/sqw/text/orig2.sqw?idd=115500</w:t>
        </w:r>
      </w:hyperlink>
      <w:r w:rsidRPr="00586093">
        <w:rPr>
          <w:rFonts w:asciiTheme="minorHAnsi" w:hAnsiTheme="minorHAnsi"/>
          <w:color w:val="000000" w:themeColor="text1"/>
          <w:sz w:val="18"/>
          <w:szCs w:val="18"/>
        </w:rPr>
        <w:t xml:space="preserve">. </w:t>
      </w:r>
      <w:r w:rsidRPr="00586093">
        <w:rPr>
          <w:rFonts w:asciiTheme="minorHAnsi" w:hAnsiTheme="minorHAnsi"/>
          <w:sz w:val="18"/>
          <w:szCs w:val="18"/>
        </w:rPr>
        <w:t>[cit. 2. 6. 2019]</w:t>
      </w:r>
      <w:bookmarkEnd w:id="34"/>
    </w:p>
  </w:footnote>
  <w:footnote w:id="141">
    <w:p w14:paraId="02373886" w14:textId="729CE0DC" w:rsidR="0072007C" w:rsidRPr="00BD3E55" w:rsidRDefault="0072007C" w:rsidP="00024CBA">
      <w:pPr>
        <w:pStyle w:val="Textpoznpodarou"/>
        <w:spacing w:line="240" w:lineRule="auto"/>
        <w:rPr>
          <w:rFonts w:asciiTheme="minorHAnsi" w:hAnsiTheme="minorHAnsi"/>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Důvodová zpráva k zákonu č. 187/2016 Sb., o dani z hazardních her. 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2. 6. 2018]</w:t>
      </w:r>
    </w:p>
  </w:footnote>
  <w:footnote w:id="142">
    <w:p w14:paraId="1B801DAF" w14:textId="3AE17EDA"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r>
      <w:bookmarkStart w:id="35" w:name="_Hlk23411840"/>
      <w:r w:rsidRPr="00024CBA">
        <w:rPr>
          <w:rFonts w:asciiTheme="minorHAnsi" w:hAnsiTheme="minorHAnsi"/>
          <w:sz w:val="18"/>
        </w:rPr>
        <w:t xml:space="preserve">PALÁN, Josef. Zdaňování hazardních her v EU [online].  </w:t>
      </w:r>
      <w:r w:rsidR="00D0470A">
        <w:rPr>
          <w:rFonts w:asciiTheme="minorHAnsi" w:hAnsiTheme="minorHAnsi"/>
          <w:sz w:val="18"/>
        </w:rPr>
        <w:t xml:space="preserve">Parlamentní institut, 2009. </w:t>
      </w:r>
      <w:r w:rsidRPr="00024CBA">
        <w:rPr>
          <w:rFonts w:asciiTheme="minorHAnsi" w:hAnsiTheme="minorHAnsi"/>
          <w:sz w:val="18"/>
        </w:rPr>
        <w:t>Dostupné z: http://www.psp.cz/sqw/text/orig2.sqw?idd=58577. [cit. 2. 6. 2019]</w:t>
      </w:r>
      <w:bookmarkEnd w:id="35"/>
    </w:p>
  </w:footnote>
  <w:footnote w:id="143">
    <w:p w14:paraId="1CFF947A" w14:textId="5A314993"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Důvodová zpráva Důvodová zpráva k zákonu č. 187/2016 Sb., o dani z hazardních her.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6. 2018]</w:t>
      </w:r>
    </w:p>
  </w:footnote>
  <w:footnote w:id="144">
    <w:p w14:paraId="13EFC4E5" w14:textId="77777777" w:rsidR="0072007C" w:rsidRPr="00024CBA" w:rsidRDefault="0072007C" w:rsidP="00024CBA">
      <w:pPr>
        <w:pStyle w:val="Textpoznpodarou"/>
        <w:spacing w:line="240" w:lineRule="auto"/>
        <w:rPr>
          <w:rFonts w:asciiTheme="minorHAnsi" w:hAnsiTheme="minorHAnsi"/>
          <w:sz w:val="16"/>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41c loterního zákona</w:t>
      </w:r>
    </w:p>
  </w:footnote>
  <w:footnote w:id="145">
    <w:p w14:paraId="70613DFC" w14:textId="77777777" w:rsidR="0072007C" w:rsidRPr="00BD3E55" w:rsidRDefault="0072007C" w:rsidP="00024CBA">
      <w:pPr>
        <w:pStyle w:val="Textpoznpodarou"/>
        <w:spacing w:line="240" w:lineRule="auto"/>
        <w:rPr>
          <w:rFonts w:ascii="Times New Roman" w:hAnsi="Times New Roman"/>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41c loterního zákona</w:t>
      </w:r>
    </w:p>
  </w:footnote>
  <w:footnote w:id="146">
    <w:p w14:paraId="5D93E09C" w14:textId="77777777" w:rsidR="0072007C" w:rsidRPr="00024CBA" w:rsidRDefault="0072007C" w:rsidP="00024CBA">
      <w:pPr>
        <w:pStyle w:val="Textpoznpodarou"/>
        <w:spacing w:line="240" w:lineRule="auto"/>
        <w:rPr>
          <w:rFonts w:asciiTheme="minorHAnsi" w:hAnsiTheme="minorHAnsi"/>
          <w:sz w:val="16"/>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BOHÁČ, KRASULOVÁ, 2017, op. cit., s. 75-76</w:t>
      </w:r>
    </w:p>
  </w:footnote>
  <w:footnote w:id="147">
    <w:p w14:paraId="0D1CA873" w14:textId="77777777" w:rsidR="0072007C" w:rsidRPr="00024CBA" w:rsidRDefault="0072007C" w:rsidP="00024CBA">
      <w:pPr>
        <w:pStyle w:val="Textpoznpodarou"/>
        <w:spacing w:line="240" w:lineRule="auto"/>
        <w:jc w:val="both"/>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KARFÍKOVÁ a kol., 2018, op. cit., s. 160</w:t>
      </w:r>
    </w:p>
  </w:footnote>
  <w:footnote w:id="148">
    <w:p w14:paraId="1F770D36" w14:textId="77777777" w:rsidR="0072007C" w:rsidRPr="00BD3E55" w:rsidRDefault="0072007C" w:rsidP="00024CBA">
      <w:pPr>
        <w:pStyle w:val="Textpoznpodarou"/>
        <w:spacing w:line="240" w:lineRule="auto"/>
        <w:jc w:val="both"/>
        <w:rPr>
          <w:rFonts w:asciiTheme="minorHAnsi" w:hAnsiTheme="minorHAnsi"/>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5 odst. 1 zákona o dani z hazardních her</w:t>
      </w:r>
    </w:p>
  </w:footnote>
  <w:footnote w:id="149">
    <w:p w14:paraId="35428465" w14:textId="77777777" w:rsidR="0072007C" w:rsidRPr="00024CBA" w:rsidRDefault="0072007C" w:rsidP="00BB00A4">
      <w:pPr>
        <w:pStyle w:val="Textpoznpodarou"/>
        <w:spacing w:line="240" w:lineRule="auto"/>
        <w:jc w:val="both"/>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5 odst. 2 zákona o dani z hazardních her</w:t>
      </w:r>
    </w:p>
  </w:footnote>
  <w:footnote w:id="150">
    <w:p w14:paraId="53DDDDDF" w14:textId="0D94BB86" w:rsidR="0072007C" w:rsidRPr="00024CBA" w:rsidRDefault="0072007C" w:rsidP="00BB00A4">
      <w:pPr>
        <w:pStyle w:val="Textpoznpodarou"/>
        <w:spacing w:line="240" w:lineRule="auto"/>
        <w:jc w:val="both"/>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 16 zákona č. 586/1992 Sb., zákon České národní rady o daních z příjmů, ve znění pozdějších předpisů.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4. 2018]</w:t>
      </w:r>
    </w:p>
  </w:footnote>
  <w:footnote w:id="151">
    <w:p w14:paraId="0195A349" w14:textId="768665AA" w:rsidR="0072007C" w:rsidRPr="00024CBA" w:rsidRDefault="0072007C" w:rsidP="00BB00A4">
      <w:pPr>
        <w:pStyle w:val="Textpoznpodarou"/>
        <w:spacing w:line="240" w:lineRule="auto"/>
        <w:jc w:val="both"/>
        <w:rPr>
          <w:rFonts w:asciiTheme="minorHAnsi" w:hAnsiTheme="minorHAnsi"/>
          <w:sz w:val="16"/>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 27 zákona č. 340/2013 Sb., Zákonné opatření Senátu o dani z nabytí nemovitých věcí, ve znění pozdějších předpisů.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4. 2018]</w:t>
      </w:r>
    </w:p>
  </w:footnote>
  <w:footnote w:id="152">
    <w:p w14:paraId="64A5D0E1" w14:textId="77777777" w:rsidR="0072007C" w:rsidRPr="00024CBA" w:rsidRDefault="0072007C" w:rsidP="00BB00A4">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KARFÍKOVÁ a kol., 2018, op. cit., s. 162</w:t>
      </w:r>
    </w:p>
  </w:footnote>
  <w:footnote w:id="153">
    <w:p w14:paraId="484B2BC5" w14:textId="77777777" w:rsidR="0072007C" w:rsidRPr="00024CBA" w:rsidRDefault="0072007C" w:rsidP="00BB00A4">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 4 písm. b) </w:t>
      </w:r>
      <w:bookmarkStart w:id="37" w:name="_Hlk23395568"/>
      <w:r w:rsidRPr="00024CBA">
        <w:rPr>
          <w:rFonts w:asciiTheme="minorHAnsi" w:hAnsiTheme="minorHAnsi"/>
          <w:sz w:val="18"/>
        </w:rPr>
        <w:t xml:space="preserve">zákona </w:t>
      </w:r>
      <w:bookmarkEnd w:id="37"/>
      <w:r w:rsidRPr="00024CBA">
        <w:rPr>
          <w:rFonts w:asciiTheme="minorHAnsi" w:hAnsiTheme="minorHAnsi"/>
          <w:sz w:val="18"/>
        </w:rPr>
        <w:t>o dani z hazardních her</w:t>
      </w:r>
    </w:p>
  </w:footnote>
  <w:footnote w:id="154">
    <w:p w14:paraId="06DAF651" w14:textId="77777777" w:rsidR="0072007C" w:rsidRPr="00024CBA" w:rsidRDefault="0072007C" w:rsidP="00BB00A4">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 </w:t>
      </w:r>
      <w:bookmarkStart w:id="38" w:name="_Hlk23395591"/>
      <w:r w:rsidRPr="00024CBA">
        <w:rPr>
          <w:rFonts w:asciiTheme="minorHAnsi" w:hAnsiTheme="minorHAnsi"/>
          <w:sz w:val="18"/>
        </w:rPr>
        <w:t xml:space="preserve">43 zákona </w:t>
      </w:r>
      <w:bookmarkEnd w:id="38"/>
      <w:r w:rsidRPr="00024CBA">
        <w:rPr>
          <w:rFonts w:asciiTheme="minorHAnsi" w:hAnsiTheme="minorHAnsi"/>
          <w:sz w:val="18"/>
        </w:rPr>
        <w:t>o hazardních hrách</w:t>
      </w:r>
    </w:p>
  </w:footnote>
  <w:footnote w:id="155">
    <w:p w14:paraId="19283B6C" w14:textId="77777777" w:rsidR="0072007C" w:rsidRPr="00BD3E55" w:rsidRDefault="0072007C" w:rsidP="00BB00A4">
      <w:pPr>
        <w:pStyle w:val="Textpoznpodarou"/>
        <w:spacing w:line="240" w:lineRule="auto"/>
        <w:rPr>
          <w:rFonts w:ascii="Times New Roman" w:hAnsi="Times New Roman"/>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5 odst. 3 zákona o dani z hazardních her</w:t>
      </w:r>
    </w:p>
  </w:footnote>
  <w:footnote w:id="156">
    <w:p w14:paraId="377C6857" w14:textId="77777777" w:rsidR="0072007C" w:rsidRPr="00024CBA" w:rsidRDefault="0072007C" w:rsidP="00024CBA">
      <w:pPr>
        <w:pStyle w:val="Textpoznpodarou"/>
        <w:spacing w:line="240" w:lineRule="auto"/>
        <w:rPr>
          <w:rFonts w:asciiTheme="minorHAnsi" w:hAnsiTheme="minorHAnsi"/>
          <w:sz w:val="16"/>
          <w:szCs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KARFÍKOVÁ a kol., 2018, op. cit., s. 161</w:t>
      </w:r>
    </w:p>
  </w:footnote>
  <w:footnote w:id="157">
    <w:p w14:paraId="3ABB9DBC"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41e loterního zákona</w:t>
      </w:r>
    </w:p>
  </w:footnote>
  <w:footnote w:id="158">
    <w:p w14:paraId="4A9EFDC1"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6 zákona o dani z hazardních her</w:t>
      </w:r>
    </w:p>
  </w:footnote>
  <w:footnote w:id="159">
    <w:p w14:paraId="5079A164" w14:textId="5B5E7A6F"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Důvodová zpráva k zákonu č. 187/2016 Sb. o dani z hazardních her.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6. 2018]</w:t>
      </w:r>
    </w:p>
  </w:footnote>
  <w:footnote w:id="160">
    <w:p w14:paraId="65314FB8" w14:textId="77777777" w:rsidR="0072007C" w:rsidRPr="00BD3E55" w:rsidRDefault="0072007C" w:rsidP="00024CBA">
      <w:pPr>
        <w:pStyle w:val="Textpoznpodarou"/>
        <w:spacing w:line="240" w:lineRule="auto"/>
        <w:rPr>
          <w:rFonts w:ascii="Times New Roman" w:hAnsi="Times New Roman"/>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BOHÁČ, KRASULOVÁ, 2017, op. cit., s. 90</w:t>
      </w:r>
    </w:p>
  </w:footnote>
  <w:footnote w:id="161">
    <w:p w14:paraId="2FCC303E"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BOHÁČ, KRASULOVÁ, 2017, op. cit., s. 90</w:t>
      </w:r>
    </w:p>
  </w:footnote>
  <w:footnote w:id="162">
    <w:p w14:paraId="476391AA"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KARFÍKOVÁ a kol., 2018, op. cit., s. 161</w:t>
      </w:r>
    </w:p>
  </w:footnote>
  <w:footnote w:id="163">
    <w:p w14:paraId="51D80A1D" w14:textId="35C4A4D3"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xml:space="preserve">§ 6 odst. 1 písm. a) zákona č. 218/2000 Sb., Zákon o rozpočtových pravidlech a o změně některých souvisejících zákonů, ve znění pozdějších předpisů. In: </w:t>
      </w:r>
      <w:r w:rsidRPr="00024CBA">
        <w:rPr>
          <w:rFonts w:asciiTheme="minorHAnsi" w:hAnsiTheme="minorHAnsi"/>
          <w:i/>
          <w:iCs/>
          <w:sz w:val="18"/>
        </w:rPr>
        <w:t>ASPI</w:t>
      </w:r>
      <w:r w:rsidRPr="00024CBA">
        <w:rPr>
          <w:rFonts w:asciiTheme="minorHAnsi" w:hAnsiTheme="minorHAnsi"/>
          <w:sz w:val="18"/>
        </w:rPr>
        <w:t xml:space="preserve"> [právní informační systém]. Wolters Kluwer ČR [cit. 2. 5. 2018]</w:t>
      </w:r>
    </w:p>
  </w:footnote>
  <w:footnote w:id="164">
    <w:p w14:paraId="6808CED4"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KARFÍKOVÁ a kol., 2018, op. cit., s. 161</w:t>
      </w:r>
    </w:p>
  </w:footnote>
  <w:footnote w:id="165">
    <w:p w14:paraId="34F3821E"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7 zákona odst. 1 a odst. 4 zákona o dani z hazardních her</w:t>
      </w:r>
    </w:p>
  </w:footnote>
  <w:footnote w:id="166">
    <w:p w14:paraId="7CD39056" w14:textId="77777777" w:rsidR="0072007C" w:rsidRPr="00024CBA" w:rsidRDefault="0072007C" w:rsidP="00024CBA">
      <w:pPr>
        <w:pStyle w:val="Textpoznpodarou"/>
        <w:spacing w:line="240" w:lineRule="auto"/>
        <w:rPr>
          <w:rFonts w:asciiTheme="minorHAnsi" w:hAnsiTheme="minorHAnsi"/>
          <w:sz w:val="18"/>
        </w:rPr>
      </w:pPr>
      <w:r w:rsidRPr="00024CBA">
        <w:rPr>
          <w:rStyle w:val="Znakapoznpodarou"/>
          <w:rFonts w:asciiTheme="minorHAnsi" w:hAnsiTheme="minorHAnsi"/>
          <w:sz w:val="18"/>
        </w:rPr>
        <w:footnoteRef/>
      </w:r>
      <w:r w:rsidRPr="00024CBA">
        <w:rPr>
          <w:rFonts w:asciiTheme="minorHAnsi" w:hAnsiTheme="minorHAnsi"/>
          <w:sz w:val="18"/>
        </w:rPr>
        <w:t xml:space="preserve"> </w:t>
      </w:r>
      <w:r w:rsidRPr="00024CBA">
        <w:rPr>
          <w:rFonts w:asciiTheme="minorHAnsi" w:hAnsiTheme="minorHAnsi"/>
          <w:sz w:val="18"/>
        </w:rPr>
        <w:tab/>
        <w:t>§ 41i loterního zákona</w:t>
      </w:r>
    </w:p>
  </w:footnote>
  <w:footnote w:id="167">
    <w:p w14:paraId="5B553278" w14:textId="77777777" w:rsidR="0072007C" w:rsidRPr="004E570C" w:rsidRDefault="0072007C" w:rsidP="004E570C">
      <w:pPr>
        <w:pStyle w:val="Textpoznpodarou"/>
        <w:spacing w:line="240" w:lineRule="auto"/>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sidRPr="004E570C">
        <w:rPr>
          <w:rFonts w:asciiTheme="minorHAnsi" w:hAnsiTheme="minorHAnsi"/>
          <w:sz w:val="18"/>
          <w:szCs w:val="18"/>
        </w:rPr>
        <w:tab/>
        <w:t>BOHÁČ, KRASULOVÁ, 2017, op. cit., s. 97</w:t>
      </w:r>
    </w:p>
  </w:footnote>
  <w:footnote w:id="168">
    <w:p w14:paraId="6E7E0FEA" w14:textId="77777777" w:rsidR="0072007C" w:rsidRPr="004E570C" w:rsidRDefault="0072007C" w:rsidP="004E570C">
      <w:pPr>
        <w:pStyle w:val="Textpoznpodarou"/>
        <w:spacing w:line="240" w:lineRule="auto"/>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sidRPr="004E570C">
        <w:rPr>
          <w:rFonts w:asciiTheme="minorHAnsi" w:hAnsiTheme="minorHAnsi"/>
          <w:sz w:val="18"/>
          <w:szCs w:val="18"/>
        </w:rPr>
        <w:tab/>
        <w:t xml:space="preserve">RYCHLÍK, Martin. Hazard v obcích aneb o vítaném doplňku rozpočtů. Lidovky.cz [online]. Publikováno 8. 2. 2016 [cit. 4. 3. 2018]. Dostupné z: </w:t>
      </w:r>
      <w:hyperlink r:id="rId8" w:history="1">
        <w:r w:rsidRPr="004E570C">
          <w:rPr>
            <w:rStyle w:val="Hypertextovodkaz"/>
            <w:rFonts w:asciiTheme="minorHAnsi" w:hAnsiTheme="minorHAnsi"/>
            <w:sz w:val="18"/>
            <w:szCs w:val="18"/>
          </w:rPr>
          <w:t>http://ceskapozice.lidovky.cz/tema/hazard-v-obcich-aneb-o-vitanem-doplnku-rozpoctu.A160205_164612_pozice-tema_lube</w:t>
        </w:r>
      </w:hyperlink>
      <w:r w:rsidRPr="004E570C">
        <w:rPr>
          <w:rFonts w:asciiTheme="minorHAnsi" w:hAnsiTheme="minorHAnsi"/>
          <w:sz w:val="18"/>
          <w:szCs w:val="18"/>
        </w:rPr>
        <w:t xml:space="preserve"> </w:t>
      </w:r>
    </w:p>
  </w:footnote>
  <w:footnote w:id="169">
    <w:p w14:paraId="75357A8B" w14:textId="77777777" w:rsidR="0072007C" w:rsidRPr="004E570C" w:rsidRDefault="0072007C" w:rsidP="004E570C">
      <w:pPr>
        <w:pStyle w:val="Textpoznpodarou"/>
        <w:spacing w:line="240" w:lineRule="auto"/>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sidRPr="004E570C">
        <w:rPr>
          <w:rFonts w:asciiTheme="minorHAnsi" w:hAnsiTheme="minorHAnsi"/>
          <w:sz w:val="18"/>
          <w:szCs w:val="18"/>
        </w:rPr>
        <w:tab/>
        <w:t>BOHÁČ, KRASULOVÁ, 2017, op. cit., s. 97-98</w:t>
      </w:r>
    </w:p>
  </w:footnote>
  <w:footnote w:id="170">
    <w:p w14:paraId="1FAB0E20" w14:textId="77777777" w:rsidR="0072007C" w:rsidRPr="004E570C" w:rsidRDefault="0072007C" w:rsidP="004E570C">
      <w:pPr>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Pr>
          <w:rFonts w:asciiTheme="minorHAnsi" w:hAnsiTheme="minorHAnsi"/>
          <w:sz w:val="18"/>
          <w:szCs w:val="18"/>
        </w:rPr>
        <w:t xml:space="preserve"> </w:t>
      </w:r>
      <w:r w:rsidRPr="004E570C">
        <w:rPr>
          <w:rFonts w:asciiTheme="minorHAnsi" w:hAnsiTheme="minorHAnsi"/>
          <w:sz w:val="18"/>
          <w:szCs w:val="18"/>
        </w:rPr>
        <w:t>RADVAN, 2017, s. 537</w:t>
      </w:r>
    </w:p>
  </w:footnote>
  <w:footnote w:id="171">
    <w:p w14:paraId="00499D32" w14:textId="77777777" w:rsidR="0072007C" w:rsidRPr="004E570C" w:rsidRDefault="0072007C" w:rsidP="004E570C">
      <w:pPr>
        <w:pStyle w:val="Textpoznpodarou"/>
        <w:spacing w:line="240" w:lineRule="auto"/>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sidRPr="004E570C">
        <w:rPr>
          <w:rFonts w:asciiTheme="minorHAnsi" w:hAnsiTheme="minorHAnsi"/>
          <w:sz w:val="18"/>
          <w:szCs w:val="18"/>
        </w:rPr>
        <w:tab/>
        <w:t>BOHÁČ, KRASULOVÁ, 2017, op. cit., s. 97-98</w:t>
      </w:r>
    </w:p>
  </w:footnote>
  <w:footnote w:id="172">
    <w:p w14:paraId="23204A27" w14:textId="77777777" w:rsidR="0072007C" w:rsidRPr="004E570C" w:rsidRDefault="0072007C" w:rsidP="004E570C">
      <w:pPr>
        <w:pStyle w:val="Textpoznpodarou"/>
        <w:spacing w:line="240" w:lineRule="auto"/>
        <w:rPr>
          <w:sz w:val="18"/>
          <w:szCs w:val="18"/>
        </w:rPr>
      </w:pPr>
      <w:r w:rsidRPr="004E570C">
        <w:rPr>
          <w:rStyle w:val="Znakapoznpodarou"/>
          <w:sz w:val="18"/>
          <w:szCs w:val="18"/>
        </w:rPr>
        <w:footnoteRef/>
      </w:r>
      <w:r w:rsidRPr="004E570C">
        <w:rPr>
          <w:sz w:val="18"/>
          <w:szCs w:val="18"/>
        </w:rPr>
        <w:t xml:space="preserve"> </w:t>
      </w:r>
      <w:r>
        <w:rPr>
          <w:sz w:val="18"/>
          <w:szCs w:val="18"/>
        </w:rPr>
        <w:tab/>
      </w:r>
      <w:r w:rsidRPr="004E570C">
        <w:rPr>
          <w:sz w:val="18"/>
          <w:szCs w:val="18"/>
        </w:rPr>
        <w:t>BOHÁČ, Radim; MARKOVÁ, Hana. Rozpočtové právo. 1. vyd. Praha: C. H. Beck, 2007, s. 66</w:t>
      </w:r>
    </w:p>
  </w:footnote>
  <w:footnote w:id="173">
    <w:p w14:paraId="28C97C7C" w14:textId="77777777" w:rsidR="0072007C" w:rsidRPr="004E570C" w:rsidRDefault="0072007C" w:rsidP="004E570C">
      <w:pPr>
        <w:pStyle w:val="Textpoznpodarou"/>
        <w:spacing w:line="240" w:lineRule="auto"/>
        <w:rPr>
          <w:rFonts w:asciiTheme="minorHAnsi" w:hAnsiTheme="minorHAnsi"/>
          <w:sz w:val="18"/>
          <w:szCs w:val="18"/>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sidRPr="004E570C">
        <w:rPr>
          <w:rFonts w:asciiTheme="minorHAnsi" w:hAnsiTheme="minorHAnsi"/>
          <w:sz w:val="18"/>
          <w:szCs w:val="18"/>
        </w:rPr>
        <w:tab/>
        <w:t>KARFÍKOVÁ a kol., 2018, op. cit., s. 124</w:t>
      </w:r>
    </w:p>
  </w:footnote>
  <w:footnote w:id="174">
    <w:p w14:paraId="54B95964" w14:textId="77777777" w:rsidR="0072007C" w:rsidRPr="00BD3E55" w:rsidRDefault="0072007C" w:rsidP="004E570C">
      <w:pPr>
        <w:jc w:val="both"/>
        <w:rPr>
          <w:rFonts w:asciiTheme="minorHAnsi" w:hAnsiTheme="minorHAnsi"/>
          <w:sz w:val="20"/>
          <w:szCs w:val="20"/>
        </w:rPr>
      </w:pPr>
      <w:r w:rsidRPr="004E570C">
        <w:rPr>
          <w:rStyle w:val="Znakapoznpodarou"/>
          <w:rFonts w:asciiTheme="minorHAnsi" w:hAnsiTheme="minorHAnsi"/>
          <w:sz w:val="18"/>
          <w:szCs w:val="18"/>
        </w:rPr>
        <w:footnoteRef/>
      </w:r>
      <w:r w:rsidRPr="004E570C">
        <w:rPr>
          <w:rFonts w:asciiTheme="minorHAnsi" w:hAnsiTheme="minorHAnsi"/>
          <w:sz w:val="18"/>
          <w:szCs w:val="18"/>
        </w:rPr>
        <w:t xml:space="preserve"> </w:t>
      </w:r>
      <w:r>
        <w:rPr>
          <w:rFonts w:asciiTheme="minorHAnsi" w:hAnsiTheme="minorHAnsi"/>
          <w:sz w:val="18"/>
          <w:szCs w:val="18"/>
        </w:rPr>
        <w:t xml:space="preserve"> </w:t>
      </w:r>
      <w:r w:rsidRPr="004E570C">
        <w:rPr>
          <w:rFonts w:asciiTheme="minorHAnsi" w:hAnsiTheme="minorHAnsi"/>
          <w:sz w:val="18"/>
          <w:szCs w:val="18"/>
        </w:rPr>
        <w:t xml:space="preserve"> § 41da loterního zákona</w:t>
      </w:r>
    </w:p>
  </w:footnote>
  <w:footnote w:id="175">
    <w:p w14:paraId="65A741F2"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i/>
          <w:iCs/>
          <w:sz w:val="18"/>
          <w:szCs w:val="18"/>
        </w:rPr>
        <w:tab/>
        <w:t>Stanovisko Ministerstva financí k tématům otázek Václava Moravce 17. 4. 2016</w:t>
      </w:r>
      <w:r w:rsidRPr="00024CBA">
        <w:rPr>
          <w:rFonts w:asciiTheme="minorHAnsi" w:hAnsiTheme="minorHAnsi"/>
          <w:sz w:val="18"/>
          <w:szCs w:val="18"/>
        </w:rPr>
        <w:t xml:space="preserve"> [online]. Ministerstvo financí ČR, 2016 [cit. 2. 6. 2019]. Dostupné z: </w:t>
      </w:r>
      <w:hyperlink r:id="rId9" w:history="1">
        <w:r w:rsidRPr="00024CBA">
          <w:rPr>
            <w:rStyle w:val="Hypertextovodkaz"/>
            <w:rFonts w:asciiTheme="minorHAnsi" w:hAnsiTheme="minorHAnsi"/>
            <w:sz w:val="18"/>
            <w:szCs w:val="18"/>
          </w:rPr>
          <w:t>https://www.mfcr.cz/cs/aktualne/v-mediich/2016/reakce-ovm-24594</w:t>
        </w:r>
      </w:hyperlink>
    </w:p>
  </w:footnote>
  <w:footnote w:id="176">
    <w:p w14:paraId="5C99BAFA"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r w:rsidRPr="00024CBA">
        <w:rPr>
          <w:rFonts w:asciiTheme="minorHAnsi" w:hAnsiTheme="minorHAnsi"/>
          <w:color w:val="000000"/>
          <w:sz w:val="18"/>
          <w:szCs w:val="18"/>
        </w:rPr>
        <w:t xml:space="preserve">Důvodová zpráva k zákonu č. 187/2016 Sb. o dani z hazardních her. </w:t>
      </w:r>
      <w:r w:rsidRPr="00024CBA">
        <w:rPr>
          <w:rFonts w:asciiTheme="minorHAnsi" w:hAnsiTheme="minorHAnsi"/>
          <w:sz w:val="18"/>
          <w:szCs w:val="18"/>
        </w:rPr>
        <w:t xml:space="preserve">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2. 4. 2018].</w:t>
      </w:r>
    </w:p>
  </w:footnote>
  <w:footnote w:id="177">
    <w:p w14:paraId="10A6EF66"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41i loterního zákona</w:t>
      </w:r>
    </w:p>
  </w:footnote>
  <w:footnote w:id="178">
    <w:p w14:paraId="6F3AE914"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7 odst. 1 zákona o dani z hazardních her</w:t>
      </w:r>
    </w:p>
  </w:footnote>
  <w:footnote w:id="179">
    <w:p w14:paraId="420C99FA"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7 odst. 4 zákona o dani z hazardních her</w:t>
      </w:r>
    </w:p>
  </w:footnote>
  <w:footnote w:id="180">
    <w:p w14:paraId="787BF371" w14:textId="483B08CD"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r w:rsidRPr="00024CBA">
        <w:rPr>
          <w:rFonts w:asciiTheme="minorHAnsi" w:hAnsiTheme="minorHAnsi"/>
          <w:color w:val="000000"/>
          <w:sz w:val="18"/>
          <w:szCs w:val="18"/>
        </w:rPr>
        <w:t xml:space="preserve">Důvodová zpráva k zákonu č. 187/2016 Sb. o dani z hazardních her. </w:t>
      </w:r>
      <w:r w:rsidRPr="00024CBA">
        <w:rPr>
          <w:rFonts w:asciiTheme="minorHAnsi" w:hAnsiTheme="minorHAnsi"/>
          <w:sz w:val="18"/>
          <w:szCs w:val="18"/>
        </w:rPr>
        <w:t xml:space="preserve">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3. 4. 2018].</w:t>
      </w:r>
    </w:p>
  </w:footnote>
  <w:footnote w:id="181">
    <w:p w14:paraId="46373E45" w14:textId="77777777" w:rsidR="0072007C" w:rsidRPr="00657B79"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Část určená obecním rozpočtům činila 63 % a část určená státnímu rozpočtu 37 %.</w:t>
      </w:r>
    </w:p>
  </w:footnote>
  <w:footnote w:id="182">
    <w:p w14:paraId="505CBF99" w14:textId="1A793F50" w:rsidR="0072007C" w:rsidRPr="00705279" w:rsidRDefault="0072007C" w:rsidP="00BD3E55">
      <w:pPr>
        <w:pStyle w:val="Textpoznpodarou"/>
        <w:spacing w:line="240" w:lineRule="auto"/>
        <w:rPr>
          <w:rFonts w:ascii="Times New Roman" w:hAnsi="Times New Roman"/>
          <w:sz w:val="18"/>
          <w:szCs w:val="18"/>
        </w:rPr>
      </w:pPr>
      <w:r w:rsidRPr="00657B79">
        <w:rPr>
          <w:rStyle w:val="Znakapoznpodarou"/>
          <w:rFonts w:asciiTheme="minorHAnsi" w:hAnsiTheme="minorHAnsi"/>
          <w:sz w:val="18"/>
          <w:szCs w:val="18"/>
        </w:rPr>
        <w:footnoteRef/>
      </w:r>
      <w:r w:rsidRPr="00657B79">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color w:val="000000"/>
          <w:sz w:val="18"/>
          <w:szCs w:val="18"/>
        </w:rPr>
        <w:t xml:space="preserve">Důvodová zpráva k zákonu č. 187/2016 Sb. o dani z hazardních her. </w:t>
      </w:r>
      <w:r w:rsidRPr="00042369">
        <w:rPr>
          <w:rFonts w:asciiTheme="minorHAnsi" w:hAnsiTheme="minorHAnsi"/>
          <w:sz w:val="18"/>
          <w:szCs w:val="18"/>
        </w:rPr>
        <w:t xml:space="preserve">In: </w:t>
      </w:r>
      <w:r w:rsidRPr="00042369">
        <w:rPr>
          <w:rFonts w:asciiTheme="minorHAnsi" w:hAnsiTheme="minorHAnsi"/>
          <w:i/>
          <w:iCs/>
          <w:sz w:val="18"/>
          <w:szCs w:val="18"/>
        </w:rPr>
        <w:t>ASPI</w:t>
      </w:r>
      <w:r w:rsidRPr="00042369">
        <w:rPr>
          <w:rFonts w:asciiTheme="minorHAnsi" w:hAnsiTheme="minorHAnsi"/>
          <w:sz w:val="18"/>
          <w:szCs w:val="18"/>
        </w:rPr>
        <w:t xml:space="preserve"> [právní informační systém]. Wolters Kluwer ČR [cit. 2. 3. 2019]</w:t>
      </w:r>
    </w:p>
  </w:footnote>
  <w:footnote w:id="183">
    <w:p w14:paraId="112F24F4" w14:textId="739785E5" w:rsidR="0072007C" w:rsidRPr="004D6F2B" w:rsidRDefault="0072007C" w:rsidP="00BD3E55">
      <w:pPr>
        <w:pStyle w:val="Textpoznpodarou"/>
        <w:spacing w:line="240" w:lineRule="auto"/>
        <w:rPr>
          <w:rFonts w:asciiTheme="minorHAnsi" w:hAnsiTheme="minorHAnsi"/>
          <w:sz w:val="18"/>
          <w:szCs w:val="18"/>
        </w:rPr>
      </w:pPr>
      <w:r w:rsidRPr="004D6F2B">
        <w:rPr>
          <w:rStyle w:val="Znakapoznpodarou"/>
          <w:rFonts w:asciiTheme="minorHAnsi" w:hAnsiTheme="minorHAnsi"/>
          <w:sz w:val="18"/>
          <w:szCs w:val="18"/>
        </w:rPr>
        <w:footnoteRef/>
      </w:r>
      <w:r w:rsidRPr="004D6F2B">
        <w:rPr>
          <w:rFonts w:asciiTheme="minorHAnsi" w:hAnsiTheme="minorHAnsi"/>
          <w:sz w:val="18"/>
          <w:szCs w:val="18"/>
        </w:rPr>
        <w:t xml:space="preserve">  </w:t>
      </w:r>
      <w:r w:rsidRPr="004D6F2B">
        <w:rPr>
          <w:rFonts w:asciiTheme="minorHAnsi" w:hAnsiTheme="minorHAnsi"/>
          <w:sz w:val="18"/>
          <w:szCs w:val="18"/>
        </w:rPr>
        <w:tab/>
      </w:r>
      <w:r w:rsidRPr="00042369">
        <w:rPr>
          <w:rFonts w:asciiTheme="minorHAnsi" w:hAnsiTheme="minorHAnsi"/>
          <w:color w:val="000000"/>
          <w:sz w:val="18"/>
          <w:szCs w:val="18"/>
        </w:rPr>
        <w:t xml:space="preserve">Důvodová zpráva k zákonu č. 187/2016 Sb. o dani z hazardních her. </w:t>
      </w:r>
      <w:r w:rsidRPr="00042369">
        <w:rPr>
          <w:rFonts w:asciiTheme="minorHAnsi" w:hAnsiTheme="minorHAnsi"/>
          <w:sz w:val="18"/>
          <w:szCs w:val="18"/>
        </w:rPr>
        <w:t xml:space="preserve">In: </w:t>
      </w:r>
      <w:r w:rsidRPr="00042369">
        <w:rPr>
          <w:rFonts w:asciiTheme="minorHAnsi" w:hAnsiTheme="minorHAnsi"/>
          <w:i/>
          <w:iCs/>
          <w:sz w:val="18"/>
          <w:szCs w:val="18"/>
        </w:rPr>
        <w:t>ASPI</w:t>
      </w:r>
      <w:r w:rsidRPr="00042369">
        <w:rPr>
          <w:rFonts w:asciiTheme="minorHAnsi" w:hAnsiTheme="minorHAnsi"/>
          <w:sz w:val="18"/>
          <w:szCs w:val="18"/>
        </w:rPr>
        <w:t xml:space="preserve"> [právní informační systém]. Wolters Kluwer ČR [cit. 2. 3. 2019]</w:t>
      </w:r>
    </w:p>
  </w:footnote>
  <w:footnote w:id="184">
    <w:p w14:paraId="58A96C59" w14:textId="77777777" w:rsidR="0072007C" w:rsidRPr="004D6F2B" w:rsidRDefault="0072007C" w:rsidP="00024CBA">
      <w:pPr>
        <w:pStyle w:val="Textpoznpodarou"/>
        <w:spacing w:line="240" w:lineRule="auto"/>
        <w:rPr>
          <w:rFonts w:asciiTheme="minorHAnsi" w:hAnsiTheme="minorHAnsi"/>
          <w:sz w:val="18"/>
          <w:szCs w:val="18"/>
        </w:rPr>
      </w:pPr>
      <w:r w:rsidRPr="004D6F2B">
        <w:rPr>
          <w:rStyle w:val="Znakapoznpodarou"/>
          <w:rFonts w:asciiTheme="minorHAnsi" w:hAnsiTheme="minorHAnsi"/>
          <w:sz w:val="18"/>
          <w:szCs w:val="18"/>
        </w:rPr>
        <w:footnoteRef/>
      </w:r>
      <w:r w:rsidRPr="004D6F2B">
        <w:rPr>
          <w:rFonts w:asciiTheme="minorHAnsi" w:hAnsiTheme="minorHAnsi"/>
          <w:sz w:val="18"/>
          <w:szCs w:val="18"/>
        </w:rPr>
        <w:t xml:space="preserve"> </w:t>
      </w:r>
      <w:r>
        <w:rPr>
          <w:rFonts w:asciiTheme="minorHAnsi" w:hAnsiTheme="minorHAnsi"/>
          <w:sz w:val="18"/>
          <w:szCs w:val="18"/>
        </w:rPr>
        <w:tab/>
      </w:r>
      <w:r w:rsidRPr="004D6F2B">
        <w:rPr>
          <w:rFonts w:asciiTheme="minorHAnsi" w:hAnsiTheme="minorHAnsi"/>
          <w:sz w:val="18"/>
          <w:szCs w:val="18"/>
        </w:rPr>
        <w:t xml:space="preserve">PELC, </w:t>
      </w:r>
      <w:r>
        <w:rPr>
          <w:rFonts w:asciiTheme="minorHAnsi" w:hAnsiTheme="minorHAnsi"/>
          <w:sz w:val="18"/>
          <w:szCs w:val="18"/>
        </w:rPr>
        <w:t>2016, op. cit., s. 39</w:t>
      </w:r>
    </w:p>
  </w:footnote>
  <w:footnote w:id="185">
    <w:p w14:paraId="76AE65A6" w14:textId="77777777" w:rsidR="0072007C" w:rsidRPr="004D6F2B" w:rsidRDefault="0072007C" w:rsidP="00024CBA">
      <w:pPr>
        <w:pStyle w:val="Textpoznpodarou"/>
        <w:spacing w:line="240" w:lineRule="auto"/>
        <w:rPr>
          <w:rFonts w:asciiTheme="minorHAnsi" w:hAnsiTheme="minorHAnsi"/>
          <w:sz w:val="18"/>
          <w:szCs w:val="18"/>
        </w:rPr>
      </w:pPr>
      <w:r w:rsidRPr="004D6F2B">
        <w:rPr>
          <w:rStyle w:val="Znakapoznpodarou"/>
          <w:rFonts w:asciiTheme="minorHAnsi" w:hAnsiTheme="minorHAnsi"/>
          <w:sz w:val="18"/>
          <w:szCs w:val="18"/>
        </w:rPr>
        <w:footnoteRef/>
      </w:r>
      <w:r w:rsidRPr="004D6F2B">
        <w:rPr>
          <w:rFonts w:asciiTheme="minorHAnsi" w:hAnsiTheme="minorHAnsi"/>
          <w:sz w:val="18"/>
          <w:szCs w:val="18"/>
        </w:rPr>
        <w:t xml:space="preserve"> </w:t>
      </w:r>
      <w:r>
        <w:rPr>
          <w:rFonts w:asciiTheme="minorHAnsi" w:hAnsiTheme="minorHAnsi"/>
          <w:sz w:val="18"/>
          <w:szCs w:val="18"/>
        </w:rPr>
        <w:tab/>
      </w:r>
      <w:r w:rsidRPr="004D6F2B">
        <w:rPr>
          <w:rFonts w:asciiTheme="minorHAnsi" w:hAnsiTheme="minorHAnsi"/>
          <w:sz w:val="18"/>
          <w:szCs w:val="18"/>
        </w:rPr>
        <w:t>§</w:t>
      </w:r>
      <w:r>
        <w:rPr>
          <w:rFonts w:asciiTheme="minorHAnsi" w:hAnsiTheme="minorHAnsi"/>
          <w:sz w:val="18"/>
          <w:szCs w:val="18"/>
        </w:rPr>
        <w:t xml:space="preserve"> </w:t>
      </w:r>
      <w:r w:rsidRPr="004D6F2B">
        <w:rPr>
          <w:rFonts w:asciiTheme="minorHAnsi" w:hAnsiTheme="minorHAnsi"/>
          <w:sz w:val="18"/>
          <w:szCs w:val="18"/>
        </w:rPr>
        <w:t xml:space="preserve">2 odst. 5 </w:t>
      </w:r>
      <w:r>
        <w:rPr>
          <w:rFonts w:asciiTheme="minorHAnsi" w:hAnsiTheme="minorHAnsi"/>
          <w:sz w:val="18"/>
          <w:szCs w:val="18"/>
        </w:rPr>
        <w:t>daňového řádu</w:t>
      </w:r>
    </w:p>
  </w:footnote>
  <w:footnote w:id="186">
    <w:p w14:paraId="1B7E90E9" w14:textId="4450BD23" w:rsidR="0072007C" w:rsidRPr="00705279" w:rsidRDefault="0072007C" w:rsidP="00024CBA">
      <w:pPr>
        <w:pStyle w:val="Textpoznpodarou"/>
        <w:spacing w:line="240" w:lineRule="auto"/>
        <w:rPr>
          <w:rFonts w:ascii="Times New Roman" w:hAnsi="Times New Roman"/>
          <w:sz w:val="18"/>
          <w:szCs w:val="18"/>
        </w:rPr>
      </w:pPr>
      <w:r w:rsidRPr="004D6F2B">
        <w:rPr>
          <w:rStyle w:val="Znakapoznpodarou"/>
          <w:rFonts w:asciiTheme="minorHAnsi" w:hAnsiTheme="minorHAnsi"/>
          <w:sz w:val="18"/>
          <w:szCs w:val="18"/>
        </w:rPr>
        <w:footnoteRef/>
      </w:r>
      <w:r w:rsidRPr="004D6F2B">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color w:val="000000"/>
          <w:sz w:val="18"/>
          <w:szCs w:val="18"/>
        </w:rPr>
        <w:t xml:space="preserve">Důvodová zpráva k zákonu č. 187/2016 Sb. o dani z hazardních her. </w:t>
      </w:r>
      <w:r w:rsidRPr="00042369">
        <w:rPr>
          <w:rFonts w:asciiTheme="minorHAnsi" w:hAnsiTheme="minorHAnsi"/>
          <w:sz w:val="18"/>
          <w:szCs w:val="18"/>
        </w:rPr>
        <w:t xml:space="preserve">In: </w:t>
      </w:r>
      <w:r w:rsidRPr="00042369">
        <w:rPr>
          <w:rFonts w:asciiTheme="minorHAnsi" w:hAnsiTheme="minorHAnsi"/>
          <w:i/>
          <w:iCs/>
          <w:sz w:val="18"/>
          <w:szCs w:val="18"/>
        </w:rPr>
        <w:t>ASPI</w:t>
      </w:r>
      <w:r w:rsidRPr="00042369">
        <w:rPr>
          <w:rFonts w:asciiTheme="minorHAnsi" w:hAnsiTheme="minorHAnsi"/>
          <w:sz w:val="18"/>
          <w:szCs w:val="18"/>
        </w:rPr>
        <w:t xml:space="preserve"> [právní informační systém]. Wolters Kluwer ČR [cit. 2. 3. 2019]</w:t>
      </w:r>
    </w:p>
  </w:footnote>
  <w:footnote w:id="187">
    <w:p w14:paraId="6189FB02" w14:textId="77777777" w:rsidR="0072007C" w:rsidRPr="008F439B" w:rsidRDefault="0072007C" w:rsidP="008F439B">
      <w:pPr>
        <w:pStyle w:val="Textpoznpodarou"/>
        <w:spacing w:line="240" w:lineRule="auto"/>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w:t>
      </w:r>
      <w:r w:rsidRPr="008F439B">
        <w:rPr>
          <w:rFonts w:asciiTheme="minorHAnsi" w:hAnsiTheme="minorHAnsi"/>
          <w:sz w:val="18"/>
          <w:szCs w:val="18"/>
        </w:rPr>
        <w:tab/>
        <w:t>§ 1 odst. 2 daňového řádu</w:t>
      </w:r>
    </w:p>
  </w:footnote>
  <w:footnote w:id="188">
    <w:p w14:paraId="056F56B2" w14:textId="77777777" w:rsidR="0072007C" w:rsidRPr="008F439B" w:rsidRDefault="0072007C" w:rsidP="008F439B">
      <w:pPr>
        <w:pStyle w:val="Textpoznpodarou"/>
        <w:spacing w:line="240" w:lineRule="auto"/>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w:t>
      </w:r>
      <w:r w:rsidRPr="008F439B">
        <w:rPr>
          <w:rFonts w:asciiTheme="minorHAnsi" w:hAnsiTheme="minorHAnsi"/>
          <w:sz w:val="18"/>
          <w:szCs w:val="18"/>
        </w:rPr>
        <w:tab/>
        <w:t>§ 41h odst. 3 loterního zákona</w:t>
      </w:r>
    </w:p>
  </w:footnote>
  <w:footnote w:id="189">
    <w:p w14:paraId="1B5D8B69" w14:textId="77777777" w:rsidR="0072007C" w:rsidRPr="008F439B" w:rsidRDefault="0072007C" w:rsidP="008F439B">
      <w:pPr>
        <w:pStyle w:val="Textpoznpodarou"/>
        <w:spacing w:line="240" w:lineRule="auto"/>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w:t>
      </w:r>
      <w:r w:rsidRPr="008F439B">
        <w:rPr>
          <w:rFonts w:asciiTheme="minorHAnsi" w:hAnsiTheme="minorHAnsi"/>
          <w:sz w:val="18"/>
          <w:szCs w:val="18"/>
        </w:rPr>
        <w:tab/>
        <w:t>§ 4 daňového řádu</w:t>
      </w:r>
    </w:p>
  </w:footnote>
  <w:footnote w:id="190">
    <w:p w14:paraId="6EB9FD14" w14:textId="77777777" w:rsidR="0072007C" w:rsidRPr="008F439B" w:rsidRDefault="0072007C" w:rsidP="008F439B">
      <w:pPr>
        <w:pStyle w:val="Textpoznpodarou"/>
        <w:spacing w:line="240" w:lineRule="auto"/>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w:t>
      </w:r>
      <w:r w:rsidRPr="008F439B">
        <w:rPr>
          <w:rFonts w:asciiTheme="minorHAnsi" w:hAnsiTheme="minorHAnsi"/>
          <w:sz w:val="18"/>
          <w:szCs w:val="18"/>
        </w:rPr>
        <w:tab/>
        <w:t>PELC, 2016, op. cit., s. 40</w:t>
      </w:r>
    </w:p>
  </w:footnote>
  <w:footnote w:id="191">
    <w:p w14:paraId="702EE279" w14:textId="77777777" w:rsidR="0072007C" w:rsidRPr="008F439B" w:rsidRDefault="0072007C" w:rsidP="008F439B">
      <w:pPr>
        <w:pStyle w:val="Textpoznpodarou"/>
        <w:spacing w:line="240" w:lineRule="auto"/>
        <w:rPr>
          <w:sz w:val="18"/>
          <w:szCs w:val="18"/>
        </w:rPr>
      </w:pPr>
      <w:r w:rsidRPr="008F439B">
        <w:rPr>
          <w:rStyle w:val="Znakapoznpodarou"/>
          <w:sz w:val="18"/>
          <w:szCs w:val="18"/>
        </w:rPr>
        <w:footnoteRef/>
      </w:r>
      <w:r w:rsidRPr="008F439B">
        <w:rPr>
          <w:sz w:val="18"/>
          <w:szCs w:val="18"/>
        </w:rPr>
        <w:t xml:space="preserve"> </w:t>
      </w:r>
      <w:r w:rsidRPr="008F439B">
        <w:rPr>
          <w:sz w:val="18"/>
          <w:szCs w:val="18"/>
        </w:rPr>
        <w:tab/>
        <w:t>§ 2 odst. 1 daňového řádu</w:t>
      </w:r>
    </w:p>
  </w:footnote>
  <w:footnote w:id="192">
    <w:p w14:paraId="51B31FB0" w14:textId="77777777" w:rsidR="0072007C" w:rsidRPr="008F439B" w:rsidRDefault="0072007C" w:rsidP="008F439B">
      <w:pPr>
        <w:pStyle w:val="Textpoznpodarou"/>
        <w:spacing w:line="240" w:lineRule="auto"/>
        <w:ind w:left="0" w:firstLine="0"/>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KARFÍKOVÁ a kol., 2018, op. cit., s. 166</w:t>
      </w:r>
    </w:p>
  </w:footnote>
  <w:footnote w:id="193">
    <w:p w14:paraId="5FD373C9" w14:textId="77777777" w:rsidR="0072007C" w:rsidRPr="000819C5" w:rsidRDefault="0072007C" w:rsidP="008F439B">
      <w:pPr>
        <w:rPr>
          <w:rFonts w:asciiTheme="minorHAnsi" w:hAnsiTheme="minorHAnsi"/>
          <w:sz w:val="18"/>
          <w:szCs w:val="18"/>
        </w:rPr>
      </w:pPr>
      <w:r w:rsidRPr="008F439B">
        <w:rPr>
          <w:rStyle w:val="Znakapoznpodarou"/>
          <w:rFonts w:asciiTheme="minorHAnsi" w:hAnsiTheme="minorHAnsi"/>
          <w:sz w:val="18"/>
          <w:szCs w:val="18"/>
        </w:rPr>
        <w:footnoteRef/>
      </w:r>
      <w:r w:rsidRPr="008F439B">
        <w:rPr>
          <w:rFonts w:asciiTheme="minorHAnsi" w:hAnsiTheme="minorHAnsi"/>
          <w:sz w:val="18"/>
          <w:szCs w:val="18"/>
        </w:rPr>
        <w:t xml:space="preserve">   § 41h odst. 1 loterního zákona</w:t>
      </w:r>
    </w:p>
  </w:footnote>
  <w:footnote w:id="194">
    <w:p w14:paraId="4E0DBF7C" w14:textId="77777777" w:rsidR="0072007C" w:rsidRDefault="0072007C" w:rsidP="000819C5">
      <w:pPr>
        <w:pStyle w:val="Textpoznpodarou"/>
        <w:spacing w:line="240" w:lineRule="auto"/>
      </w:pPr>
      <w:r w:rsidRPr="000819C5">
        <w:rPr>
          <w:rStyle w:val="Znakapoznpodarou"/>
          <w:sz w:val="18"/>
          <w:szCs w:val="18"/>
        </w:rPr>
        <w:footnoteRef/>
      </w:r>
      <w:r w:rsidRPr="000819C5">
        <w:rPr>
          <w:sz w:val="18"/>
          <w:szCs w:val="18"/>
        </w:rPr>
        <w:t xml:space="preserve"> </w:t>
      </w:r>
      <w:r>
        <w:rPr>
          <w:sz w:val="18"/>
          <w:szCs w:val="18"/>
        </w:rPr>
        <w:tab/>
      </w:r>
      <w:r w:rsidRPr="000819C5">
        <w:rPr>
          <w:sz w:val="18"/>
          <w:szCs w:val="18"/>
        </w:rPr>
        <w:t>BOHÁČ, Radim; KRASULOVÁ, Hana, 2017, op. cit., s. 114-116</w:t>
      </w:r>
    </w:p>
  </w:footnote>
  <w:footnote w:id="195">
    <w:p w14:paraId="0077CD3F" w14:textId="77777777" w:rsidR="0072007C" w:rsidRPr="00605E85" w:rsidRDefault="0072007C" w:rsidP="00605E85">
      <w:pPr>
        <w:rPr>
          <w:rFonts w:asciiTheme="minorHAnsi" w:hAnsiTheme="minorHAnsi"/>
          <w:sz w:val="18"/>
          <w:szCs w:val="18"/>
        </w:rPr>
      </w:pPr>
      <w:r w:rsidRPr="00605E85">
        <w:rPr>
          <w:rStyle w:val="Znakapoznpodarou"/>
          <w:rFonts w:asciiTheme="minorHAnsi" w:hAnsiTheme="minorHAnsi"/>
          <w:sz w:val="18"/>
          <w:szCs w:val="18"/>
        </w:rPr>
        <w:footnoteRef/>
      </w:r>
      <w:r w:rsidRPr="00605E85">
        <w:rPr>
          <w:rFonts w:asciiTheme="minorHAnsi" w:hAnsiTheme="minorHAnsi"/>
          <w:sz w:val="18"/>
          <w:szCs w:val="18"/>
        </w:rPr>
        <w:t xml:space="preserve"> </w:t>
      </w:r>
      <w:r>
        <w:rPr>
          <w:rFonts w:asciiTheme="minorHAnsi" w:hAnsiTheme="minorHAnsi"/>
          <w:sz w:val="18"/>
          <w:szCs w:val="18"/>
        </w:rPr>
        <w:t xml:space="preserve"> </w:t>
      </w:r>
      <w:r w:rsidRPr="00605E85">
        <w:rPr>
          <w:rFonts w:asciiTheme="minorHAnsi" w:hAnsiTheme="minorHAnsi"/>
          <w:sz w:val="18"/>
          <w:szCs w:val="18"/>
        </w:rPr>
        <w:t xml:space="preserve">§ 10 odst. 1 písm. a) </w:t>
      </w:r>
      <w:bookmarkStart w:id="45" w:name="_Hlk23412098"/>
      <w:r w:rsidRPr="00605E85">
        <w:rPr>
          <w:rFonts w:asciiTheme="minorHAnsi" w:hAnsiTheme="minorHAnsi"/>
          <w:sz w:val="18"/>
          <w:szCs w:val="18"/>
        </w:rPr>
        <w:t xml:space="preserve">zákona </w:t>
      </w:r>
      <w:bookmarkEnd w:id="45"/>
      <w:r w:rsidRPr="00605E85">
        <w:rPr>
          <w:rFonts w:asciiTheme="minorHAnsi" w:hAnsiTheme="minorHAnsi"/>
          <w:sz w:val="18"/>
          <w:szCs w:val="18"/>
        </w:rPr>
        <w:t>o Finanční správě</w:t>
      </w:r>
    </w:p>
  </w:footnote>
  <w:footnote w:id="196">
    <w:p w14:paraId="0F098B28" w14:textId="77777777" w:rsidR="0072007C" w:rsidRPr="00605E85" w:rsidRDefault="0072007C" w:rsidP="00605E85">
      <w:pPr>
        <w:pStyle w:val="Textpoznpodarou"/>
        <w:spacing w:line="240" w:lineRule="auto"/>
        <w:rPr>
          <w:sz w:val="18"/>
          <w:szCs w:val="18"/>
        </w:rPr>
      </w:pPr>
      <w:r w:rsidRPr="00605E85">
        <w:rPr>
          <w:rStyle w:val="Znakapoznpodarou"/>
          <w:sz w:val="18"/>
          <w:szCs w:val="18"/>
        </w:rPr>
        <w:footnoteRef/>
      </w:r>
      <w:r w:rsidRPr="00605E85">
        <w:rPr>
          <w:sz w:val="18"/>
          <w:szCs w:val="18"/>
        </w:rPr>
        <w:t xml:space="preserve"> </w:t>
      </w:r>
      <w:r>
        <w:rPr>
          <w:sz w:val="18"/>
          <w:szCs w:val="18"/>
        </w:rPr>
        <w:t xml:space="preserve"> </w:t>
      </w:r>
      <w:r w:rsidRPr="00605E85">
        <w:rPr>
          <w:sz w:val="18"/>
          <w:szCs w:val="18"/>
        </w:rPr>
        <w:t>§ 13 odst. 1 písm. b) daňového řádu</w:t>
      </w:r>
    </w:p>
  </w:footnote>
  <w:footnote w:id="197">
    <w:p w14:paraId="7C2C49E2" w14:textId="77777777" w:rsidR="0072007C" w:rsidRPr="00605E85" w:rsidRDefault="0072007C" w:rsidP="00605E85">
      <w:pPr>
        <w:pStyle w:val="Textpoznpodarou"/>
        <w:spacing w:line="240" w:lineRule="auto"/>
        <w:rPr>
          <w:sz w:val="18"/>
          <w:szCs w:val="18"/>
        </w:rPr>
      </w:pPr>
      <w:r w:rsidRPr="00605E85">
        <w:rPr>
          <w:rStyle w:val="Znakapoznpodarou"/>
          <w:sz w:val="18"/>
          <w:szCs w:val="18"/>
        </w:rPr>
        <w:footnoteRef/>
      </w:r>
      <w:r w:rsidRPr="00605E85">
        <w:rPr>
          <w:sz w:val="18"/>
          <w:szCs w:val="18"/>
        </w:rPr>
        <w:t xml:space="preserve"> </w:t>
      </w:r>
      <w:r>
        <w:rPr>
          <w:sz w:val="18"/>
          <w:szCs w:val="18"/>
        </w:rPr>
        <w:t xml:space="preserve"> </w:t>
      </w:r>
      <w:r w:rsidRPr="00605E85">
        <w:rPr>
          <w:sz w:val="18"/>
          <w:szCs w:val="18"/>
        </w:rPr>
        <w:t>§ 13 odst. 1 písm. a) daňového řádu</w:t>
      </w:r>
    </w:p>
  </w:footnote>
  <w:footnote w:id="198">
    <w:p w14:paraId="4A1B4BF7" w14:textId="77777777" w:rsidR="0072007C" w:rsidRPr="00024CBA" w:rsidRDefault="0072007C" w:rsidP="004C796B">
      <w:pPr>
        <w:rPr>
          <w:rFonts w:asciiTheme="minorHAnsi" w:hAnsiTheme="minorHAnsi"/>
          <w:sz w:val="18"/>
          <w:szCs w:val="20"/>
        </w:rPr>
      </w:pPr>
      <w:r w:rsidRPr="00605E85">
        <w:rPr>
          <w:rStyle w:val="Znakapoznpodarou"/>
          <w:rFonts w:asciiTheme="minorHAnsi" w:hAnsiTheme="minorHAnsi"/>
          <w:sz w:val="18"/>
          <w:szCs w:val="18"/>
        </w:rPr>
        <w:footnoteRef/>
      </w:r>
      <w:r w:rsidRPr="00605E85">
        <w:rPr>
          <w:rFonts w:asciiTheme="minorHAnsi" w:hAnsiTheme="minorHAnsi"/>
          <w:sz w:val="18"/>
          <w:szCs w:val="18"/>
        </w:rPr>
        <w:t xml:space="preserve"> </w:t>
      </w:r>
      <w:r>
        <w:rPr>
          <w:rFonts w:asciiTheme="minorHAnsi" w:hAnsiTheme="minorHAnsi"/>
          <w:sz w:val="18"/>
          <w:szCs w:val="18"/>
        </w:rPr>
        <w:t xml:space="preserve"> </w:t>
      </w:r>
      <w:r w:rsidRPr="00605E85">
        <w:rPr>
          <w:rFonts w:asciiTheme="minorHAnsi" w:hAnsiTheme="minorHAnsi"/>
          <w:sz w:val="18"/>
          <w:szCs w:val="18"/>
        </w:rPr>
        <w:t>§ 12 odst. 1 zákona o Finanční správě</w:t>
      </w:r>
    </w:p>
  </w:footnote>
  <w:footnote w:id="199">
    <w:p w14:paraId="143E1155" w14:textId="77777777" w:rsidR="0072007C" w:rsidRPr="00605E85" w:rsidRDefault="0072007C" w:rsidP="00605E85">
      <w:pPr>
        <w:rPr>
          <w:rFonts w:asciiTheme="minorHAnsi" w:hAnsiTheme="minorHAnsi"/>
          <w:sz w:val="18"/>
          <w:szCs w:val="18"/>
        </w:rPr>
      </w:pPr>
      <w:r w:rsidRPr="00605E85">
        <w:rPr>
          <w:rStyle w:val="Znakapoznpodarou"/>
          <w:rFonts w:asciiTheme="minorHAnsi" w:hAnsiTheme="minorHAnsi"/>
          <w:sz w:val="18"/>
          <w:szCs w:val="18"/>
        </w:rPr>
        <w:footnoteRef/>
      </w:r>
      <w:r w:rsidRPr="00605E85">
        <w:rPr>
          <w:rFonts w:asciiTheme="minorHAnsi" w:hAnsiTheme="minorHAnsi"/>
          <w:sz w:val="18"/>
          <w:szCs w:val="18"/>
        </w:rPr>
        <w:t xml:space="preserve"> </w:t>
      </w:r>
      <w:r>
        <w:rPr>
          <w:rFonts w:asciiTheme="minorHAnsi" w:hAnsiTheme="minorHAnsi"/>
          <w:sz w:val="18"/>
          <w:szCs w:val="18"/>
        </w:rPr>
        <w:t xml:space="preserve"> </w:t>
      </w:r>
      <w:r w:rsidRPr="00605E85">
        <w:rPr>
          <w:rFonts w:asciiTheme="minorHAnsi" w:hAnsiTheme="minorHAnsi"/>
          <w:sz w:val="18"/>
          <w:szCs w:val="18"/>
        </w:rPr>
        <w:t>§ 11 zákona o Finanční správě</w:t>
      </w:r>
    </w:p>
  </w:footnote>
  <w:footnote w:id="200">
    <w:p w14:paraId="2C2BB21C" w14:textId="77777777" w:rsidR="0072007C" w:rsidRPr="00594844" w:rsidRDefault="0072007C" w:rsidP="0081104D">
      <w:pPr>
        <w:pStyle w:val="Textpoznpodarou"/>
        <w:spacing w:line="240" w:lineRule="auto"/>
        <w:rPr>
          <w:rFonts w:asciiTheme="minorHAnsi" w:hAnsiTheme="minorHAnsi"/>
          <w:sz w:val="18"/>
          <w:szCs w:val="18"/>
        </w:rPr>
      </w:pPr>
      <w:r w:rsidRPr="0081104D">
        <w:rPr>
          <w:rStyle w:val="Znakapoznpodarou"/>
          <w:rFonts w:asciiTheme="minorHAnsi" w:hAnsiTheme="minorHAnsi"/>
          <w:sz w:val="18"/>
          <w:szCs w:val="18"/>
        </w:rPr>
        <w:footnoteRef/>
      </w:r>
      <w:r w:rsidRPr="0081104D">
        <w:rPr>
          <w:rFonts w:asciiTheme="minorHAnsi" w:hAnsiTheme="minorHAnsi"/>
          <w:sz w:val="18"/>
          <w:szCs w:val="18"/>
        </w:rPr>
        <w:t xml:space="preserve"> </w:t>
      </w:r>
      <w:r w:rsidRPr="0081104D">
        <w:rPr>
          <w:rFonts w:asciiTheme="minorHAnsi" w:hAnsiTheme="minorHAnsi"/>
          <w:sz w:val="18"/>
          <w:szCs w:val="18"/>
        </w:rPr>
        <w:tab/>
      </w:r>
      <w:r w:rsidRPr="00594844">
        <w:rPr>
          <w:rFonts w:asciiTheme="minorHAnsi" w:hAnsiTheme="minorHAnsi"/>
          <w:sz w:val="18"/>
          <w:szCs w:val="18"/>
        </w:rPr>
        <w:t>§ 18 daňového řádu</w:t>
      </w:r>
    </w:p>
  </w:footnote>
  <w:footnote w:id="201">
    <w:p w14:paraId="235CB9E9" w14:textId="525D0AAC" w:rsidR="0072007C" w:rsidRPr="00594844" w:rsidRDefault="0072007C" w:rsidP="0081104D">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JAKOB, Ondřej. Dozor nad hazardem – počet udělených pokut má vzestupnou tendenci.</w:t>
      </w:r>
      <w:r w:rsidR="00594844" w:rsidRPr="00594844">
        <w:rPr>
          <w:rFonts w:asciiTheme="minorHAnsi" w:hAnsiTheme="minorHAnsi"/>
          <w:sz w:val="18"/>
          <w:szCs w:val="18"/>
        </w:rPr>
        <w:t xml:space="preserve"> Ministerstvo financí CZ [online], publikováno 22. 1. 2013, [cit. 6. 10. 2019]. Dostupné z: </w:t>
      </w:r>
      <w:hyperlink r:id="rId10" w:history="1">
        <w:r w:rsidR="00594844" w:rsidRPr="00594844">
          <w:rPr>
            <w:rStyle w:val="Hypertextovodkaz"/>
            <w:rFonts w:asciiTheme="minorHAnsi" w:hAnsiTheme="minorHAnsi"/>
            <w:sz w:val="18"/>
            <w:szCs w:val="18"/>
          </w:rPr>
          <w:t>https://www.mfcr.cz/cs/aktualne/tiskove-zpravy/2013/dozor-nad-hazardem--pocet-udelenych-poku-9382</w:t>
        </w:r>
      </w:hyperlink>
    </w:p>
  </w:footnote>
  <w:footnote w:id="202">
    <w:p w14:paraId="3754DC0A" w14:textId="77777777" w:rsidR="0072007C" w:rsidRPr="00594844" w:rsidRDefault="0072007C" w:rsidP="0081104D">
      <w:pPr>
        <w:pStyle w:val="Textpoznpodarou"/>
        <w:spacing w:line="240" w:lineRule="auto"/>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w:t>
      </w:r>
      <w:r w:rsidRPr="00594844">
        <w:rPr>
          <w:rFonts w:asciiTheme="minorHAnsi" w:hAnsiTheme="minorHAnsi"/>
          <w:sz w:val="18"/>
          <w:szCs w:val="18"/>
        </w:rPr>
        <w:tab/>
        <w:t>§ 53 daňového řádu</w:t>
      </w:r>
    </w:p>
  </w:footnote>
  <w:footnote w:id="203">
    <w:p w14:paraId="4D8A2E8B" w14:textId="77777777" w:rsidR="0072007C" w:rsidRPr="0081104D" w:rsidRDefault="0072007C" w:rsidP="0081104D">
      <w:pPr>
        <w:rPr>
          <w:rFonts w:asciiTheme="minorHAnsi" w:hAnsiTheme="minorHAnsi"/>
          <w:sz w:val="18"/>
          <w:szCs w:val="18"/>
        </w:rPr>
      </w:pPr>
      <w:r w:rsidRPr="00594844">
        <w:rPr>
          <w:rStyle w:val="Znakapoznpodarou"/>
          <w:rFonts w:asciiTheme="minorHAnsi" w:hAnsiTheme="minorHAnsi"/>
          <w:sz w:val="18"/>
          <w:szCs w:val="18"/>
        </w:rPr>
        <w:footnoteRef/>
      </w:r>
      <w:r w:rsidRPr="00594844">
        <w:rPr>
          <w:rFonts w:asciiTheme="minorHAnsi" w:hAnsiTheme="minorHAnsi"/>
          <w:sz w:val="18"/>
          <w:szCs w:val="18"/>
        </w:rPr>
        <w:t xml:space="preserve">   § 8 zákona o dani z hazardních</w:t>
      </w:r>
      <w:r w:rsidRPr="0081104D">
        <w:rPr>
          <w:rFonts w:asciiTheme="minorHAnsi" w:hAnsiTheme="minorHAnsi"/>
          <w:sz w:val="18"/>
          <w:szCs w:val="18"/>
        </w:rPr>
        <w:t xml:space="preserve"> her</w:t>
      </w:r>
    </w:p>
  </w:footnote>
  <w:footnote w:id="204">
    <w:p w14:paraId="49286C34" w14:textId="77777777" w:rsidR="0072007C" w:rsidRPr="00024CBA" w:rsidRDefault="0072007C" w:rsidP="0081104D">
      <w:pPr>
        <w:pStyle w:val="Textpoznpodarou"/>
        <w:spacing w:line="240" w:lineRule="auto"/>
        <w:rPr>
          <w:sz w:val="18"/>
        </w:rPr>
      </w:pPr>
      <w:r w:rsidRPr="0081104D">
        <w:rPr>
          <w:rStyle w:val="Znakapoznpodarou"/>
          <w:rFonts w:asciiTheme="minorHAnsi" w:hAnsiTheme="minorHAnsi"/>
          <w:sz w:val="18"/>
          <w:szCs w:val="18"/>
        </w:rPr>
        <w:footnoteRef/>
      </w:r>
      <w:r w:rsidRPr="0081104D">
        <w:rPr>
          <w:rFonts w:asciiTheme="minorHAnsi" w:hAnsiTheme="minorHAnsi"/>
          <w:sz w:val="18"/>
          <w:szCs w:val="18"/>
        </w:rPr>
        <w:t xml:space="preserve"> </w:t>
      </w:r>
      <w:r w:rsidRPr="0081104D">
        <w:rPr>
          <w:rFonts w:asciiTheme="minorHAnsi" w:hAnsiTheme="minorHAnsi"/>
          <w:sz w:val="18"/>
          <w:szCs w:val="18"/>
        </w:rPr>
        <w:tab/>
        <w:t>§ 52 daňového řádu</w:t>
      </w:r>
    </w:p>
  </w:footnote>
  <w:footnote w:id="205">
    <w:p w14:paraId="2ECBDB56" w14:textId="77777777" w:rsidR="0072007C" w:rsidRPr="00BD3E55" w:rsidRDefault="0072007C" w:rsidP="0081104D">
      <w:pPr>
        <w:pStyle w:val="Textpoznpodarou"/>
        <w:spacing w:line="240" w:lineRule="auto"/>
      </w:pPr>
      <w:r w:rsidRPr="00024CBA">
        <w:rPr>
          <w:rStyle w:val="Znakapoznpodarou"/>
          <w:sz w:val="18"/>
        </w:rPr>
        <w:footnoteRef/>
      </w:r>
      <w:r w:rsidRPr="00024CBA">
        <w:rPr>
          <w:sz w:val="18"/>
        </w:rPr>
        <w:t xml:space="preserve"> </w:t>
      </w:r>
      <w:r w:rsidRPr="00024CBA">
        <w:rPr>
          <w:sz w:val="18"/>
        </w:rPr>
        <w:tab/>
        <w:t>§ 95 zákona o hazardních hrách</w:t>
      </w:r>
    </w:p>
  </w:footnote>
  <w:footnote w:id="206">
    <w:p w14:paraId="5DAA40EA" w14:textId="77777777" w:rsidR="0072007C" w:rsidRPr="00024CBA" w:rsidRDefault="0072007C" w:rsidP="0081104D">
      <w:pPr>
        <w:pStyle w:val="Textpoznpodarou"/>
        <w:spacing w:line="240" w:lineRule="auto"/>
        <w:rPr>
          <w:rFonts w:asciiTheme="minorHAnsi" w:hAnsiTheme="minorHAnsi"/>
          <w:sz w:val="18"/>
          <w:szCs w:val="18"/>
        </w:rPr>
      </w:pPr>
      <w:r w:rsidRPr="00024CBA">
        <w:rPr>
          <w:rStyle w:val="Znakapoznpodarou"/>
          <w:sz w:val="18"/>
          <w:szCs w:val="18"/>
        </w:rPr>
        <w:footnoteRef/>
      </w:r>
      <w:r w:rsidRPr="00024CBA">
        <w:rPr>
          <w:sz w:val="18"/>
          <w:szCs w:val="18"/>
        </w:rPr>
        <w:t xml:space="preserve"> </w:t>
      </w:r>
      <w:r w:rsidRPr="00024CBA">
        <w:rPr>
          <w:sz w:val="18"/>
          <w:szCs w:val="18"/>
        </w:rPr>
        <w:tab/>
        <w:t>§ 57 daňového řádu</w:t>
      </w:r>
    </w:p>
  </w:footnote>
  <w:footnote w:id="207">
    <w:p w14:paraId="67894691" w14:textId="77777777" w:rsidR="0072007C" w:rsidRPr="00024CBA" w:rsidRDefault="0072007C" w:rsidP="0081104D">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BOHÁČ, KRASULOVÁ, 2017, op. cit., s. 123</w:t>
      </w:r>
    </w:p>
  </w:footnote>
  <w:footnote w:id="208">
    <w:p w14:paraId="186528A8" w14:textId="77777777" w:rsidR="0072007C" w:rsidRPr="00024CBA" w:rsidRDefault="0072007C" w:rsidP="0081104D">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Tamtéž, s. 123-125.</w:t>
      </w:r>
    </w:p>
  </w:footnote>
  <w:footnote w:id="209">
    <w:p w14:paraId="7BD571CB"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247a odst. 1 písm. a) daňového řádu</w:t>
      </w:r>
    </w:p>
  </w:footnote>
  <w:footnote w:id="210">
    <w:p w14:paraId="467B84DD"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MATYÁŠOVÁ, GROSSOVÁ, 2015, op. cit., s. 927-935</w:t>
      </w:r>
    </w:p>
  </w:footnote>
  <w:footnote w:id="211">
    <w:p w14:paraId="0BA4DF8A" w14:textId="77777777" w:rsidR="0072007C" w:rsidRPr="00134D12" w:rsidRDefault="0072007C" w:rsidP="00134D12">
      <w:pPr>
        <w:pStyle w:val="Textpoznpodarou"/>
        <w:spacing w:line="240" w:lineRule="auto"/>
        <w:rPr>
          <w:sz w:val="18"/>
          <w:szCs w:val="18"/>
        </w:rPr>
      </w:pPr>
      <w:r w:rsidRPr="00134D12">
        <w:rPr>
          <w:rStyle w:val="Znakapoznpodarou"/>
          <w:sz w:val="18"/>
          <w:szCs w:val="18"/>
        </w:rPr>
        <w:footnoteRef/>
      </w:r>
      <w:r w:rsidRPr="00134D12">
        <w:rPr>
          <w:sz w:val="18"/>
          <w:szCs w:val="18"/>
        </w:rPr>
        <w:t xml:space="preserve"> </w:t>
      </w:r>
      <w:r>
        <w:rPr>
          <w:sz w:val="18"/>
          <w:szCs w:val="18"/>
        </w:rPr>
        <w:tab/>
      </w:r>
      <w:r w:rsidRPr="00134D12">
        <w:rPr>
          <w:sz w:val="18"/>
          <w:szCs w:val="18"/>
        </w:rPr>
        <w:t>ALEXA, Karel, 2014. op. cit., s. 19</w:t>
      </w:r>
    </w:p>
  </w:footnote>
  <w:footnote w:id="212">
    <w:p w14:paraId="4F206F06" w14:textId="64715F47" w:rsidR="0072007C" w:rsidRPr="00134D12" w:rsidRDefault="0072007C" w:rsidP="00134D12">
      <w:pPr>
        <w:pStyle w:val="Textpoznpodarou"/>
        <w:spacing w:line="240" w:lineRule="auto"/>
        <w:rPr>
          <w:sz w:val="18"/>
          <w:szCs w:val="18"/>
        </w:rPr>
      </w:pPr>
      <w:r w:rsidRPr="00134D12">
        <w:rPr>
          <w:rStyle w:val="Znakapoznpodarou"/>
          <w:sz w:val="18"/>
          <w:szCs w:val="18"/>
        </w:rPr>
        <w:footnoteRef/>
      </w:r>
      <w:r>
        <w:rPr>
          <w:sz w:val="18"/>
          <w:szCs w:val="18"/>
        </w:rPr>
        <w:t xml:space="preserve"> </w:t>
      </w:r>
      <w:r>
        <w:rPr>
          <w:sz w:val="18"/>
          <w:szCs w:val="18"/>
        </w:rPr>
        <w:tab/>
      </w:r>
      <w:r w:rsidRPr="00134D12">
        <w:rPr>
          <w:sz w:val="18"/>
          <w:szCs w:val="18"/>
        </w:rPr>
        <w:t>RADVAN, Michal. Je berní právo samostatným odvětvím práva</w:t>
      </w:r>
      <w:r w:rsidRPr="00134D12">
        <w:rPr>
          <w:sz w:val="18"/>
          <w:szCs w:val="18"/>
        </w:rPr>
        <w:softHyphen/>
        <w:t xml:space="preserve">? </w:t>
      </w:r>
      <w:r>
        <w:rPr>
          <w:sz w:val="18"/>
          <w:szCs w:val="18"/>
        </w:rPr>
        <w:t xml:space="preserve">In: NECHAL, Jan et al. (eds.). </w:t>
      </w:r>
      <w:r w:rsidRPr="00AA58F0">
        <w:rPr>
          <w:i/>
          <w:iCs/>
          <w:sz w:val="18"/>
          <w:szCs w:val="18"/>
        </w:rPr>
        <w:t>Dny práva – 2008 – Days of Law</w:t>
      </w:r>
      <w:r>
        <w:rPr>
          <w:sz w:val="18"/>
          <w:szCs w:val="18"/>
        </w:rPr>
        <w:t>. Brno: Masarykova univerzita, 2008. ISBN 978-80-210-4733-4.</w:t>
      </w:r>
      <w:r>
        <w:rPr>
          <w:rStyle w:val="Hypertextovodkaz"/>
          <w:sz w:val="18"/>
          <w:szCs w:val="18"/>
        </w:rPr>
        <w:t xml:space="preserve"> </w:t>
      </w:r>
    </w:p>
  </w:footnote>
  <w:footnote w:id="213">
    <w:p w14:paraId="2A50145E" w14:textId="77777777" w:rsidR="0072007C" w:rsidRPr="00134D12" w:rsidRDefault="0072007C" w:rsidP="00134D12">
      <w:pPr>
        <w:pStyle w:val="Textpoznpodarou"/>
        <w:spacing w:line="240" w:lineRule="auto"/>
        <w:ind w:left="301" w:hanging="301"/>
        <w:rPr>
          <w:rFonts w:asciiTheme="minorHAnsi" w:hAnsiTheme="minorHAnsi"/>
          <w:sz w:val="18"/>
          <w:szCs w:val="18"/>
        </w:rPr>
      </w:pPr>
      <w:r w:rsidRPr="00134D12">
        <w:rPr>
          <w:rStyle w:val="Znakapoznpodarou"/>
          <w:rFonts w:asciiTheme="minorHAnsi" w:hAnsiTheme="minorHAnsi"/>
          <w:sz w:val="18"/>
          <w:szCs w:val="18"/>
        </w:rPr>
        <w:footnoteRef/>
      </w:r>
      <w:r w:rsidRPr="00134D12">
        <w:rPr>
          <w:rFonts w:asciiTheme="minorHAnsi" w:hAnsiTheme="minorHAnsi"/>
          <w:sz w:val="18"/>
          <w:szCs w:val="18"/>
        </w:rPr>
        <w:t xml:space="preserve"> </w:t>
      </w:r>
      <w:r w:rsidRPr="00134D12">
        <w:rPr>
          <w:rFonts w:asciiTheme="minorHAnsi" w:hAnsiTheme="minorHAnsi"/>
          <w:sz w:val="18"/>
          <w:szCs w:val="18"/>
        </w:rPr>
        <w:tab/>
        <w:t>§ 9 odst. 1 zákona o dani z hazardních her</w:t>
      </w:r>
    </w:p>
  </w:footnote>
  <w:footnote w:id="214">
    <w:p w14:paraId="5D2A3629" w14:textId="77777777" w:rsidR="0072007C" w:rsidRPr="00FD1A37" w:rsidRDefault="0072007C" w:rsidP="00FD1A37">
      <w:pPr>
        <w:pStyle w:val="Textpoznpodarou"/>
        <w:spacing w:line="240" w:lineRule="auto"/>
        <w:rPr>
          <w:rFonts w:asciiTheme="minorHAnsi" w:hAnsiTheme="minorHAnsi"/>
          <w:sz w:val="18"/>
          <w:szCs w:val="18"/>
        </w:rPr>
      </w:pPr>
      <w:r w:rsidRPr="00FD1A37">
        <w:rPr>
          <w:rStyle w:val="Znakapoznpodarou"/>
          <w:rFonts w:asciiTheme="minorHAnsi" w:hAnsiTheme="minorHAnsi"/>
          <w:sz w:val="18"/>
          <w:szCs w:val="18"/>
        </w:rPr>
        <w:footnoteRef/>
      </w:r>
      <w:r w:rsidRPr="00FD1A37">
        <w:rPr>
          <w:rFonts w:asciiTheme="minorHAnsi" w:hAnsiTheme="minorHAnsi"/>
          <w:sz w:val="18"/>
          <w:szCs w:val="18"/>
        </w:rPr>
        <w:t xml:space="preserve"> </w:t>
      </w:r>
      <w:r w:rsidRPr="00FD1A37">
        <w:rPr>
          <w:rFonts w:asciiTheme="minorHAnsi" w:hAnsiTheme="minorHAnsi"/>
          <w:sz w:val="18"/>
          <w:szCs w:val="18"/>
        </w:rPr>
        <w:tab/>
        <w:t>§ 72 daňového řádu</w:t>
      </w:r>
    </w:p>
  </w:footnote>
  <w:footnote w:id="215">
    <w:p w14:paraId="376C9ED5" w14:textId="77777777" w:rsidR="0072007C" w:rsidRPr="00FD1A37" w:rsidRDefault="0072007C" w:rsidP="00FD1A37">
      <w:pPr>
        <w:pStyle w:val="Textpoznpodarou"/>
        <w:spacing w:line="240" w:lineRule="auto"/>
        <w:rPr>
          <w:sz w:val="18"/>
          <w:szCs w:val="18"/>
        </w:rPr>
      </w:pPr>
      <w:r w:rsidRPr="00FD1A37">
        <w:rPr>
          <w:rStyle w:val="Znakapoznpodarou"/>
          <w:sz w:val="18"/>
          <w:szCs w:val="18"/>
        </w:rPr>
        <w:footnoteRef/>
      </w:r>
      <w:r w:rsidRPr="00FD1A37">
        <w:rPr>
          <w:sz w:val="18"/>
          <w:szCs w:val="18"/>
        </w:rPr>
        <w:t xml:space="preserve">  §9 odst. 2 zákona o dani z hazardních her</w:t>
      </w:r>
    </w:p>
  </w:footnote>
  <w:footnote w:id="216">
    <w:p w14:paraId="5D162659" w14:textId="77777777" w:rsidR="0072007C" w:rsidRPr="00134D12" w:rsidRDefault="0072007C" w:rsidP="00FD1A37">
      <w:pPr>
        <w:pStyle w:val="Textpoznpodarou"/>
        <w:spacing w:line="240" w:lineRule="auto"/>
        <w:rPr>
          <w:rFonts w:asciiTheme="minorHAnsi" w:hAnsiTheme="minorHAnsi"/>
          <w:sz w:val="18"/>
          <w:szCs w:val="18"/>
        </w:rPr>
      </w:pPr>
      <w:r w:rsidRPr="00FD1A37">
        <w:rPr>
          <w:rStyle w:val="Znakapoznpodarou"/>
          <w:rFonts w:asciiTheme="minorHAnsi" w:hAnsiTheme="minorHAnsi"/>
          <w:sz w:val="18"/>
          <w:szCs w:val="18"/>
        </w:rPr>
        <w:footnoteRef/>
      </w:r>
      <w:r w:rsidRPr="00FD1A37">
        <w:rPr>
          <w:rFonts w:asciiTheme="minorHAnsi" w:hAnsiTheme="minorHAnsi"/>
          <w:sz w:val="18"/>
          <w:szCs w:val="18"/>
        </w:rPr>
        <w:t xml:space="preserve"> </w:t>
      </w:r>
      <w:r w:rsidRPr="00FD1A37">
        <w:rPr>
          <w:rFonts w:asciiTheme="minorHAnsi" w:hAnsiTheme="minorHAnsi"/>
          <w:sz w:val="18"/>
          <w:szCs w:val="18"/>
        </w:rPr>
        <w:tab/>
        <w:t>§ 74 odst. 4 daňového řádu</w:t>
      </w:r>
    </w:p>
  </w:footnote>
  <w:footnote w:id="217">
    <w:p w14:paraId="35C9FD6C" w14:textId="77777777" w:rsidR="0072007C" w:rsidRPr="00024CBA" w:rsidRDefault="0072007C" w:rsidP="00134D12">
      <w:pPr>
        <w:pStyle w:val="Textpoznpodarou"/>
        <w:spacing w:line="240" w:lineRule="auto"/>
        <w:rPr>
          <w:rFonts w:asciiTheme="minorHAnsi" w:hAnsiTheme="minorHAnsi"/>
          <w:sz w:val="18"/>
          <w:szCs w:val="18"/>
        </w:rPr>
      </w:pPr>
      <w:r w:rsidRPr="00134D12">
        <w:rPr>
          <w:rStyle w:val="Znakapoznpodarou"/>
          <w:rFonts w:asciiTheme="minorHAnsi" w:hAnsiTheme="minorHAnsi"/>
          <w:sz w:val="18"/>
          <w:szCs w:val="18"/>
        </w:rPr>
        <w:footnoteRef/>
      </w:r>
      <w:r w:rsidRPr="00134D12">
        <w:rPr>
          <w:rFonts w:asciiTheme="minorHAnsi" w:hAnsiTheme="minorHAnsi"/>
          <w:sz w:val="18"/>
          <w:szCs w:val="18"/>
        </w:rPr>
        <w:t xml:space="preserve"> </w:t>
      </w:r>
      <w:r w:rsidRPr="00134D12">
        <w:rPr>
          <w:rFonts w:asciiTheme="minorHAnsi" w:hAnsiTheme="minorHAnsi"/>
          <w:sz w:val="18"/>
          <w:szCs w:val="18"/>
        </w:rPr>
        <w:tab/>
      </w:r>
      <w:r w:rsidRPr="00134D12">
        <w:rPr>
          <w:rFonts w:asciiTheme="minorHAnsi" w:hAnsiTheme="minorHAnsi"/>
          <w:i/>
          <w:iCs/>
          <w:sz w:val="18"/>
          <w:szCs w:val="18"/>
        </w:rPr>
        <w:t>Seznam podání, na něž se hledí jako na podání bez vady, jsou-li učiněna jinak než elektronicky, ačkoli měla být učiněna elektronicky (dle §</w:t>
      </w:r>
      <w:r w:rsidRPr="00024CBA">
        <w:rPr>
          <w:rFonts w:asciiTheme="minorHAnsi" w:hAnsiTheme="minorHAnsi"/>
          <w:i/>
          <w:iCs/>
          <w:sz w:val="18"/>
          <w:szCs w:val="18"/>
        </w:rPr>
        <w:t xml:space="preserve"> 74 odst. 4 zákona č. 280/2009 Sb., daňový řád, ve znění pozdějších předpisů)</w:t>
      </w:r>
      <w:r w:rsidRPr="00024CBA">
        <w:rPr>
          <w:rFonts w:asciiTheme="minorHAnsi" w:hAnsiTheme="minorHAnsi"/>
          <w:sz w:val="18"/>
          <w:szCs w:val="18"/>
        </w:rPr>
        <w:t xml:space="preserve"> [online]. Finanční správa. Dostupné z:  </w:t>
      </w:r>
      <w:hyperlink r:id="rId11" w:history="1">
        <w:r w:rsidRPr="00024CBA">
          <w:rPr>
            <w:rStyle w:val="Hypertextovodkaz"/>
            <w:rFonts w:asciiTheme="minorHAnsi" w:hAnsiTheme="minorHAnsi"/>
            <w:sz w:val="18"/>
            <w:szCs w:val="18"/>
          </w:rPr>
          <w:t>https://www.financnisprava.cz/assets/cs/prilohy/fs-organy-financni-spravy/Seznam-podani-dle-74-odst-4-DR_2017-03-14.pdf</w:t>
        </w:r>
      </w:hyperlink>
      <w:r w:rsidRPr="00024CBA">
        <w:rPr>
          <w:rStyle w:val="Hypertextovodkaz"/>
          <w:rFonts w:asciiTheme="minorHAnsi" w:hAnsiTheme="minorHAnsi"/>
          <w:sz w:val="18"/>
          <w:szCs w:val="18"/>
        </w:rPr>
        <w:t xml:space="preserve"> </w:t>
      </w:r>
      <w:r w:rsidRPr="00024CBA">
        <w:rPr>
          <w:rFonts w:asciiTheme="minorHAnsi" w:hAnsiTheme="minorHAnsi"/>
          <w:sz w:val="18"/>
          <w:szCs w:val="18"/>
        </w:rPr>
        <w:t>[cit. 10. 5. 2018].</w:t>
      </w:r>
    </w:p>
  </w:footnote>
  <w:footnote w:id="218">
    <w:p w14:paraId="210BF0F4"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247a odst. 2 daňového řádu</w:t>
      </w:r>
    </w:p>
  </w:footnote>
  <w:footnote w:id="219">
    <w:p w14:paraId="62277683"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136 odst. 4 daňového řádu</w:t>
      </w:r>
    </w:p>
  </w:footnote>
  <w:footnote w:id="220">
    <w:p w14:paraId="1EFA706F" w14:textId="77777777" w:rsidR="0072007C" w:rsidRPr="00723D26" w:rsidRDefault="0072007C" w:rsidP="00723D26">
      <w:pPr>
        <w:pStyle w:val="Textpoznpodarou"/>
        <w:spacing w:line="240" w:lineRule="auto"/>
        <w:rPr>
          <w:rFonts w:asciiTheme="minorHAnsi" w:hAnsiTheme="minorHAnsi"/>
          <w:sz w:val="18"/>
          <w:szCs w:val="18"/>
        </w:rPr>
      </w:pPr>
      <w:r w:rsidRPr="00723D26">
        <w:rPr>
          <w:rStyle w:val="Znakapoznpodarou"/>
          <w:rFonts w:asciiTheme="minorHAnsi" w:hAnsiTheme="minorHAnsi"/>
          <w:sz w:val="18"/>
          <w:szCs w:val="18"/>
        </w:rPr>
        <w:footnoteRef/>
      </w:r>
      <w:r w:rsidRPr="00723D26">
        <w:rPr>
          <w:rFonts w:asciiTheme="minorHAnsi" w:hAnsiTheme="minorHAnsi"/>
          <w:sz w:val="18"/>
          <w:szCs w:val="18"/>
        </w:rPr>
        <w:t xml:space="preserve"> </w:t>
      </w:r>
      <w:r w:rsidRPr="00723D26">
        <w:rPr>
          <w:rFonts w:asciiTheme="minorHAnsi" w:hAnsiTheme="minorHAnsi"/>
          <w:sz w:val="18"/>
          <w:szCs w:val="18"/>
        </w:rPr>
        <w:tab/>
        <w:t>§ 11 odst. 1 zákona o dani z hazardních her</w:t>
      </w:r>
    </w:p>
  </w:footnote>
  <w:footnote w:id="221">
    <w:p w14:paraId="08B81AEF" w14:textId="77777777" w:rsidR="0072007C" w:rsidRPr="00723D26" w:rsidRDefault="0072007C" w:rsidP="00723D26">
      <w:pPr>
        <w:pStyle w:val="Textpoznpodarou"/>
        <w:spacing w:line="240" w:lineRule="auto"/>
        <w:rPr>
          <w:sz w:val="18"/>
          <w:szCs w:val="18"/>
        </w:rPr>
      </w:pPr>
      <w:r w:rsidRPr="00723D26">
        <w:rPr>
          <w:rStyle w:val="Znakapoznpodarou"/>
          <w:sz w:val="18"/>
          <w:szCs w:val="18"/>
        </w:rPr>
        <w:footnoteRef/>
      </w:r>
      <w:r w:rsidRPr="00723D26">
        <w:rPr>
          <w:sz w:val="18"/>
          <w:szCs w:val="18"/>
        </w:rPr>
        <w:t xml:space="preserve"> </w:t>
      </w:r>
      <w:r w:rsidRPr="00723D26">
        <w:rPr>
          <w:sz w:val="18"/>
          <w:szCs w:val="18"/>
        </w:rPr>
        <w:tab/>
      </w:r>
      <w:r w:rsidRPr="00723D26">
        <w:rPr>
          <w:rFonts w:asciiTheme="minorHAnsi" w:hAnsiTheme="minorHAnsi"/>
          <w:sz w:val="18"/>
          <w:szCs w:val="18"/>
        </w:rPr>
        <w:t>§ 11 odst. 2 zákona o dani z hazardních her</w:t>
      </w:r>
    </w:p>
  </w:footnote>
  <w:footnote w:id="222">
    <w:p w14:paraId="19EDF6AD" w14:textId="77777777" w:rsidR="0072007C" w:rsidRPr="00723D26" w:rsidRDefault="0072007C" w:rsidP="00723D26">
      <w:pPr>
        <w:pStyle w:val="Textpoznpodarou"/>
        <w:spacing w:line="240" w:lineRule="auto"/>
        <w:rPr>
          <w:sz w:val="18"/>
          <w:szCs w:val="18"/>
        </w:rPr>
      </w:pPr>
      <w:r w:rsidRPr="00723D26">
        <w:rPr>
          <w:rStyle w:val="Znakapoznpodarou"/>
          <w:sz w:val="18"/>
          <w:szCs w:val="18"/>
        </w:rPr>
        <w:footnoteRef/>
      </w:r>
      <w:r w:rsidRPr="00723D26">
        <w:rPr>
          <w:sz w:val="18"/>
          <w:szCs w:val="18"/>
        </w:rPr>
        <w:t xml:space="preserve"> </w:t>
      </w:r>
      <w:r w:rsidRPr="00723D26">
        <w:rPr>
          <w:sz w:val="18"/>
          <w:szCs w:val="18"/>
        </w:rPr>
        <w:tab/>
        <w:t>ALEXA, Karel, 2014, op. cit., s. 115-118</w:t>
      </w:r>
    </w:p>
  </w:footnote>
  <w:footnote w:id="223">
    <w:p w14:paraId="591D18FF" w14:textId="77777777" w:rsidR="0072007C" w:rsidRPr="00A01435" w:rsidRDefault="0072007C" w:rsidP="00723D26">
      <w:pPr>
        <w:pStyle w:val="Textpoznpodarou"/>
        <w:spacing w:line="240" w:lineRule="auto"/>
        <w:rPr>
          <w:rFonts w:asciiTheme="minorHAnsi" w:hAnsiTheme="minorHAnsi"/>
          <w:sz w:val="18"/>
          <w:szCs w:val="18"/>
        </w:rPr>
      </w:pPr>
      <w:r w:rsidRPr="00723D26">
        <w:rPr>
          <w:rStyle w:val="Znakapoznpodarou"/>
          <w:rFonts w:asciiTheme="minorHAnsi" w:hAnsiTheme="minorHAnsi"/>
          <w:sz w:val="18"/>
          <w:szCs w:val="18"/>
        </w:rPr>
        <w:footnoteRef/>
      </w:r>
      <w:r w:rsidRPr="00723D26">
        <w:rPr>
          <w:rFonts w:asciiTheme="minorHAnsi" w:hAnsiTheme="minorHAnsi"/>
          <w:sz w:val="18"/>
          <w:szCs w:val="18"/>
        </w:rPr>
        <w:t xml:space="preserve"> </w:t>
      </w:r>
      <w:r w:rsidRPr="00723D26">
        <w:rPr>
          <w:rFonts w:asciiTheme="minorHAnsi" w:hAnsiTheme="minorHAnsi"/>
          <w:sz w:val="18"/>
          <w:szCs w:val="18"/>
        </w:rPr>
        <w:tab/>
        <w:t>§ 11 odst. 3 zákona o dani z hazardních her</w:t>
      </w:r>
    </w:p>
  </w:footnote>
  <w:footnote w:id="224">
    <w:p w14:paraId="4C54D9C9" w14:textId="77777777" w:rsidR="0072007C" w:rsidRPr="00B20B21" w:rsidRDefault="0072007C" w:rsidP="00B20B21">
      <w:pPr>
        <w:pStyle w:val="Textpoznpodarou"/>
        <w:spacing w:line="240" w:lineRule="auto"/>
        <w:rPr>
          <w:sz w:val="18"/>
          <w:szCs w:val="18"/>
        </w:rPr>
      </w:pPr>
      <w:r w:rsidRPr="00B20B21">
        <w:rPr>
          <w:rStyle w:val="Znakapoznpodarou"/>
          <w:sz w:val="18"/>
          <w:szCs w:val="18"/>
        </w:rPr>
        <w:footnoteRef/>
      </w:r>
      <w:r w:rsidRPr="00B20B21">
        <w:rPr>
          <w:sz w:val="18"/>
          <w:szCs w:val="18"/>
        </w:rPr>
        <w:t xml:space="preserve"> </w:t>
      </w:r>
      <w:r w:rsidRPr="00B20B21">
        <w:rPr>
          <w:sz w:val="18"/>
          <w:szCs w:val="18"/>
        </w:rPr>
        <w:tab/>
        <w:t>BOHÁČ, Radim; KRASULOVÁ, Hana, 2017, op. cit., s. 146</w:t>
      </w:r>
    </w:p>
  </w:footnote>
  <w:footnote w:id="225">
    <w:p w14:paraId="6E33C41E" w14:textId="77777777" w:rsidR="0072007C" w:rsidRPr="00B20B21" w:rsidRDefault="0072007C" w:rsidP="00B20B21">
      <w:pPr>
        <w:pStyle w:val="Textpoznpodarou"/>
        <w:spacing w:line="240" w:lineRule="auto"/>
        <w:jc w:val="both"/>
        <w:rPr>
          <w:rFonts w:asciiTheme="minorHAnsi" w:hAnsiTheme="minorHAnsi"/>
          <w:sz w:val="18"/>
          <w:szCs w:val="18"/>
        </w:rPr>
      </w:pPr>
      <w:r w:rsidRPr="00B20B21">
        <w:rPr>
          <w:rStyle w:val="Znakapoznpodarou"/>
          <w:rFonts w:asciiTheme="minorHAnsi" w:hAnsiTheme="minorHAnsi"/>
          <w:sz w:val="18"/>
          <w:szCs w:val="18"/>
        </w:rPr>
        <w:footnoteRef/>
      </w:r>
      <w:r w:rsidRPr="00B20B21">
        <w:rPr>
          <w:rFonts w:asciiTheme="minorHAnsi" w:hAnsiTheme="minorHAnsi"/>
          <w:sz w:val="18"/>
          <w:szCs w:val="18"/>
        </w:rPr>
        <w:t xml:space="preserve"> </w:t>
      </w:r>
      <w:r w:rsidRPr="00B20B21">
        <w:rPr>
          <w:rFonts w:asciiTheme="minorHAnsi" w:hAnsiTheme="minorHAnsi"/>
          <w:sz w:val="18"/>
          <w:szCs w:val="18"/>
        </w:rPr>
        <w:tab/>
        <w:t>§ 141 odst. 1 daňového řádu</w:t>
      </w:r>
    </w:p>
  </w:footnote>
  <w:footnote w:id="226">
    <w:p w14:paraId="52F79368" w14:textId="77777777" w:rsidR="0072007C" w:rsidRPr="009146C7" w:rsidRDefault="0072007C" w:rsidP="00B20B21">
      <w:pPr>
        <w:pStyle w:val="Textpoznpodarou"/>
        <w:spacing w:line="240" w:lineRule="auto"/>
        <w:jc w:val="both"/>
        <w:rPr>
          <w:rFonts w:asciiTheme="minorHAnsi" w:hAnsiTheme="minorHAnsi"/>
          <w:sz w:val="18"/>
          <w:szCs w:val="18"/>
        </w:rPr>
      </w:pPr>
      <w:r w:rsidRPr="00B20B21">
        <w:rPr>
          <w:rStyle w:val="Znakapoznpodarou"/>
          <w:rFonts w:asciiTheme="minorHAnsi" w:hAnsiTheme="minorHAnsi"/>
          <w:sz w:val="18"/>
          <w:szCs w:val="18"/>
        </w:rPr>
        <w:footnoteRef/>
      </w:r>
      <w:r w:rsidRPr="00B20B21">
        <w:rPr>
          <w:rFonts w:asciiTheme="minorHAnsi" w:hAnsiTheme="minorHAnsi"/>
          <w:sz w:val="18"/>
          <w:szCs w:val="18"/>
        </w:rPr>
        <w:t xml:space="preserve"> </w:t>
      </w:r>
      <w:r w:rsidRPr="00B20B21">
        <w:rPr>
          <w:rFonts w:asciiTheme="minorHAnsi" w:hAnsiTheme="minorHAnsi"/>
          <w:sz w:val="18"/>
          <w:szCs w:val="18"/>
        </w:rPr>
        <w:tab/>
        <w:t>§ 10 zákona o dani z hazardních her</w:t>
      </w:r>
    </w:p>
  </w:footnote>
  <w:footnote w:id="227">
    <w:p w14:paraId="7EDED4D2" w14:textId="77777777" w:rsidR="0072007C" w:rsidRPr="00755A48" w:rsidRDefault="0072007C" w:rsidP="00755A48">
      <w:pPr>
        <w:pStyle w:val="Textpoznpodarou"/>
        <w:spacing w:line="240" w:lineRule="auto"/>
        <w:jc w:val="both"/>
        <w:rPr>
          <w:rFonts w:asciiTheme="minorHAnsi" w:hAnsiTheme="minorHAnsi"/>
          <w:sz w:val="18"/>
          <w:szCs w:val="18"/>
        </w:rPr>
      </w:pPr>
      <w:r w:rsidRPr="00755A48">
        <w:rPr>
          <w:rStyle w:val="Znakapoznpodarou"/>
          <w:rFonts w:asciiTheme="minorHAnsi" w:hAnsiTheme="minorHAnsi"/>
          <w:sz w:val="18"/>
          <w:szCs w:val="18"/>
        </w:rPr>
        <w:footnoteRef/>
      </w:r>
      <w:r w:rsidRPr="00755A48">
        <w:rPr>
          <w:rFonts w:asciiTheme="minorHAnsi" w:hAnsiTheme="minorHAnsi"/>
          <w:sz w:val="18"/>
          <w:szCs w:val="18"/>
        </w:rPr>
        <w:t xml:space="preserve"> </w:t>
      </w:r>
      <w:r w:rsidRPr="00755A48">
        <w:rPr>
          <w:rFonts w:asciiTheme="minorHAnsi" w:hAnsiTheme="minorHAnsi"/>
          <w:sz w:val="18"/>
          <w:szCs w:val="18"/>
        </w:rPr>
        <w:tab/>
        <w:t xml:space="preserve">§ 110y zákona č. 235/2004 Sb., zákon o dani z přidané hodnoty, ve znění pozdějších předpisů. In: </w:t>
      </w:r>
      <w:r w:rsidRPr="00755A48">
        <w:rPr>
          <w:rFonts w:asciiTheme="minorHAnsi" w:hAnsiTheme="minorHAnsi"/>
          <w:i/>
          <w:iCs/>
          <w:sz w:val="18"/>
          <w:szCs w:val="18"/>
        </w:rPr>
        <w:t>ASPI</w:t>
      </w:r>
      <w:r w:rsidRPr="00755A48">
        <w:rPr>
          <w:rFonts w:asciiTheme="minorHAnsi" w:hAnsiTheme="minorHAnsi"/>
          <w:sz w:val="18"/>
          <w:szCs w:val="18"/>
        </w:rPr>
        <w:t xml:space="preserve"> [právní informační systém]. Wolters Kluwer ČR [cit. 5. 4. 2018].</w:t>
      </w:r>
    </w:p>
  </w:footnote>
  <w:footnote w:id="228">
    <w:p w14:paraId="4597668A" w14:textId="77777777" w:rsidR="0072007C" w:rsidRPr="00577EE5" w:rsidRDefault="0072007C" w:rsidP="00577EE5">
      <w:pPr>
        <w:pStyle w:val="Textpoznpodarou"/>
        <w:spacing w:line="240" w:lineRule="auto"/>
        <w:rPr>
          <w:sz w:val="18"/>
          <w:szCs w:val="18"/>
        </w:rPr>
      </w:pPr>
      <w:r w:rsidRPr="00755A48">
        <w:rPr>
          <w:rStyle w:val="Znakapoznpodarou"/>
          <w:sz w:val="18"/>
          <w:szCs w:val="18"/>
        </w:rPr>
        <w:footnoteRef/>
      </w:r>
      <w:r w:rsidRPr="00755A48">
        <w:rPr>
          <w:sz w:val="18"/>
          <w:szCs w:val="18"/>
        </w:rPr>
        <w:t xml:space="preserve"> </w:t>
      </w:r>
      <w:r w:rsidRPr="00755A48">
        <w:rPr>
          <w:sz w:val="18"/>
          <w:szCs w:val="18"/>
        </w:rPr>
        <w:tab/>
        <w:t xml:space="preserve">BOHÁČ, </w:t>
      </w:r>
      <w:r w:rsidRPr="00577EE5">
        <w:rPr>
          <w:sz w:val="18"/>
          <w:szCs w:val="18"/>
        </w:rPr>
        <w:t>Radim; KRASULOVÁ, Hana, 2017, op. cit., s. 153</w:t>
      </w:r>
    </w:p>
  </w:footnote>
  <w:footnote w:id="229">
    <w:p w14:paraId="5C45857C" w14:textId="77777777" w:rsidR="0072007C" w:rsidRPr="00577EE5" w:rsidRDefault="0072007C" w:rsidP="00577EE5">
      <w:pPr>
        <w:pStyle w:val="Textpoznpodarou"/>
        <w:spacing w:line="240" w:lineRule="auto"/>
        <w:rPr>
          <w:rFonts w:asciiTheme="minorHAnsi" w:hAnsiTheme="minorHAnsi"/>
          <w:sz w:val="18"/>
          <w:szCs w:val="18"/>
        </w:rPr>
      </w:pPr>
      <w:r w:rsidRPr="00577EE5">
        <w:rPr>
          <w:rStyle w:val="Znakapoznpodarou"/>
          <w:rFonts w:asciiTheme="minorHAnsi" w:hAnsiTheme="minorHAnsi"/>
          <w:sz w:val="18"/>
          <w:szCs w:val="18"/>
        </w:rPr>
        <w:footnoteRef/>
      </w:r>
      <w:r w:rsidRPr="00577EE5">
        <w:rPr>
          <w:rFonts w:asciiTheme="minorHAnsi" w:hAnsiTheme="minorHAnsi"/>
          <w:sz w:val="18"/>
          <w:szCs w:val="18"/>
        </w:rPr>
        <w:t xml:space="preserve"> </w:t>
      </w:r>
      <w:r w:rsidRPr="00577EE5">
        <w:rPr>
          <w:rFonts w:asciiTheme="minorHAnsi" w:hAnsiTheme="minorHAnsi"/>
          <w:sz w:val="18"/>
          <w:szCs w:val="18"/>
        </w:rPr>
        <w:tab/>
        <w:t>§ 143 odst. 1 daňového řádu</w:t>
      </w:r>
    </w:p>
  </w:footnote>
  <w:footnote w:id="230">
    <w:p w14:paraId="721EDF94" w14:textId="77777777" w:rsidR="0072007C" w:rsidRPr="00577EE5" w:rsidRDefault="0072007C" w:rsidP="00577EE5">
      <w:pPr>
        <w:pStyle w:val="Textpoznpodarou"/>
        <w:spacing w:line="240" w:lineRule="auto"/>
        <w:rPr>
          <w:rFonts w:asciiTheme="minorHAnsi" w:hAnsiTheme="minorHAnsi"/>
          <w:sz w:val="18"/>
          <w:szCs w:val="18"/>
        </w:rPr>
      </w:pPr>
      <w:r w:rsidRPr="00577EE5">
        <w:rPr>
          <w:rStyle w:val="Znakapoznpodarou"/>
          <w:rFonts w:asciiTheme="minorHAnsi" w:hAnsiTheme="minorHAnsi"/>
          <w:sz w:val="18"/>
          <w:szCs w:val="18"/>
        </w:rPr>
        <w:footnoteRef/>
      </w:r>
      <w:r w:rsidRPr="00577EE5">
        <w:rPr>
          <w:rFonts w:asciiTheme="minorHAnsi" w:hAnsiTheme="minorHAnsi"/>
          <w:sz w:val="18"/>
          <w:szCs w:val="18"/>
        </w:rPr>
        <w:t xml:space="preserve"> </w:t>
      </w:r>
      <w:r w:rsidRPr="00577EE5">
        <w:rPr>
          <w:rFonts w:asciiTheme="minorHAnsi" w:hAnsiTheme="minorHAnsi"/>
          <w:sz w:val="18"/>
          <w:szCs w:val="18"/>
        </w:rPr>
        <w:tab/>
        <w:t>§ 143 odst. 1 daňového řádu</w:t>
      </w:r>
    </w:p>
  </w:footnote>
  <w:footnote w:id="231">
    <w:p w14:paraId="2574226F" w14:textId="77777777" w:rsidR="0072007C" w:rsidRPr="00577EE5" w:rsidRDefault="0072007C" w:rsidP="00577EE5">
      <w:pPr>
        <w:pStyle w:val="Textpoznpodarou"/>
        <w:spacing w:line="240" w:lineRule="auto"/>
        <w:rPr>
          <w:rFonts w:asciiTheme="minorHAnsi" w:hAnsiTheme="minorHAnsi"/>
          <w:sz w:val="18"/>
          <w:szCs w:val="18"/>
        </w:rPr>
      </w:pPr>
      <w:r w:rsidRPr="00577EE5">
        <w:rPr>
          <w:rStyle w:val="Znakapoznpodarou"/>
          <w:rFonts w:asciiTheme="minorHAnsi" w:hAnsiTheme="minorHAnsi"/>
          <w:sz w:val="18"/>
          <w:szCs w:val="18"/>
        </w:rPr>
        <w:footnoteRef/>
      </w:r>
      <w:r w:rsidRPr="00577EE5">
        <w:rPr>
          <w:rFonts w:asciiTheme="minorHAnsi" w:hAnsiTheme="minorHAnsi"/>
          <w:sz w:val="18"/>
          <w:szCs w:val="18"/>
        </w:rPr>
        <w:t xml:space="preserve"> </w:t>
      </w:r>
      <w:r w:rsidRPr="00577EE5">
        <w:rPr>
          <w:rFonts w:asciiTheme="minorHAnsi" w:hAnsiTheme="minorHAnsi"/>
          <w:sz w:val="18"/>
          <w:szCs w:val="18"/>
        </w:rPr>
        <w:tab/>
        <w:t>§ 148 odst. 1 daňového řádu</w:t>
      </w:r>
    </w:p>
  </w:footnote>
  <w:footnote w:id="232">
    <w:p w14:paraId="7359C4ED" w14:textId="77777777" w:rsidR="0072007C" w:rsidRPr="00577EE5" w:rsidRDefault="0072007C" w:rsidP="00577EE5">
      <w:pPr>
        <w:pStyle w:val="Textpoznpodarou"/>
        <w:spacing w:line="240" w:lineRule="auto"/>
        <w:rPr>
          <w:rFonts w:asciiTheme="minorHAnsi" w:hAnsiTheme="minorHAnsi"/>
          <w:sz w:val="18"/>
          <w:szCs w:val="18"/>
        </w:rPr>
      </w:pPr>
      <w:r w:rsidRPr="00577EE5">
        <w:rPr>
          <w:rStyle w:val="Znakapoznpodarou"/>
          <w:rFonts w:asciiTheme="minorHAnsi" w:hAnsiTheme="minorHAnsi"/>
          <w:sz w:val="18"/>
          <w:szCs w:val="18"/>
        </w:rPr>
        <w:footnoteRef/>
      </w:r>
      <w:r w:rsidRPr="00577EE5">
        <w:rPr>
          <w:rFonts w:asciiTheme="minorHAnsi" w:hAnsiTheme="minorHAnsi"/>
          <w:sz w:val="18"/>
          <w:szCs w:val="18"/>
        </w:rPr>
        <w:t xml:space="preserve"> </w:t>
      </w:r>
      <w:r w:rsidRPr="00577EE5">
        <w:rPr>
          <w:rFonts w:asciiTheme="minorHAnsi" w:hAnsiTheme="minorHAnsi"/>
          <w:sz w:val="18"/>
          <w:szCs w:val="18"/>
        </w:rPr>
        <w:tab/>
        <w:t>§ 12 odst. 1 zákona o dani z hazardních her</w:t>
      </w:r>
    </w:p>
  </w:footnote>
  <w:footnote w:id="233">
    <w:p w14:paraId="55E4B8AC" w14:textId="77777777" w:rsidR="0072007C" w:rsidRDefault="0072007C" w:rsidP="00577EE5">
      <w:pPr>
        <w:pStyle w:val="Textpoznpodarou"/>
        <w:spacing w:line="240" w:lineRule="auto"/>
      </w:pPr>
      <w:r w:rsidRPr="00577EE5">
        <w:rPr>
          <w:rStyle w:val="Znakapoznpodarou"/>
          <w:sz w:val="18"/>
          <w:szCs w:val="18"/>
        </w:rPr>
        <w:footnoteRef/>
      </w:r>
      <w:r w:rsidRPr="00577EE5">
        <w:rPr>
          <w:sz w:val="18"/>
          <w:szCs w:val="18"/>
        </w:rPr>
        <w:t xml:space="preserve"> </w:t>
      </w:r>
      <w:r w:rsidRPr="00577EE5">
        <w:rPr>
          <w:sz w:val="18"/>
          <w:szCs w:val="18"/>
        </w:rPr>
        <w:tab/>
      </w:r>
      <w:r w:rsidRPr="009146C7">
        <w:rPr>
          <w:rFonts w:asciiTheme="minorHAnsi" w:hAnsiTheme="minorHAnsi"/>
          <w:sz w:val="18"/>
          <w:szCs w:val="18"/>
        </w:rPr>
        <w:t xml:space="preserve">NOVOTNÁ, Monika a kol. </w:t>
      </w:r>
      <w:r w:rsidRPr="009146C7">
        <w:rPr>
          <w:rFonts w:asciiTheme="minorHAnsi" w:hAnsiTheme="minorHAnsi"/>
          <w:i/>
          <w:iCs/>
          <w:sz w:val="18"/>
          <w:szCs w:val="18"/>
        </w:rPr>
        <w:t xml:space="preserve">Daňové řízení. </w:t>
      </w:r>
      <w:r w:rsidRPr="009146C7">
        <w:rPr>
          <w:rFonts w:asciiTheme="minorHAnsi" w:hAnsiTheme="minorHAnsi"/>
          <w:sz w:val="18"/>
          <w:szCs w:val="18"/>
        </w:rPr>
        <w:t>1. v</w:t>
      </w:r>
      <w:r>
        <w:rPr>
          <w:rFonts w:asciiTheme="minorHAnsi" w:hAnsiTheme="minorHAnsi"/>
          <w:sz w:val="18"/>
          <w:szCs w:val="18"/>
        </w:rPr>
        <w:t xml:space="preserve">yd. Praha: C. H. Beck, 2019, </w:t>
      </w:r>
      <w:r w:rsidRPr="00577EE5">
        <w:rPr>
          <w:sz w:val="18"/>
          <w:szCs w:val="18"/>
        </w:rPr>
        <w:t>s. 82</w:t>
      </w:r>
    </w:p>
  </w:footnote>
  <w:footnote w:id="234">
    <w:p w14:paraId="428D92FF" w14:textId="77777777" w:rsidR="0072007C" w:rsidRPr="009146C7" w:rsidRDefault="0072007C" w:rsidP="007B614C">
      <w:pPr>
        <w:pStyle w:val="Textpoznpodarou"/>
        <w:spacing w:line="240" w:lineRule="auto"/>
        <w:rPr>
          <w:rFonts w:asciiTheme="minorHAnsi" w:hAnsiTheme="minorHAnsi"/>
          <w:sz w:val="18"/>
          <w:szCs w:val="18"/>
        </w:rPr>
      </w:pPr>
      <w:r w:rsidRPr="009146C7">
        <w:rPr>
          <w:rStyle w:val="Znakapoznpodarou"/>
          <w:rFonts w:asciiTheme="minorHAnsi" w:hAnsiTheme="minorHAnsi"/>
          <w:sz w:val="18"/>
          <w:szCs w:val="18"/>
        </w:rPr>
        <w:footnoteRef/>
      </w:r>
      <w:r w:rsidRPr="009146C7">
        <w:rPr>
          <w:rFonts w:asciiTheme="minorHAnsi" w:hAnsiTheme="minorHAnsi"/>
          <w:sz w:val="18"/>
          <w:szCs w:val="18"/>
        </w:rPr>
        <w:t xml:space="preserve"> </w:t>
      </w:r>
      <w:r w:rsidRPr="009146C7">
        <w:rPr>
          <w:rFonts w:asciiTheme="minorHAnsi" w:hAnsiTheme="minorHAnsi"/>
          <w:sz w:val="18"/>
          <w:szCs w:val="18"/>
        </w:rPr>
        <w:tab/>
      </w:r>
      <w:bookmarkStart w:id="46" w:name="_Hlk23400959"/>
      <w:r>
        <w:rPr>
          <w:rFonts w:asciiTheme="minorHAnsi" w:hAnsiTheme="minorHAnsi"/>
          <w:sz w:val="18"/>
          <w:szCs w:val="18"/>
        </w:rPr>
        <w:t>NOVOTNÁ, Monika a kol</w:t>
      </w:r>
      <w:r w:rsidRPr="009146C7">
        <w:rPr>
          <w:rFonts w:asciiTheme="minorHAnsi" w:hAnsiTheme="minorHAnsi"/>
          <w:sz w:val="18"/>
          <w:szCs w:val="18"/>
        </w:rPr>
        <w:t>, 2019,</w:t>
      </w:r>
      <w:r>
        <w:rPr>
          <w:rFonts w:asciiTheme="minorHAnsi" w:hAnsiTheme="minorHAnsi"/>
          <w:sz w:val="18"/>
          <w:szCs w:val="18"/>
        </w:rPr>
        <w:t xml:space="preserve"> op. cit., s. 82-86.</w:t>
      </w:r>
      <w:bookmarkEnd w:id="46"/>
    </w:p>
  </w:footnote>
  <w:footnote w:id="235">
    <w:p w14:paraId="4C4D2BC9" w14:textId="77777777" w:rsidR="0072007C" w:rsidRPr="009146C7" w:rsidRDefault="0072007C" w:rsidP="00024CBA">
      <w:pPr>
        <w:pStyle w:val="Textpoznpodarou"/>
        <w:spacing w:line="240" w:lineRule="auto"/>
        <w:rPr>
          <w:rFonts w:asciiTheme="minorHAnsi" w:hAnsiTheme="minorHAnsi"/>
          <w:sz w:val="18"/>
          <w:szCs w:val="18"/>
        </w:rPr>
      </w:pPr>
      <w:r w:rsidRPr="009146C7">
        <w:rPr>
          <w:rStyle w:val="Znakapoznpodarou"/>
          <w:rFonts w:asciiTheme="minorHAnsi" w:hAnsiTheme="minorHAnsi"/>
          <w:sz w:val="18"/>
          <w:szCs w:val="18"/>
        </w:rPr>
        <w:footnoteRef/>
      </w:r>
      <w:r w:rsidRPr="009146C7">
        <w:rPr>
          <w:rFonts w:asciiTheme="minorHAnsi" w:hAnsiTheme="minorHAnsi"/>
          <w:sz w:val="18"/>
          <w:szCs w:val="18"/>
        </w:rPr>
        <w:t xml:space="preserve"> </w:t>
      </w:r>
      <w:r>
        <w:rPr>
          <w:rFonts w:asciiTheme="minorHAnsi" w:hAnsiTheme="minorHAnsi"/>
          <w:sz w:val="18"/>
          <w:szCs w:val="18"/>
        </w:rPr>
        <w:tab/>
      </w:r>
      <w:r w:rsidRPr="009146C7">
        <w:rPr>
          <w:rFonts w:asciiTheme="minorHAnsi" w:hAnsiTheme="minorHAnsi"/>
          <w:sz w:val="18"/>
          <w:szCs w:val="18"/>
        </w:rPr>
        <w:t xml:space="preserve">§ 12 odst. 1 zákona </w:t>
      </w:r>
      <w:r>
        <w:rPr>
          <w:rFonts w:asciiTheme="minorHAnsi" w:hAnsiTheme="minorHAnsi"/>
          <w:sz w:val="18"/>
          <w:szCs w:val="18"/>
        </w:rPr>
        <w:t>o dani z hazardních her</w:t>
      </w:r>
    </w:p>
  </w:footnote>
  <w:footnote w:id="236">
    <w:p w14:paraId="47958E1E" w14:textId="77777777" w:rsidR="0072007C" w:rsidRPr="009146C7" w:rsidRDefault="0072007C" w:rsidP="00024CBA">
      <w:pPr>
        <w:pStyle w:val="Textpoznpodarou"/>
        <w:spacing w:line="240" w:lineRule="auto"/>
        <w:rPr>
          <w:rFonts w:asciiTheme="minorHAnsi" w:hAnsiTheme="minorHAnsi"/>
          <w:sz w:val="18"/>
          <w:szCs w:val="18"/>
        </w:rPr>
      </w:pPr>
      <w:r w:rsidRPr="009146C7">
        <w:rPr>
          <w:rStyle w:val="Znakapoznpodarou"/>
          <w:rFonts w:asciiTheme="minorHAnsi" w:hAnsiTheme="minorHAnsi"/>
          <w:sz w:val="18"/>
          <w:szCs w:val="18"/>
        </w:rPr>
        <w:footnoteRef/>
      </w:r>
      <w:r w:rsidRPr="009146C7">
        <w:rPr>
          <w:rFonts w:asciiTheme="minorHAnsi" w:hAnsiTheme="minorHAnsi"/>
          <w:sz w:val="18"/>
          <w:szCs w:val="18"/>
        </w:rPr>
        <w:t xml:space="preserve"> </w:t>
      </w:r>
      <w:r>
        <w:rPr>
          <w:rFonts w:asciiTheme="minorHAnsi" w:hAnsiTheme="minorHAnsi"/>
          <w:sz w:val="18"/>
          <w:szCs w:val="18"/>
        </w:rPr>
        <w:tab/>
      </w:r>
      <w:r w:rsidRPr="009146C7">
        <w:rPr>
          <w:rFonts w:asciiTheme="minorHAnsi" w:hAnsiTheme="minorHAnsi"/>
          <w:sz w:val="18"/>
          <w:szCs w:val="18"/>
        </w:rPr>
        <w:t>Roz</w:t>
      </w:r>
      <w:r>
        <w:rPr>
          <w:rFonts w:asciiTheme="minorHAnsi" w:hAnsiTheme="minorHAnsi"/>
          <w:sz w:val="18"/>
          <w:szCs w:val="18"/>
        </w:rPr>
        <w:t>hodnutí Nejvyššího správního soudu</w:t>
      </w:r>
      <w:r w:rsidRPr="009146C7">
        <w:rPr>
          <w:rFonts w:asciiTheme="minorHAnsi" w:hAnsiTheme="minorHAnsi"/>
          <w:sz w:val="18"/>
          <w:szCs w:val="18"/>
        </w:rPr>
        <w:t xml:space="preserve"> ze dne 23. 4. 2015, sp. zn. 7 Afs 188/2014</w:t>
      </w:r>
      <w:r>
        <w:rPr>
          <w:rFonts w:asciiTheme="minorHAnsi" w:hAnsiTheme="minorHAnsi"/>
          <w:sz w:val="18"/>
          <w:szCs w:val="18"/>
        </w:rPr>
        <w:t xml:space="preserve">. </w:t>
      </w:r>
      <w:r w:rsidRPr="00A80758">
        <w:rPr>
          <w:rFonts w:asciiTheme="minorHAnsi" w:hAnsiTheme="minorHAnsi"/>
          <w:sz w:val="18"/>
          <w:szCs w:val="18"/>
        </w:rPr>
        <w:t xml:space="preserve">In: </w:t>
      </w:r>
      <w:r w:rsidRPr="00A80758">
        <w:rPr>
          <w:rFonts w:asciiTheme="minorHAnsi" w:hAnsiTheme="minorHAnsi"/>
          <w:i/>
          <w:iCs/>
          <w:sz w:val="18"/>
          <w:szCs w:val="18"/>
        </w:rPr>
        <w:t>ASPI</w:t>
      </w:r>
      <w:r w:rsidRPr="00A80758">
        <w:rPr>
          <w:rFonts w:asciiTheme="minorHAnsi" w:hAnsiTheme="minorHAnsi"/>
          <w:sz w:val="18"/>
          <w:szCs w:val="18"/>
        </w:rPr>
        <w:t xml:space="preserve"> [právní informační systém]. Wolters Kluwer ČR [cit. </w:t>
      </w:r>
      <w:r>
        <w:rPr>
          <w:rFonts w:asciiTheme="minorHAnsi" w:hAnsiTheme="minorHAnsi"/>
          <w:sz w:val="18"/>
          <w:szCs w:val="18"/>
        </w:rPr>
        <w:t>9</w:t>
      </w:r>
      <w:r w:rsidRPr="00A80758">
        <w:rPr>
          <w:rFonts w:asciiTheme="minorHAnsi" w:hAnsiTheme="minorHAnsi"/>
          <w:sz w:val="18"/>
          <w:szCs w:val="18"/>
        </w:rPr>
        <w:t xml:space="preserve">. </w:t>
      </w:r>
      <w:r>
        <w:rPr>
          <w:rFonts w:asciiTheme="minorHAnsi" w:hAnsiTheme="minorHAnsi"/>
          <w:sz w:val="18"/>
          <w:szCs w:val="18"/>
        </w:rPr>
        <w:t>2</w:t>
      </w:r>
      <w:r w:rsidRPr="00A80758">
        <w:rPr>
          <w:rFonts w:asciiTheme="minorHAnsi" w:hAnsiTheme="minorHAnsi"/>
          <w:sz w:val="18"/>
          <w:szCs w:val="18"/>
        </w:rPr>
        <w:t>. 2018]</w:t>
      </w:r>
      <w:r>
        <w:rPr>
          <w:rFonts w:asciiTheme="minorHAnsi" w:hAnsiTheme="minorHAnsi"/>
          <w:sz w:val="18"/>
          <w:szCs w:val="18"/>
        </w:rPr>
        <w:t>.</w:t>
      </w:r>
    </w:p>
  </w:footnote>
  <w:footnote w:id="237">
    <w:p w14:paraId="4F79F568" w14:textId="77777777" w:rsidR="0072007C" w:rsidRPr="00705279" w:rsidRDefault="0072007C" w:rsidP="00024CBA">
      <w:pPr>
        <w:pStyle w:val="Textpoznpodarou"/>
        <w:spacing w:line="240" w:lineRule="auto"/>
        <w:rPr>
          <w:rFonts w:ascii="Times New Roman" w:hAnsi="Times New Roman"/>
          <w:sz w:val="18"/>
          <w:szCs w:val="18"/>
        </w:rPr>
      </w:pPr>
      <w:r w:rsidRPr="009146C7">
        <w:rPr>
          <w:rStyle w:val="Znakapoznpodarou"/>
          <w:rFonts w:asciiTheme="minorHAnsi" w:hAnsiTheme="minorHAnsi"/>
          <w:sz w:val="18"/>
          <w:szCs w:val="18"/>
        </w:rPr>
        <w:footnoteRef/>
      </w:r>
      <w:r w:rsidRPr="009146C7">
        <w:rPr>
          <w:rFonts w:asciiTheme="minorHAnsi" w:hAnsiTheme="minorHAnsi"/>
          <w:sz w:val="18"/>
          <w:szCs w:val="18"/>
        </w:rPr>
        <w:t xml:space="preserve"> </w:t>
      </w:r>
      <w:r>
        <w:rPr>
          <w:rFonts w:asciiTheme="minorHAnsi" w:hAnsiTheme="minorHAnsi"/>
          <w:sz w:val="18"/>
          <w:szCs w:val="18"/>
        </w:rPr>
        <w:tab/>
      </w:r>
      <w:r w:rsidRPr="009146C7">
        <w:rPr>
          <w:rFonts w:asciiTheme="minorHAnsi" w:hAnsiTheme="minorHAnsi"/>
          <w:color w:val="000000"/>
          <w:sz w:val="18"/>
          <w:szCs w:val="18"/>
        </w:rPr>
        <w:t xml:space="preserve">AULICKÁ, Jana. </w:t>
      </w:r>
      <w:r w:rsidRPr="00AC7451">
        <w:rPr>
          <w:rFonts w:asciiTheme="minorHAnsi" w:hAnsiTheme="minorHAnsi"/>
          <w:i/>
          <w:iCs/>
          <w:color w:val="000000"/>
          <w:sz w:val="18"/>
          <w:szCs w:val="18"/>
        </w:rPr>
        <w:t>Judikatura NSS: Daňová kontrola</w:t>
      </w:r>
      <w:r w:rsidRPr="009146C7">
        <w:rPr>
          <w:rFonts w:asciiTheme="minorHAnsi" w:hAnsiTheme="minorHAnsi"/>
          <w:color w:val="000000"/>
          <w:sz w:val="18"/>
          <w:szCs w:val="18"/>
        </w:rPr>
        <w:t xml:space="preserve">. </w:t>
      </w:r>
      <w:r w:rsidRPr="00165C0B">
        <w:rPr>
          <w:rFonts w:asciiTheme="minorHAnsi" w:hAnsiTheme="minorHAnsi"/>
          <w:i/>
          <w:iCs/>
          <w:color w:val="000000"/>
          <w:sz w:val="18"/>
          <w:szCs w:val="18"/>
        </w:rPr>
        <w:t>Soudní rozhledy</w:t>
      </w:r>
      <w:r w:rsidRPr="00AC7451">
        <w:rPr>
          <w:rFonts w:asciiTheme="minorHAnsi" w:hAnsiTheme="minorHAnsi"/>
          <w:color w:val="000000"/>
          <w:sz w:val="18"/>
          <w:szCs w:val="18"/>
        </w:rPr>
        <w:t>. 2016,</w:t>
      </w:r>
      <w:r>
        <w:rPr>
          <w:rFonts w:asciiTheme="minorHAnsi" w:hAnsiTheme="minorHAnsi"/>
          <w:color w:val="000000"/>
          <w:sz w:val="18"/>
          <w:szCs w:val="18"/>
        </w:rPr>
        <w:t xml:space="preserve"> roč. 22,</w:t>
      </w:r>
      <w:r w:rsidRPr="00AC7451">
        <w:rPr>
          <w:rFonts w:asciiTheme="minorHAnsi" w:hAnsiTheme="minorHAnsi"/>
          <w:color w:val="000000"/>
          <w:sz w:val="18"/>
          <w:szCs w:val="18"/>
        </w:rPr>
        <w:t xml:space="preserve"> č. 9, s. 274-279.</w:t>
      </w:r>
      <w:r>
        <w:rPr>
          <w:rFonts w:asciiTheme="minorHAnsi" w:hAnsiTheme="minorHAnsi"/>
          <w:color w:val="000000"/>
          <w:sz w:val="18"/>
          <w:szCs w:val="18"/>
        </w:rPr>
        <w:t xml:space="preserve"> ISSN 1211-4405.</w:t>
      </w:r>
    </w:p>
  </w:footnote>
  <w:footnote w:id="238">
    <w:p w14:paraId="14C86ED3" w14:textId="77777777" w:rsidR="0072007C" w:rsidRDefault="0072007C">
      <w:pPr>
        <w:pStyle w:val="Textpoznpodarou"/>
      </w:pPr>
      <w:r>
        <w:rPr>
          <w:rStyle w:val="Znakapoznpodarou"/>
        </w:rPr>
        <w:footnoteRef/>
      </w:r>
      <w:r>
        <w:t xml:space="preserve"> BOHÁČ, Radim; KRASULOVÁ, Hana, 2017, op. cit., s. 155.</w:t>
      </w:r>
    </w:p>
  </w:footnote>
  <w:footnote w:id="239">
    <w:p w14:paraId="68505889" w14:textId="77777777" w:rsidR="0072007C" w:rsidRPr="00AC7451" w:rsidRDefault="0072007C" w:rsidP="00194C7B">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color w:val="000000"/>
          <w:sz w:val="18"/>
          <w:szCs w:val="18"/>
        </w:rPr>
        <w:t xml:space="preserve">AULICKÁ, </w:t>
      </w:r>
      <w:r>
        <w:rPr>
          <w:rFonts w:asciiTheme="minorHAnsi" w:hAnsiTheme="minorHAnsi"/>
          <w:color w:val="000000"/>
          <w:sz w:val="18"/>
          <w:szCs w:val="18"/>
        </w:rPr>
        <w:t>2016, op. cit.</w:t>
      </w:r>
    </w:p>
  </w:footnote>
  <w:footnote w:id="240">
    <w:p w14:paraId="6D616F56" w14:textId="77777777" w:rsidR="0072007C" w:rsidRPr="00AC7451" w:rsidRDefault="0072007C" w:rsidP="00024CBA">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sz w:val="18"/>
          <w:szCs w:val="18"/>
        </w:rPr>
        <w:t xml:space="preserve">§ 12 odst. 2 zákona </w:t>
      </w:r>
      <w:r>
        <w:rPr>
          <w:rFonts w:asciiTheme="minorHAnsi" w:hAnsiTheme="minorHAnsi"/>
          <w:sz w:val="18"/>
          <w:szCs w:val="18"/>
        </w:rPr>
        <w:t>o dani z hazardních her</w:t>
      </w:r>
    </w:p>
  </w:footnote>
  <w:footnote w:id="241">
    <w:p w14:paraId="4DF921D7" w14:textId="77777777" w:rsidR="0072007C" w:rsidRPr="00AC7451" w:rsidRDefault="0072007C" w:rsidP="00024CBA">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sz w:val="18"/>
          <w:szCs w:val="18"/>
        </w:rPr>
        <w:t>§ 145</w:t>
      </w:r>
      <w:r>
        <w:rPr>
          <w:rFonts w:asciiTheme="minorHAnsi" w:hAnsiTheme="minorHAnsi"/>
          <w:sz w:val="18"/>
          <w:szCs w:val="18"/>
        </w:rPr>
        <w:t xml:space="preserve"> daňového řádu</w:t>
      </w:r>
    </w:p>
  </w:footnote>
  <w:footnote w:id="242">
    <w:p w14:paraId="699408A6" w14:textId="77777777" w:rsidR="0072007C" w:rsidRPr="00AC7451" w:rsidRDefault="0072007C" w:rsidP="00024CBA">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sz w:val="18"/>
          <w:szCs w:val="18"/>
        </w:rPr>
        <w:t>MATYÁŠOVÁ,</w:t>
      </w:r>
      <w:r>
        <w:rPr>
          <w:rFonts w:asciiTheme="minorHAnsi" w:hAnsiTheme="minorHAnsi"/>
          <w:sz w:val="18"/>
          <w:szCs w:val="18"/>
        </w:rPr>
        <w:t xml:space="preserve"> </w:t>
      </w:r>
      <w:r w:rsidRPr="00AC7451">
        <w:rPr>
          <w:rFonts w:asciiTheme="minorHAnsi" w:hAnsiTheme="minorHAnsi"/>
          <w:sz w:val="18"/>
          <w:szCs w:val="18"/>
        </w:rPr>
        <w:t xml:space="preserve">GROSSOVÁ, </w:t>
      </w:r>
      <w:r>
        <w:rPr>
          <w:rFonts w:asciiTheme="minorHAnsi" w:hAnsiTheme="minorHAnsi"/>
          <w:sz w:val="18"/>
          <w:szCs w:val="18"/>
        </w:rPr>
        <w:t>2015, op. cit., s. 529-530</w:t>
      </w:r>
    </w:p>
  </w:footnote>
  <w:footnote w:id="243">
    <w:p w14:paraId="6F1CB672" w14:textId="77777777" w:rsidR="0072007C" w:rsidRPr="00AC7451" w:rsidRDefault="0072007C" w:rsidP="00024CBA">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color w:val="000000"/>
          <w:sz w:val="18"/>
          <w:szCs w:val="18"/>
        </w:rPr>
        <w:t xml:space="preserve">Důvodová zpráva k zákonu č. 187/2016 Sb. o dani z hazardních her. </w:t>
      </w:r>
      <w:r w:rsidRPr="00AC7451">
        <w:rPr>
          <w:rFonts w:asciiTheme="minorHAnsi" w:hAnsiTheme="minorHAnsi"/>
          <w:sz w:val="18"/>
          <w:szCs w:val="18"/>
        </w:rPr>
        <w:t xml:space="preserve">In: </w:t>
      </w:r>
      <w:r w:rsidRPr="00AC7451">
        <w:rPr>
          <w:rFonts w:asciiTheme="minorHAnsi" w:hAnsiTheme="minorHAnsi"/>
          <w:i/>
          <w:iCs/>
          <w:sz w:val="18"/>
          <w:szCs w:val="18"/>
        </w:rPr>
        <w:t>ASPI</w:t>
      </w:r>
      <w:r w:rsidRPr="00AC7451">
        <w:rPr>
          <w:rFonts w:asciiTheme="minorHAnsi" w:hAnsiTheme="minorHAnsi"/>
          <w:sz w:val="18"/>
          <w:szCs w:val="18"/>
        </w:rPr>
        <w:t xml:space="preserve"> [právní informační systém]. Wolters Kluwer ČR [cit. </w:t>
      </w:r>
      <w:r>
        <w:rPr>
          <w:rFonts w:asciiTheme="minorHAnsi" w:hAnsiTheme="minorHAnsi"/>
          <w:sz w:val="18"/>
          <w:szCs w:val="18"/>
        </w:rPr>
        <w:t>12</w:t>
      </w:r>
      <w:r w:rsidRPr="00AC7451">
        <w:rPr>
          <w:rFonts w:asciiTheme="minorHAnsi" w:hAnsiTheme="minorHAnsi"/>
          <w:sz w:val="18"/>
          <w:szCs w:val="18"/>
        </w:rPr>
        <w:t xml:space="preserve">. </w:t>
      </w:r>
      <w:r>
        <w:rPr>
          <w:rFonts w:asciiTheme="minorHAnsi" w:hAnsiTheme="minorHAnsi"/>
          <w:sz w:val="18"/>
          <w:szCs w:val="18"/>
        </w:rPr>
        <w:t>2</w:t>
      </w:r>
      <w:r w:rsidRPr="00AC7451">
        <w:rPr>
          <w:rFonts w:asciiTheme="minorHAnsi" w:hAnsiTheme="minorHAnsi"/>
          <w:sz w:val="18"/>
          <w:szCs w:val="18"/>
        </w:rPr>
        <w:t>. 201</w:t>
      </w:r>
      <w:r>
        <w:rPr>
          <w:rFonts w:asciiTheme="minorHAnsi" w:hAnsiTheme="minorHAnsi"/>
          <w:sz w:val="18"/>
          <w:szCs w:val="18"/>
        </w:rPr>
        <w:t>8</w:t>
      </w:r>
      <w:r w:rsidRPr="00AC7451">
        <w:rPr>
          <w:rFonts w:asciiTheme="minorHAnsi" w:hAnsiTheme="minorHAnsi"/>
          <w:sz w:val="18"/>
          <w:szCs w:val="18"/>
        </w:rPr>
        <w:t>].</w:t>
      </w:r>
    </w:p>
  </w:footnote>
  <w:footnote w:id="244">
    <w:p w14:paraId="3B903411" w14:textId="77777777" w:rsidR="0072007C" w:rsidRPr="00267CED" w:rsidRDefault="0072007C" w:rsidP="00024CBA">
      <w:pPr>
        <w:pStyle w:val="Textpoznpodarou"/>
        <w:spacing w:line="240" w:lineRule="auto"/>
        <w:rPr>
          <w:rFonts w:asciiTheme="minorHAnsi" w:hAnsiTheme="minorHAnsi"/>
          <w:sz w:val="18"/>
          <w:szCs w:val="18"/>
        </w:rPr>
      </w:pPr>
      <w:r w:rsidRPr="00AC7451">
        <w:rPr>
          <w:rStyle w:val="Znakapoznpodarou"/>
          <w:rFonts w:asciiTheme="minorHAnsi" w:hAnsiTheme="minorHAnsi"/>
          <w:sz w:val="18"/>
          <w:szCs w:val="18"/>
        </w:rPr>
        <w:footnoteRef/>
      </w:r>
      <w:r w:rsidRPr="00AC7451">
        <w:rPr>
          <w:rFonts w:asciiTheme="minorHAnsi" w:hAnsiTheme="minorHAnsi"/>
          <w:sz w:val="18"/>
          <w:szCs w:val="18"/>
        </w:rPr>
        <w:t xml:space="preserve"> </w:t>
      </w:r>
      <w:r>
        <w:rPr>
          <w:rFonts w:asciiTheme="minorHAnsi" w:hAnsiTheme="minorHAnsi"/>
          <w:sz w:val="18"/>
          <w:szCs w:val="18"/>
        </w:rPr>
        <w:tab/>
      </w:r>
      <w:r w:rsidRPr="00AC7451">
        <w:rPr>
          <w:rFonts w:asciiTheme="minorHAnsi" w:hAnsiTheme="minorHAnsi"/>
          <w:sz w:val="18"/>
          <w:szCs w:val="18"/>
        </w:rPr>
        <w:t xml:space="preserve">§ 12 odst. 3 </w:t>
      </w:r>
      <w:r>
        <w:rPr>
          <w:rFonts w:asciiTheme="minorHAnsi" w:hAnsiTheme="minorHAnsi"/>
          <w:sz w:val="18"/>
          <w:szCs w:val="18"/>
        </w:rPr>
        <w:t>zákona o dani z hazardních her</w:t>
      </w:r>
    </w:p>
  </w:footnote>
  <w:footnote w:id="245">
    <w:p w14:paraId="262A455F"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Pr>
          <w:rFonts w:asciiTheme="minorHAnsi" w:hAnsiTheme="minorHAnsi"/>
          <w:sz w:val="18"/>
          <w:szCs w:val="18"/>
        </w:rPr>
        <w:tab/>
      </w:r>
      <w:r w:rsidRPr="00267CED">
        <w:rPr>
          <w:rFonts w:asciiTheme="minorHAnsi" w:hAnsiTheme="minorHAnsi"/>
          <w:sz w:val="18"/>
          <w:szCs w:val="18"/>
        </w:rPr>
        <w:t xml:space="preserve">§ 12 odst. 3 zákona </w:t>
      </w:r>
      <w:r>
        <w:rPr>
          <w:rFonts w:asciiTheme="minorHAnsi" w:hAnsiTheme="minorHAnsi"/>
          <w:sz w:val="18"/>
          <w:szCs w:val="18"/>
        </w:rPr>
        <w:t>o dani z hazardních her</w:t>
      </w:r>
    </w:p>
  </w:footnote>
  <w:footnote w:id="246">
    <w:p w14:paraId="3EB41525"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Pr>
          <w:rFonts w:asciiTheme="minorHAnsi" w:hAnsiTheme="minorHAnsi"/>
          <w:sz w:val="18"/>
          <w:szCs w:val="18"/>
        </w:rPr>
        <w:tab/>
      </w:r>
      <w:r w:rsidRPr="00267CED">
        <w:rPr>
          <w:rFonts w:asciiTheme="minorHAnsi" w:hAnsiTheme="minorHAnsi"/>
          <w:sz w:val="18"/>
          <w:szCs w:val="18"/>
        </w:rPr>
        <w:t xml:space="preserve">§ 91 odst. 1 </w:t>
      </w:r>
      <w:r>
        <w:rPr>
          <w:rFonts w:asciiTheme="minorHAnsi" w:hAnsiTheme="minorHAnsi"/>
          <w:sz w:val="18"/>
          <w:szCs w:val="18"/>
        </w:rPr>
        <w:t>daňového řádu</w:t>
      </w:r>
    </w:p>
  </w:footnote>
  <w:footnote w:id="247">
    <w:p w14:paraId="1D9BF8CC"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Pr>
          <w:rFonts w:asciiTheme="minorHAnsi" w:hAnsiTheme="minorHAnsi"/>
          <w:sz w:val="18"/>
          <w:szCs w:val="18"/>
        </w:rPr>
        <w:tab/>
      </w:r>
      <w:r w:rsidRPr="00267CED">
        <w:rPr>
          <w:rFonts w:asciiTheme="minorHAnsi" w:hAnsiTheme="minorHAnsi"/>
          <w:sz w:val="18"/>
          <w:szCs w:val="18"/>
        </w:rPr>
        <w:t xml:space="preserve">§ 11 odst. 3 </w:t>
      </w:r>
      <w:r w:rsidRPr="00A80758">
        <w:rPr>
          <w:rFonts w:asciiTheme="minorHAnsi" w:hAnsiTheme="minorHAnsi"/>
          <w:sz w:val="18"/>
          <w:szCs w:val="18"/>
        </w:rPr>
        <w:t xml:space="preserve">zákona </w:t>
      </w:r>
      <w:r>
        <w:rPr>
          <w:rFonts w:asciiTheme="minorHAnsi" w:hAnsiTheme="minorHAnsi"/>
          <w:sz w:val="18"/>
          <w:szCs w:val="18"/>
        </w:rPr>
        <w:t>o dani z hazardních her</w:t>
      </w:r>
    </w:p>
  </w:footnote>
  <w:footnote w:id="248">
    <w:p w14:paraId="03A4611C"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Pr>
          <w:rFonts w:asciiTheme="minorHAnsi" w:hAnsiTheme="minorHAnsi"/>
          <w:sz w:val="18"/>
          <w:szCs w:val="18"/>
        </w:rPr>
        <w:tab/>
      </w:r>
      <w:r w:rsidRPr="00267CED">
        <w:rPr>
          <w:rFonts w:asciiTheme="minorHAnsi" w:hAnsiTheme="minorHAnsi"/>
          <w:sz w:val="18"/>
          <w:szCs w:val="18"/>
        </w:rPr>
        <w:t xml:space="preserve">§ 98 </w:t>
      </w:r>
      <w:r>
        <w:rPr>
          <w:rFonts w:asciiTheme="minorHAnsi" w:hAnsiTheme="minorHAnsi"/>
          <w:sz w:val="18"/>
          <w:szCs w:val="18"/>
        </w:rPr>
        <w:t>daňového řádu</w:t>
      </w:r>
    </w:p>
  </w:footnote>
  <w:footnote w:id="249">
    <w:p w14:paraId="542E2F16"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Pr>
          <w:rFonts w:asciiTheme="minorHAnsi" w:hAnsiTheme="minorHAnsi"/>
          <w:sz w:val="18"/>
          <w:szCs w:val="18"/>
        </w:rPr>
        <w:tab/>
      </w:r>
      <w:r w:rsidRPr="00267CED">
        <w:rPr>
          <w:rFonts w:asciiTheme="minorHAnsi" w:hAnsiTheme="minorHAnsi"/>
          <w:sz w:val="18"/>
          <w:szCs w:val="18"/>
        </w:rPr>
        <w:t>§ 141 odst. 7</w:t>
      </w:r>
      <w:r>
        <w:rPr>
          <w:rFonts w:asciiTheme="minorHAnsi" w:hAnsiTheme="minorHAnsi"/>
          <w:sz w:val="18"/>
          <w:szCs w:val="18"/>
        </w:rPr>
        <w:t xml:space="preserve"> daňového řádu a § 12 odst. 4 zákona o dani z hazardních her</w:t>
      </w:r>
    </w:p>
  </w:footnote>
  <w:footnote w:id="250">
    <w:p w14:paraId="0AD13683" w14:textId="77777777" w:rsidR="0072007C" w:rsidRPr="00267CED" w:rsidRDefault="0072007C" w:rsidP="00024CBA">
      <w:pPr>
        <w:pStyle w:val="Textpoznpodarou"/>
        <w:spacing w:line="240" w:lineRule="auto"/>
        <w:rPr>
          <w:rFonts w:asciiTheme="minorHAnsi" w:hAnsiTheme="minorHAnsi"/>
          <w:sz w:val="18"/>
          <w:szCs w:val="18"/>
        </w:rPr>
      </w:pPr>
      <w:r w:rsidRPr="00267CED">
        <w:rPr>
          <w:rStyle w:val="Znakapoznpodarou"/>
          <w:rFonts w:asciiTheme="minorHAnsi" w:hAnsiTheme="minorHAnsi"/>
          <w:sz w:val="18"/>
          <w:szCs w:val="18"/>
        </w:rPr>
        <w:footnoteRef/>
      </w:r>
      <w:r w:rsidRPr="00267CED">
        <w:rPr>
          <w:rFonts w:asciiTheme="minorHAnsi" w:hAnsiTheme="minorHAnsi"/>
          <w:sz w:val="18"/>
          <w:szCs w:val="18"/>
        </w:rPr>
        <w:t xml:space="preserve"> </w:t>
      </w:r>
      <w:r w:rsidRPr="00267CED">
        <w:rPr>
          <w:rFonts w:asciiTheme="minorHAnsi" w:hAnsiTheme="minorHAnsi"/>
          <w:sz w:val="18"/>
          <w:szCs w:val="18"/>
        </w:rPr>
        <w:tab/>
        <w:t xml:space="preserve">§ 12 odst. 4 </w:t>
      </w:r>
      <w:r>
        <w:rPr>
          <w:rFonts w:asciiTheme="minorHAnsi" w:hAnsiTheme="minorHAnsi"/>
          <w:sz w:val="18"/>
          <w:szCs w:val="18"/>
        </w:rPr>
        <w:t>zákona o dani z hazardních her</w:t>
      </w:r>
    </w:p>
  </w:footnote>
  <w:footnote w:id="251">
    <w:p w14:paraId="1724F910" w14:textId="77777777" w:rsidR="0072007C" w:rsidRPr="00750854" w:rsidRDefault="0072007C" w:rsidP="00080161">
      <w:pPr>
        <w:textAlignment w:val="center"/>
        <w:rPr>
          <w:rFonts w:asciiTheme="minorHAnsi" w:hAnsiTheme="minorHAnsi"/>
          <w:color w:val="000000"/>
          <w:sz w:val="18"/>
          <w:szCs w:val="18"/>
        </w:rPr>
      </w:pPr>
      <w:r w:rsidRPr="00750854">
        <w:rPr>
          <w:rStyle w:val="Znakapoznpodarou"/>
          <w:rFonts w:asciiTheme="minorHAnsi" w:hAnsiTheme="minorHAnsi"/>
          <w:sz w:val="18"/>
          <w:szCs w:val="18"/>
        </w:rPr>
        <w:footnoteRef/>
      </w:r>
      <w:r w:rsidRPr="00750854">
        <w:rPr>
          <w:rFonts w:asciiTheme="minorHAnsi" w:hAnsiTheme="minorHAnsi"/>
          <w:sz w:val="18"/>
          <w:szCs w:val="18"/>
        </w:rPr>
        <w:t xml:space="preserve"> </w:t>
      </w:r>
      <w:bookmarkStart w:id="47" w:name="_Hlk23401440"/>
      <w:r w:rsidRPr="00750854">
        <w:rPr>
          <w:rFonts w:asciiTheme="minorHAnsi" w:hAnsiTheme="minorHAnsi"/>
          <w:sz w:val="18"/>
          <w:szCs w:val="18"/>
        </w:rPr>
        <w:t xml:space="preserve">  </w:t>
      </w:r>
      <w:r w:rsidRPr="00750854">
        <w:rPr>
          <w:rFonts w:asciiTheme="minorHAnsi" w:hAnsiTheme="minorHAnsi"/>
          <w:color w:val="000000"/>
          <w:sz w:val="18"/>
          <w:szCs w:val="18"/>
        </w:rPr>
        <w:t xml:space="preserve">LICHNOVSKÝ, Ondřej a kol. </w:t>
      </w:r>
      <w:r w:rsidRPr="00750854">
        <w:rPr>
          <w:rFonts w:asciiTheme="minorHAnsi" w:hAnsiTheme="minorHAnsi"/>
          <w:i/>
          <w:iCs/>
          <w:color w:val="000000"/>
          <w:sz w:val="18"/>
          <w:szCs w:val="18"/>
        </w:rPr>
        <w:t>Daňový řád</w:t>
      </w:r>
      <w:r w:rsidRPr="00750854">
        <w:rPr>
          <w:rFonts w:asciiTheme="minorHAnsi" w:hAnsiTheme="minorHAnsi"/>
          <w:color w:val="000000"/>
          <w:sz w:val="18"/>
          <w:szCs w:val="18"/>
        </w:rPr>
        <w:t xml:space="preserve">. 3. vydání. Praha: Nakladatelství C. H. Beck, 2016, s.   </w:t>
      </w:r>
    </w:p>
    <w:p w14:paraId="00739A81" w14:textId="77777777" w:rsidR="0072007C" w:rsidRPr="00750854" w:rsidRDefault="0072007C" w:rsidP="00080161">
      <w:pPr>
        <w:textAlignment w:val="center"/>
        <w:rPr>
          <w:rFonts w:asciiTheme="minorHAnsi" w:hAnsiTheme="minorHAnsi"/>
          <w:color w:val="000000"/>
          <w:sz w:val="18"/>
          <w:szCs w:val="18"/>
        </w:rPr>
      </w:pPr>
      <w:r w:rsidRPr="00750854">
        <w:rPr>
          <w:rFonts w:asciiTheme="minorHAnsi" w:hAnsiTheme="minorHAnsi"/>
          <w:color w:val="000000"/>
          <w:sz w:val="18"/>
          <w:szCs w:val="18"/>
        </w:rPr>
        <w:t xml:space="preserve">        520-521.</w:t>
      </w:r>
      <w:bookmarkEnd w:id="47"/>
    </w:p>
  </w:footnote>
  <w:footnote w:id="252">
    <w:p w14:paraId="6DFB0979" w14:textId="77777777" w:rsidR="0072007C" w:rsidRPr="00750854" w:rsidRDefault="0072007C" w:rsidP="00080161">
      <w:pPr>
        <w:pStyle w:val="Textpoznpodarou"/>
        <w:spacing w:line="240" w:lineRule="auto"/>
        <w:rPr>
          <w:sz w:val="18"/>
          <w:szCs w:val="18"/>
        </w:rPr>
      </w:pPr>
      <w:r w:rsidRPr="00750854">
        <w:rPr>
          <w:rStyle w:val="Znakapoznpodarou"/>
          <w:sz w:val="18"/>
          <w:szCs w:val="18"/>
        </w:rPr>
        <w:footnoteRef/>
      </w:r>
      <w:r w:rsidRPr="00750854">
        <w:rPr>
          <w:sz w:val="18"/>
          <w:szCs w:val="18"/>
        </w:rPr>
        <w:t xml:space="preserve"> </w:t>
      </w:r>
      <w:r w:rsidRPr="00750854">
        <w:rPr>
          <w:sz w:val="18"/>
          <w:szCs w:val="18"/>
        </w:rPr>
        <w:tab/>
        <w:t>ALEXA, Karel, 2014, op. cit.,  s. 17 a 132-135</w:t>
      </w:r>
    </w:p>
  </w:footnote>
  <w:footnote w:id="253">
    <w:p w14:paraId="52A75327" w14:textId="77777777" w:rsidR="0072007C" w:rsidRPr="00750854" w:rsidRDefault="0072007C" w:rsidP="00080161">
      <w:pPr>
        <w:pStyle w:val="Textpoznpodarou"/>
        <w:spacing w:line="240" w:lineRule="auto"/>
        <w:rPr>
          <w:sz w:val="18"/>
          <w:szCs w:val="18"/>
        </w:rPr>
      </w:pPr>
      <w:r w:rsidRPr="00750854">
        <w:rPr>
          <w:rStyle w:val="Znakapoznpodarou"/>
          <w:sz w:val="18"/>
          <w:szCs w:val="18"/>
        </w:rPr>
        <w:footnoteRef/>
      </w:r>
      <w:r w:rsidRPr="00750854">
        <w:rPr>
          <w:sz w:val="18"/>
          <w:szCs w:val="18"/>
        </w:rPr>
        <w:t xml:space="preserve"> </w:t>
      </w:r>
      <w:r w:rsidRPr="00750854">
        <w:rPr>
          <w:sz w:val="18"/>
          <w:szCs w:val="18"/>
        </w:rPr>
        <w:tab/>
        <w:t xml:space="preserve">HAVRÁNKOVÁ, Martina; JAREŠOVÁ, Jana. Daňový řád – část XI. Placení daní (2. díl). </w:t>
      </w:r>
      <w:r w:rsidRPr="00750854">
        <w:rPr>
          <w:i/>
          <w:sz w:val="18"/>
          <w:szCs w:val="18"/>
        </w:rPr>
        <w:t>Daňový expert</w:t>
      </w:r>
      <w:r w:rsidRPr="00750854">
        <w:rPr>
          <w:sz w:val="18"/>
          <w:szCs w:val="18"/>
        </w:rPr>
        <w:t xml:space="preserve">. 2013, č. 1. </w:t>
      </w:r>
      <w:r w:rsidRPr="00750854">
        <w:rPr>
          <w:rFonts w:asciiTheme="minorHAnsi" w:hAnsiTheme="minorHAnsi"/>
          <w:color w:val="000000"/>
          <w:sz w:val="18"/>
          <w:szCs w:val="18"/>
        </w:rPr>
        <w:t xml:space="preserve">In: </w:t>
      </w:r>
      <w:r w:rsidRPr="00750854">
        <w:rPr>
          <w:rFonts w:asciiTheme="minorHAnsi" w:hAnsiTheme="minorHAnsi"/>
          <w:i/>
          <w:color w:val="000000"/>
          <w:sz w:val="18"/>
          <w:szCs w:val="18"/>
        </w:rPr>
        <w:t xml:space="preserve">ASPI </w:t>
      </w:r>
      <w:r w:rsidRPr="00750854">
        <w:rPr>
          <w:rFonts w:asciiTheme="minorHAnsi" w:hAnsiTheme="minorHAnsi"/>
          <w:color w:val="000000"/>
          <w:sz w:val="18"/>
          <w:szCs w:val="18"/>
        </w:rPr>
        <w:t>[právní informační systém]. Wolters Kluwer ČR [cit. 1. 2. 2019].</w:t>
      </w:r>
    </w:p>
  </w:footnote>
  <w:footnote w:id="254">
    <w:p w14:paraId="782DEFA2" w14:textId="77777777" w:rsidR="0072007C" w:rsidRPr="00750854" w:rsidRDefault="0072007C" w:rsidP="00080161">
      <w:pPr>
        <w:rPr>
          <w:rFonts w:asciiTheme="minorHAnsi" w:hAnsiTheme="minorHAnsi"/>
          <w:sz w:val="18"/>
          <w:szCs w:val="18"/>
        </w:rPr>
      </w:pPr>
      <w:r w:rsidRPr="00750854">
        <w:rPr>
          <w:rStyle w:val="Znakapoznpodarou"/>
          <w:rFonts w:asciiTheme="minorHAnsi" w:hAnsiTheme="minorHAnsi"/>
          <w:sz w:val="18"/>
          <w:szCs w:val="18"/>
        </w:rPr>
        <w:footnoteRef/>
      </w:r>
      <w:r w:rsidRPr="00750854">
        <w:rPr>
          <w:rFonts w:asciiTheme="minorHAnsi" w:hAnsiTheme="minorHAnsi"/>
          <w:sz w:val="18"/>
          <w:szCs w:val="18"/>
        </w:rPr>
        <w:t xml:space="preserve">   § 41h odst. 3 loterního zákona</w:t>
      </w:r>
    </w:p>
  </w:footnote>
  <w:footnote w:id="255">
    <w:p w14:paraId="154F0C58" w14:textId="77777777" w:rsidR="0072007C" w:rsidRPr="00267CED" w:rsidRDefault="0072007C" w:rsidP="00080161">
      <w:pPr>
        <w:pStyle w:val="Textpoznpodarou"/>
        <w:spacing w:line="240" w:lineRule="auto"/>
        <w:rPr>
          <w:rFonts w:asciiTheme="minorHAnsi" w:hAnsiTheme="minorHAnsi"/>
          <w:sz w:val="18"/>
          <w:szCs w:val="18"/>
        </w:rPr>
      </w:pPr>
      <w:r w:rsidRPr="00750854">
        <w:rPr>
          <w:rStyle w:val="Znakapoznpodarou"/>
          <w:rFonts w:asciiTheme="minorHAnsi" w:hAnsiTheme="minorHAnsi"/>
          <w:sz w:val="18"/>
          <w:szCs w:val="18"/>
        </w:rPr>
        <w:footnoteRef/>
      </w:r>
      <w:r w:rsidRPr="00750854">
        <w:rPr>
          <w:rFonts w:asciiTheme="minorHAnsi" w:hAnsiTheme="minorHAnsi"/>
          <w:sz w:val="18"/>
          <w:szCs w:val="18"/>
        </w:rPr>
        <w:t xml:space="preserve"> </w:t>
      </w:r>
      <w:r w:rsidRPr="00750854">
        <w:rPr>
          <w:rFonts w:asciiTheme="minorHAnsi" w:hAnsiTheme="minorHAnsi"/>
          <w:sz w:val="18"/>
          <w:szCs w:val="18"/>
        </w:rPr>
        <w:tab/>
        <w:t xml:space="preserve">§ 110y </w:t>
      </w:r>
      <w:bookmarkStart w:id="48" w:name="_Hlk23412277"/>
      <w:r w:rsidRPr="00750854">
        <w:rPr>
          <w:rFonts w:asciiTheme="minorHAnsi" w:hAnsiTheme="minorHAnsi"/>
          <w:sz w:val="18"/>
          <w:szCs w:val="18"/>
        </w:rPr>
        <w:t>zákona č. 235/2004 Sb., zákon o dani z přidané hodnoty, ve znění pozdějších předpisů. In:</w:t>
      </w:r>
      <w:r w:rsidRPr="00B74783">
        <w:rPr>
          <w:rFonts w:asciiTheme="minorHAnsi" w:hAnsiTheme="minorHAnsi"/>
          <w:sz w:val="18"/>
          <w:szCs w:val="18"/>
        </w:rPr>
        <w:t xml:space="preserve"> </w:t>
      </w:r>
      <w:r w:rsidRPr="00B74783">
        <w:rPr>
          <w:rFonts w:asciiTheme="minorHAnsi" w:hAnsiTheme="minorHAnsi"/>
          <w:i/>
          <w:iCs/>
          <w:sz w:val="18"/>
          <w:szCs w:val="18"/>
        </w:rPr>
        <w:t>ASPI</w:t>
      </w:r>
      <w:r w:rsidRPr="00B74783">
        <w:rPr>
          <w:rFonts w:asciiTheme="minorHAnsi" w:hAnsiTheme="minorHAnsi"/>
          <w:sz w:val="18"/>
          <w:szCs w:val="18"/>
        </w:rPr>
        <w:t xml:space="preserve"> [právní informační</w:t>
      </w:r>
      <w:r w:rsidRPr="00A80758">
        <w:rPr>
          <w:rFonts w:asciiTheme="minorHAnsi" w:hAnsiTheme="minorHAnsi"/>
          <w:sz w:val="18"/>
          <w:szCs w:val="18"/>
        </w:rPr>
        <w:t xml:space="preserve"> systém]. Wolters Kluwer ČR [cit. </w:t>
      </w:r>
      <w:r>
        <w:rPr>
          <w:rFonts w:asciiTheme="minorHAnsi" w:hAnsiTheme="minorHAnsi"/>
          <w:sz w:val="18"/>
          <w:szCs w:val="18"/>
        </w:rPr>
        <w:t>15</w:t>
      </w:r>
      <w:r w:rsidRPr="00A80758">
        <w:rPr>
          <w:rFonts w:asciiTheme="minorHAnsi" w:hAnsiTheme="minorHAnsi"/>
          <w:sz w:val="18"/>
          <w:szCs w:val="18"/>
        </w:rPr>
        <w:t xml:space="preserve">. </w:t>
      </w:r>
      <w:r>
        <w:rPr>
          <w:rFonts w:asciiTheme="minorHAnsi" w:hAnsiTheme="minorHAnsi"/>
          <w:sz w:val="18"/>
          <w:szCs w:val="18"/>
        </w:rPr>
        <w:t>9</w:t>
      </w:r>
      <w:r w:rsidRPr="00A80758">
        <w:rPr>
          <w:rFonts w:asciiTheme="minorHAnsi" w:hAnsiTheme="minorHAnsi"/>
          <w:sz w:val="18"/>
          <w:szCs w:val="18"/>
        </w:rPr>
        <w:t>. 201</w:t>
      </w:r>
      <w:r>
        <w:rPr>
          <w:rFonts w:asciiTheme="minorHAnsi" w:hAnsiTheme="minorHAnsi"/>
          <w:sz w:val="18"/>
          <w:szCs w:val="18"/>
        </w:rPr>
        <w:t>9</w:t>
      </w:r>
      <w:r w:rsidRPr="00A80758">
        <w:rPr>
          <w:rFonts w:asciiTheme="minorHAnsi" w:hAnsiTheme="minorHAnsi"/>
          <w:sz w:val="18"/>
          <w:szCs w:val="18"/>
        </w:rPr>
        <w:t>]</w:t>
      </w:r>
      <w:r>
        <w:rPr>
          <w:rFonts w:asciiTheme="minorHAnsi" w:hAnsiTheme="minorHAnsi"/>
          <w:sz w:val="18"/>
          <w:szCs w:val="18"/>
        </w:rPr>
        <w:t>.</w:t>
      </w:r>
    </w:p>
    <w:bookmarkEnd w:id="48"/>
  </w:footnote>
  <w:footnote w:id="256">
    <w:p w14:paraId="1499546D"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KLIMEŠ, David. Rozhovor s Alenou Schillerovou. </w:t>
      </w:r>
      <w:r w:rsidRPr="00024CBA">
        <w:rPr>
          <w:rFonts w:asciiTheme="minorHAnsi" w:hAnsiTheme="minorHAnsi"/>
          <w:i/>
          <w:iCs/>
          <w:sz w:val="18"/>
          <w:szCs w:val="18"/>
        </w:rPr>
        <w:t>Ekonom</w:t>
      </w:r>
      <w:r w:rsidRPr="00024CBA">
        <w:rPr>
          <w:rFonts w:asciiTheme="minorHAnsi" w:hAnsiTheme="minorHAnsi"/>
          <w:sz w:val="18"/>
          <w:szCs w:val="18"/>
        </w:rPr>
        <w:t>, 2019, roč. 63, č. 17, s. 12-19. ISSN 1210-0714.</w:t>
      </w:r>
    </w:p>
  </w:footnote>
  <w:footnote w:id="257">
    <w:p w14:paraId="5948A5E0" w14:textId="77777777" w:rsidR="0072007C" w:rsidRPr="00705279" w:rsidRDefault="0072007C" w:rsidP="00024CBA">
      <w:pPr>
        <w:pStyle w:val="Textpoznpodarou"/>
        <w:spacing w:line="240" w:lineRule="auto"/>
        <w:rPr>
          <w:rFonts w:ascii="Times New Roman" w:hAnsi="Times New Roman"/>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r w:rsidRPr="00024CBA">
        <w:rPr>
          <w:rFonts w:asciiTheme="minorHAnsi" w:hAnsiTheme="minorHAnsi"/>
          <w:i/>
          <w:iCs/>
          <w:sz w:val="18"/>
          <w:szCs w:val="18"/>
        </w:rPr>
        <w:t>2014-2015 Úspěchy a plány 2016-2017</w:t>
      </w:r>
      <w:r w:rsidRPr="00024CBA">
        <w:rPr>
          <w:rFonts w:asciiTheme="minorHAnsi" w:hAnsiTheme="minorHAnsi"/>
          <w:sz w:val="18"/>
          <w:szCs w:val="18"/>
        </w:rPr>
        <w:t xml:space="preserve"> [online]. Praha: Ministerstvo financí České republiky, 2016, s. 49 [cit. 15. 9. 2019] Dostupné z: </w:t>
      </w:r>
      <w:hyperlink r:id="rId12" w:history="1">
        <w:r w:rsidRPr="00024CBA">
          <w:rPr>
            <w:rStyle w:val="Hypertextovodkaz"/>
            <w:rFonts w:asciiTheme="minorHAnsi" w:hAnsiTheme="minorHAnsi"/>
            <w:sz w:val="18"/>
            <w:szCs w:val="18"/>
          </w:rPr>
          <w:t>https://www.mfcr.cz/assets/cs/media/Material_2016_Uspechy-a-plany-MF_r4.pdf</w:t>
        </w:r>
      </w:hyperlink>
    </w:p>
  </w:footnote>
  <w:footnote w:id="258">
    <w:p w14:paraId="531058C4" w14:textId="77777777" w:rsidR="0072007C" w:rsidRPr="00B77E22" w:rsidRDefault="0072007C" w:rsidP="00024CBA">
      <w:pPr>
        <w:pStyle w:val="Textpoznpodarou"/>
        <w:spacing w:line="240" w:lineRule="auto"/>
        <w:rPr>
          <w:rFonts w:asciiTheme="minorHAnsi" w:hAnsiTheme="minorHAnsi"/>
          <w:sz w:val="18"/>
          <w:szCs w:val="18"/>
        </w:rPr>
      </w:pPr>
      <w:r w:rsidRPr="00B77E22">
        <w:rPr>
          <w:rStyle w:val="Znakapoznpodarou"/>
          <w:rFonts w:asciiTheme="minorHAnsi" w:hAnsiTheme="minorHAnsi"/>
          <w:sz w:val="18"/>
          <w:szCs w:val="18"/>
        </w:rPr>
        <w:footnoteRef/>
      </w:r>
      <w:r w:rsidRPr="00B77E22">
        <w:rPr>
          <w:rFonts w:asciiTheme="minorHAnsi" w:hAnsiTheme="minorHAnsi"/>
          <w:sz w:val="18"/>
          <w:szCs w:val="18"/>
        </w:rPr>
        <w:t xml:space="preserve"> </w:t>
      </w:r>
      <w:r>
        <w:rPr>
          <w:rFonts w:asciiTheme="minorHAnsi" w:hAnsiTheme="minorHAnsi"/>
          <w:sz w:val="18"/>
          <w:szCs w:val="18"/>
        </w:rPr>
        <w:tab/>
      </w:r>
      <w:r w:rsidRPr="00B77E22">
        <w:rPr>
          <w:rFonts w:asciiTheme="minorHAnsi" w:hAnsiTheme="minorHAnsi"/>
          <w:sz w:val="18"/>
          <w:szCs w:val="18"/>
        </w:rPr>
        <w:t>JÁNOŠÍKOVÁ</w:t>
      </w:r>
      <w:r>
        <w:rPr>
          <w:rFonts w:asciiTheme="minorHAnsi" w:hAnsiTheme="minorHAnsi"/>
          <w:sz w:val="18"/>
          <w:szCs w:val="18"/>
        </w:rPr>
        <w:t xml:space="preserve"> a kol., 2016, op. cit., s. 301</w:t>
      </w:r>
    </w:p>
  </w:footnote>
  <w:footnote w:id="259">
    <w:p w14:paraId="352A419A" w14:textId="77777777" w:rsidR="0072007C" w:rsidRPr="00B77E22" w:rsidRDefault="0072007C" w:rsidP="00024CBA">
      <w:pPr>
        <w:pStyle w:val="Textpoznpodarou"/>
        <w:spacing w:line="240" w:lineRule="auto"/>
        <w:rPr>
          <w:rFonts w:asciiTheme="minorHAnsi" w:hAnsiTheme="minorHAnsi"/>
          <w:sz w:val="18"/>
          <w:szCs w:val="18"/>
        </w:rPr>
      </w:pPr>
      <w:r w:rsidRPr="00B77E22">
        <w:rPr>
          <w:rStyle w:val="Znakapoznpodarou"/>
          <w:rFonts w:asciiTheme="minorHAnsi" w:hAnsiTheme="minorHAnsi"/>
          <w:sz w:val="18"/>
          <w:szCs w:val="18"/>
        </w:rPr>
        <w:footnoteRef/>
      </w:r>
      <w:r w:rsidRPr="00B77E22">
        <w:rPr>
          <w:rFonts w:asciiTheme="minorHAnsi" w:hAnsiTheme="minorHAnsi"/>
          <w:sz w:val="18"/>
          <w:szCs w:val="18"/>
        </w:rPr>
        <w:t xml:space="preserve"> </w:t>
      </w:r>
      <w:r>
        <w:rPr>
          <w:rFonts w:asciiTheme="minorHAnsi" w:hAnsiTheme="minorHAnsi"/>
          <w:sz w:val="18"/>
          <w:szCs w:val="18"/>
        </w:rPr>
        <w:tab/>
      </w:r>
      <w:r w:rsidRPr="00B77E22">
        <w:rPr>
          <w:rFonts w:asciiTheme="minorHAnsi" w:hAnsiTheme="minorHAnsi"/>
          <w:sz w:val="18"/>
          <w:szCs w:val="18"/>
        </w:rPr>
        <w:t>BOHÁČ, KRASULOVÁ,</w:t>
      </w:r>
      <w:r>
        <w:rPr>
          <w:rFonts w:asciiTheme="minorHAnsi" w:hAnsiTheme="minorHAnsi"/>
          <w:sz w:val="18"/>
          <w:szCs w:val="18"/>
        </w:rPr>
        <w:t xml:space="preserve"> 2017, op. cit., s. 6 </w:t>
      </w:r>
    </w:p>
  </w:footnote>
  <w:footnote w:id="260">
    <w:p w14:paraId="31238817" w14:textId="7399F9E5" w:rsidR="0072007C" w:rsidRPr="00B77E22" w:rsidRDefault="0072007C" w:rsidP="00024CBA">
      <w:pPr>
        <w:pStyle w:val="Textpoznpodarou"/>
        <w:spacing w:line="240" w:lineRule="auto"/>
        <w:rPr>
          <w:rFonts w:asciiTheme="minorHAnsi" w:hAnsiTheme="minorHAnsi"/>
          <w:sz w:val="18"/>
          <w:szCs w:val="18"/>
        </w:rPr>
      </w:pPr>
      <w:r w:rsidRPr="00B77E22">
        <w:rPr>
          <w:rStyle w:val="Znakapoznpodarou"/>
          <w:rFonts w:asciiTheme="minorHAnsi" w:hAnsiTheme="minorHAnsi"/>
          <w:sz w:val="18"/>
          <w:szCs w:val="18"/>
        </w:rPr>
        <w:footnoteRef/>
      </w:r>
      <w:r w:rsidRPr="00B77E22">
        <w:rPr>
          <w:rFonts w:asciiTheme="minorHAnsi" w:hAnsiTheme="minorHAnsi"/>
          <w:sz w:val="18"/>
          <w:szCs w:val="18"/>
        </w:rPr>
        <w:t xml:space="preserve"> </w:t>
      </w:r>
      <w:r>
        <w:rPr>
          <w:rFonts w:asciiTheme="minorHAnsi" w:hAnsiTheme="minorHAnsi"/>
          <w:sz w:val="18"/>
          <w:szCs w:val="18"/>
        </w:rPr>
        <w:tab/>
      </w:r>
      <w:r w:rsidRPr="00B77E22">
        <w:rPr>
          <w:rFonts w:asciiTheme="minorHAnsi" w:hAnsiTheme="minorHAnsi"/>
          <w:sz w:val="18"/>
          <w:szCs w:val="18"/>
        </w:rPr>
        <w:t xml:space="preserve">§ 10 odst. 3 písm. b) </w:t>
      </w:r>
      <w:r w:rsidRPr="00C32818">
        <w:rPr>
          <w:rFonts w:asciiTheme="minorHAnsi" w:hAnsiTheme="minorHAnsi"/>
          <w:sz w:val="18"/>
          <w:szCs w:val="18"/>
        </w:rPr>
        <w:t>zákona č. 586/1992 Sb.</w:t>
      </w:r>
      <w:r>
        <w:rPr>
          <w:rFonts w:asciiTheme="minorHAnsi" w:hAnsiTheme="minorHAnsi"/>
          <w:sz w:val="18"/>
          <w:szCs w:val="18"/>
        </w:rPr>
        <w:t>, zákon České národní rady o daních z příjmů, ve znění pozděj</w:t>
      </w:r>
      <w:r w:rsidRPr="00C32818">
        <w:rPr>
          <w:rFonts w:asciiTheme="minorHAnsi" w:hAnsiTheme="minorHAnsi"/>
          <w:sz w:val="18"/>
          <w:szCs w:val="18"/>
        </w:rPr>
        <w:t xml:space="preserve">ších předpisů. In: </w:t>
      </w:r>
      <w:r w:rsidRPr="00C32818">
        <w:rPr>
          <w:rFonts w:asciiTheme="minorHAnsi" w:hAnsiTheme="minorHAnsi"/>
          <w:i/>
          <w:iCs/>
          <w:sz w:val="18"/>
          <w:szCs w:val="18"/>
        </w:rPr>
        <w:t>ASPI</w:t>
      </w:r>
      <w:r w:rsidRPr="00C32818">
        <w:rPr>
          <w:rFonts w:asciiTheme="minorHAnsi" w:hAnsiTheme="minorHAnsi"/>
          <w:sz w:val="18"/>
          <w:szCs w:val="18"/>
        </w:rPr>
        <w:t xml:space="preserve"> [právní informační systém]. Wolters Kluwer ČR [cit. 2. </w:t>
      </w:r>
      <w:r>
        <w:rPr>
          <w:rFonts w:asciiTheme="minorHAnsi" w:hAnsiTheme="minorHAnsi"/>
          <w:sz w:val="18"/>
          <w:szCs w:val="18"/>
        </w:rPr>
        <w:t>9</w:t>
      </w:r>
      <w:r w:rsidRPr="00C32818">
        <w:rPr>
          <w:rFonts w:asciiTheme="minorHAnsi" w:hAnsiTheme="minorHAnsi"/>
          <w:sz w:val="18"/>
          <w:szCs w:val="18"/>
        </w:rPr>
        <w:t>. 201</w:t>
      </w:r>
      <w:r>
        <w:rPr>
          <w:rFonts w:asciiTheme="minorHAnsi" w:hAnsiTheme="minorHAnsi"/>
          <w:sz w:val="18"/>
          <w:szCs w:val="18"/>
        </w:rPr>
        <w:t>9</w:t>
      </w:r>
      <w:r w:rsidRPr="00C32818">
        <w:rPr>
          <w:rFonts w:asciiTheme="minorHAnsi" w:hAnsiTheme="minorHAnsi"/>
          <w:sz w:val="18"/>
          <w:szCs w:val="18"/>
        </w:rPr>
        <w:t>]</w:t>
      </w:r>
    </w:p>
  </w:footnote>
  <w:footnote w:id="261">
    <w:p w14:paraId="3B289759" w14:textId="46009632" w:rsidR="0072007C" w:rsidRPr="00705279" w:rsidRDefault="0072007C" w:rsidP="00024CBA">
      <w:pPr>
        <w:pStyle w:val="Textpoznpodarou"/>
        <w:spacing w:line="240" w:lineRule="auto"/>
        <w:rPr>
          <w:rFonts w:ascii="Times New Roman" w:hAnsi="Times New Roman"/>
          <w:sz w:val="18"/>
          <w:szCs w:val="18"/>
        </w:rPr>
      </w:pPr>
      <w:r w:rsidRPr="00B77E22">
        <w:rPr>
          <w:rStyle w:val="Znakapoznpodarou"/>
          <w:rFonts w:asciiTheme="minorHAnsi" w:hAnsiTheme="minorHAnsi"/>
          <w:sz w:val="18"/>
          <w:szCs w:val="18"/>
        </w:rPr>
        <w:footnoteRef/>
      </w:r>
      <w:r w:rsidRPr="00B77E22">
        <w:rPr>
          <w:rFonts w:asciiTheme="minorHAnsi" w:hAnsiTheme="minorHAnsi"/>
          <w:sz w:val="18"/>
          <w:szCs w:val="18"/>
        </w:rPr>
        <w:t xml:space="preserve"> </w:t>
      </w:r>
      <w:r>
        <w:rPr>
          <w:rFonts w:asciiTheme="minorHAnsi" w:hAnsiTheme="minorHAnsi"/>
          <w:sz w:val="18"/>
          <w:szCs w:val="18"/>
        </w:rPr>
        <w:tab/>
      </w:r>
      <w:r w:rsidRPr="00B77E22">
        <w:rPr>
          <w:rFonts w:asciiTheme="minorHAnsi" w:hAnsiTheme="minorHAnsi"/>
          <w:sz w:val="18"/>
          <w:szCs w:val="18"/>
        </w:rPr>
        <w:t xml:space="preserve">ŠIROKÝ, Jan. </w:t>
      </w:r>
      <w:r w:rsidRPr="00B77E22">
        <w:rPr>
          <w:rFonts w:asciiTheme="minorHAnsi" w:hAnsiTheme="minorHAnsi"/>
          <w:i/>
          <w:iCs/>
          <w:sz w:val="18"/>
          <w:szCs w:val="18"/>
        </w:rPr>
        <w:t>Analýza zdaňování výher a cen v České republice</w:t>
      </w:r>
      <w:r w:rsidRPr="00B77E22">
        <w:rPr>
          <w:rFonts w:asciiTheme="minorHAnsi" w:hAnsiTheme="minorHAnsi"/>
          <w:sz w:val="18"/>
          <w:szCs w:val="18"/>
        </w:rPr>
        <w:t xml:space="preserve">. </w:t>
      </w:r>
      <w:r w:rsidRPr="00A80758">
        <w:rPr>
          <w:rFonts w:asciiTheme="minorHAnsi" w:hAnsiTheme="minorHAnsi"/>
          <w:sz w:val="18"/>
          <w:szCs w:val="18"/>
        </w:rPr>
        <w:t xml:space="preserve">In: </w:t>
      </w:r>
      <w:r w:rsidRPr="00A80758">
        <w:rPr>
          <w:rFonts w:asciiTheme="minorHAnsi" w:hAnsiTheme="minorHAnsi"/>
          <w:i/>
          <w:iCs/>
          <w:sz w:val="18"/>
          <w:szCs w:val="18"/>
        </w:rPr>
        <w:t>ASPI</w:t>
      </w:r>
      <w:r w:rsidRPr="00A80758">
        <w:rPr>
          <w:rFonts w:asciiTheme="minorHAnsi" w:hAnsiTheme="minorHAnsi"/>
          <w:sz w:val="18"/>
          <w:szCs w:val="18"/>
        </w:rPr>
        <w:t xml:space="preserve"> [právní informační systém]. Wolters Kluwer ČR [cit. 2. </w:t>
      </w:r>
      <w:r>
        <w:rPr>
          <w:rFonts w:asciiTheme="minorHAnsi" w:hAnsiTheme="minorHAnsi"/>
          <w:sz w:val="18"/>
          <w:szCs w:val="18"/>
        </w:rPr>
        <w:t>9</w:t>
      </w:r>
      <w:r w:rsidRPr="00A80758">
        <w:rPr>
          <w:rFonts w:asciiTheme="minorHAnsi" w:hAnsiTheme="minorHAnsi"/>
          <w:sz w:val="18"/>
          <w:szCs w:val="18"/>
        </w:rPr>
        <w:t>. 201</w:t>
      </w:r>
      <w:r>
        <w:rPr>
          <w:rFonts w:asciiTheme="minorHAnsi" w:hAnsiTheme="minorHAnsi"/>
          <w:sz w:val="18"/>
          <w:szCs w:val="18"/>
        </w:rPr>
        <w:t>9</w:t>
      </w:r>
      <w:r w:rsidRPr="00A80758">
        <w:rPr>
          <w:rFonts w:asciiTheme="minorHAnsi" w:hAnsiTheme="minorHAnsi"/>
          <w:sz w:val="18"/>
          <w:szCs w:val="18"/>
        </w:rPr>
        <w:t>]</w:t>
      </w:r>
    </w:p>
  </w:footnote>
  <w:footnote w:id="262">
    <w:p w14:paraId="1F4305A1" w14:textId="472FB872"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Závěrečná zpráva z hodnocení dopadů regulace (RIA). Příloha důvodové zprávy k zákonu o dani z hazardních her [online]. Dostupné z: </w:t>
      </w:r>
      <w:hyperlink r:id="rId13" w:history="1">
        <w:r w:rsidRPr="00024CBA">
          <w:rPr>
            <w:rStyle w:val="Hypertextovodkaz"/>
            <w:rFonts w:asciiTheme="minorHAnsi" w:hAnsiTheme="minorHAnsi"/>
            <w:sz w:val="18"/>
            <w:szCs w:val="18"/>
          </w:rPr>
          <w:t>https://www.psp.cz/sqw/text/orig2.sqw?idd=115506</w:t>
        </w:r>
      </w:hyperlink>
      <w:r w:rsidRPr="00024CBA">
        <w:rPr>
          <w:rFonts w:asciiTheme="minorHAnsi" w:hAnsiTheme="minorHAnsi"/>
          <w:sz w:val="18"/>
          <w:szCs w:val="18"/>
        </w:rPr>
        <w:t>. [cit. 1. 6. 2019]</w:t>
      </w:r>
    </w:p>
  </w:footnote>
  <w:footnote w:id="263">
    <w:p w14:paraId="693BB239" w14:textId="28F6581D"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BROOKE, Keaton. </w:t>
      </w:r>
      <w:r w:rsidRPr="00024CBA">
        <w:rPr>
          <w:rFonts w:asciiTheme="minorHAnsi" w:hAnsiTheme="minorHAnsi"/>
          <w:i/>
          <w:iCs/>
          <w:sz w:val="18"/>
          <w:szCs w:val="18"/>
        </w:rPr>
        <w:t>Win-Loss: Your Guide to Gambling Winning Taxation</w:t>
      </w:r>
      <w:r w:rsidRPr="00024CBA">
        <w:rPr>
          <w:rFonts w:asciiTheme="minorHAnsi" w:hAnsiTheme="minorHAnsi"/>
          <w:sz w:val="18"/>
          <w:szCs w:val="18"/>
        </w:rPr>
        <w:t>. Casino.org [online]</w:t>
      </w:r>
      <w:r w:rsidR="007F687A">
        <w:rPr>
          <w:rFonts w:asciiTheme="minorHAnsi" w:hAnsiTheme="minorHAnsi"/>
          <w:sz w:val="18"/>
          <w:szCs w:val="18"/>
        </w:rPr>
        <w:t xml:space="preserve">, publikováno 21. 3. 2019 [cit. 1. 6. 2019]. </w:t>
      </w:r>
      <w:r w:rsidRPr="00024CBA">
        <w:rPr>
          <w:rFonts w:asciiTheme="minorHAnsi" w:hAnsiTheme="minorHAnsi"/>
          <w:sz w:val="18"/>
          <w:szCs w:val="18"/>
        </w:rPr>
        <w:t xml:space="preserve">Dostupné z: </w:t>
      </w:r>
      <w:hyperlink r:id="rId14" w:history="1">
        <w:r w:rsidRPr="00024CBA">
          <w:rPr>
            <w:rStyle w:val="Hypertextovodkaz"/>
            <w:rFonts w:asciiTheme="minorHAnsi" w:hAnsiTheme="minorHAnsi"/>
            <w:sz w:val="18"/>
            <w:szCs w:val="18"/>
          </w:rPr>
          <w:t>https://www.casino.org/blog/guide-to-gambling-winnings-taxation/</w:t>
        </w:r>
      </w:hyperlink>
      <w:r w:rsidRPr="00024CBA">
        <w:rPr>
          <w:rFonts w:asciiTheme="minorHAnsi" w:hAnsiTheme="minorHAnsi"/>
          <w:sz w:val="18"/>
          <w:szCs w:val="18"/>
        </w:rPr>
        <w:t xml:space="preserve"> </w:t>
      </w:r>
    </w:p>
  </w:footnote>
  <w:footnote w:id="264">
    <w:p w14:paraId="32313283" w14:textId="77777777" w:rsidR="0072007C" w:rsidRPr="00705279" w:rsidRDefault="0072007C" w:rsidP="00024CBA">
      <w:pPr>
        <w:pStyle w:val="Textpoznpodarou"/>
        <w:spacing w:line="240" w:lineRule="auto"/>
        <w:rPr>
          <w:rFonts w:ascii="Times New Roman" w:hAnsi="Times New Roman"/>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bookmarkStart w:id="51" w:name="_Hlk23402595"/>
      <w:r w:rsidRPr="00024CBA">
        <w:rPr>
          <w:rFonts w:asciiTheme="minorHAnsi" w:hAnsiTheme="minorHAnsi"/>
          <w:sz w:val="18"/>
          <w:szCs w:val="18"/>
        </w:rPr>
        <w:tab/>
        <w:t>KARFÍKOVÁ a kol., 2018, op. cit., s. 150</w:t>
      </w:r>
      <w:bookmarkEnd w:id="51"/>
    </w:p>
  </w:footnote>
  <w:footnote w:id="265">
    <w:p w14:paraId="246BA475"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xml:space="preserve">Pozměňovací návrh Jana Bartoška k vládnímu návrhu zákona č.187/2016 Sb., o dani z hazardních her [online]. Dostupné z: </w:t>
      </w:r>
      <w:hyperlink r:id="rId15" w:history="1">
        <w:r w:rsidRPr="00024CBA">
          <w:rPr>
            <w:rStyle w:val="Hypertextovodkaz"/>
            <w:rFonts w:asciiTheme="minorHAnsi" w:hAnsiTheme="minorHAnsi"/>
            <w:sz w:val="18"/>
            <w:szCs w:val="18"/>
          </w:rPr>
          <w:t>http://www.psp.cz/sqw/historie.sqw?o=7&amp;t=579</w:t>
        </w:r>
      </w:hyperlink>
      <w:r w:rsidRPr="00024CBA">
        <w:rPr>
          <w:rFonts w:asciiTheme="minorHAnsi" w:hAnsiTheme="minorHAnsi"/>
          <w:sz w:val="18"/>
          <w:szCs w:val="18"/>
        </w:rPr>
        <w:t xml:space="preserve"> </w:t>
      </w:r>
    </w:p>
  </w:footnote>
  <w:footnote w:id="266">
    <w:p w14:paraId="5090E050" w14:textId="3DC2821A"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bookmarkStart w:id="52" w:name="_Hlk23403725"/>
      <w:r w:rsidRPr="00024CBA">
        <w:rPr>
          <w:rFonts w:asciiTheme="minorHAnsi" w:hAnsiTheme="minorHAnsi"/>
          <w:sz w:val="18"/>
          <w:szCs w:val="18"/>
        </w:rPr>
        <w:t>CABOT, Anthony a kol. Regulating Land-Based Casinos. Policies, Procedures, and Economics. 2. vyd. Las Vegas: UNLV gaming press, 2018, s. 561-562</w:t>
      </w:r>
      <w:bookmarkEnd w:id="52"/>
    </w:p>
  </w:footnote>
  <w:footnote w:id="267">
    <w:p w14:paraId="60FA45A9" w14:textId="77777777" w:rsidR="0072007C" w:rsidRPr="00024CBA"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4 zákona o dani z hazardních her</w:t>
      </w:r>
    </w:p>
  </w:footnote>
  <w:footnote w:id="268">
    <w:p w14:paraId="7C4F541C" w14:textId="0FC535BB" w:rsidR="0072007C" w:rsidRPr="00024CBA" w:rsidRDefault="0072007C" w:rsidP="00024CBA">
      <w:pPr>
        <w:pStyle w:val="Textpoznpodarou"/>
        <w:spacing w:line="240" w:lineRule="auto"/>
        <w:rPr>
          <w:rFonts w:ascii="Times New Roman" w:hAnsi="Times New Roman"/>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r>
      <w:r w:rsidRPr="00024CBA">
        <w:rPr>
          <w:rFonts w:asciiTheme="minorHAnsi" w:hAnsiTheme="minorHAnsi"/>
          <w:color w:val="000000"/>
          <w:sz w:val="18"/>
          <w:szCs w:val="18"/>
        </w:rPr>
        <w:t xml:space="preserve">Důvodová zpráva k zákonu č. 187/2016 Sb. o dani z hazardních her. </w:t>
      </w:r>
      <w:r w:rsidRPr="00024CBA">
        <w:rPr>
          <w:rFonts w:asciiTheme="minorHAnsi" w:hAnsiTheme="minorHAnsi"/>
          <w:sz w:val="18"/>
          <w:szCs w:val="18"/>
        </w:rPr>
        <w:t xml:space="preserve">In: </w:t>
      </w:r>
      <w:r w:rsidRPr="00024CBA">
        <w:rPr>
          <w:rFonts w:asciiTheme="minorHAnsi" w:hAnsiTheme="minorHAnsi"/>
          <w:i/>
          <w:iCs/>
          <w:sz w:val="18"/>
          <w:szCs w:val="18"/>
        </w:rPr>
        <w:t>ASPI</w:t>
      </w:r>
      <w:r w:rsidRPr="00024CBA">
        <w:rPr>
          <w:rFonts w:asciiTheme="minorHAnsi" w:hAnsiTheme="minorHAnsi"/>
          <w:sz w:val="18"/>
          <w:szCs w:val="18"/>
        </w:rPr>
        <w:t xml:space="preserve"> [právní informační systém]. Wolters Kluwer ČR [cit. 1. 9. 2019]</w:t>
      </w:r>
    </w:p>
  </w:footnote>
  <w:footnote w:id="269">
    <w:p w14:paraId="0A5AAFB6" w14:textId="77777777" w:rsidR="0072007C" w:rsidRPr="00431DE3" w:rsidRDefault="0072007C" w:rsidP="00024CBA">
      <w:pPr>
        <w:pStyle w:val="Textpoznpodarou"/>
        <w:spacing w:line="240" w:lineRule="auto"/>
        <w:rPr>
          <w:rFonts w:asciiTheme="minorHAnsi" w:hAnsiTheme="minorHAnsi"/>
          <w:sz w:val="18"/>
          <w:szCs w:val="18"/>
        </w:rPr>
      </w:pPr>
      <w:r w:rsidRPr="00024CBA">
        <w:rPr>
          <w:rStyle w:val="Znakapoznpodarou"/>
          <w:rFonts w:asciiTheme="minorHAnsi" w:hAnsiTheme="minorHAnsi"/>
          <w:sz w:val="18"/>
          <w:szCs w:val="18"/>
        </w:rPr>
        <w:footnoteRef/>
      </w:r>
      <w:r w:rsidRPr="00024CBA">
        <w:rPr>
          <w:rFonts w:asciiTheme="minorHAnsi" w:hAnsiTheme="minorHAnsi"/>
          <w:sz w:val="18"/>
          <w:szCs w:val="18"/>
        </w:rPr>
        <w:t xml:space="preserve"> </w:t>
      </w:r>
      <w:r w:rsidRPr="00024CBA">
        <w:rPr>
          <w:rFonts w:asciiTheme="minorHAnsi" w:hAnsiTheme="minorHAnsi"/>
          <w:sz w:val="18"/>
          <w:szCs w:val="18"/>
        </w:rPr>
        <w:tab/>
        <w:t>§ 73 odst. 1 zákona o hazardních hrách</w:t>
      </w:r>
    </w:p>
  </w:footnote>
  <w:footnote w:id="270">
    <w:p w14:paraId="54137E35" w14:textId="7445A7AC" w:rsidR="0072007C" w:rsidRPr="00431DE3" w:rsidRDefault="0072007C" w:rsidP="00024CBA">
      <w:pPr>
        <w:pStyle w:val="Textpoznpodarou"/>
        <w:spacing w:line="240" w:lineRule="auto"/>
        <w:rPr>
          <w:rFonts w:asciiTheme="minorHAnsi" w:hAnsiTheme="minorHAnsi"/>
          <w:sz w:val="18"/>
          <w:szCs w:val="18"/>
        </w:rPr>
      </w:pPr>
      <w:r w:rsidRPr="00431DE3">
        <w:rPr>
          <w:rStyle w:val="Znakapoznpodarou"/>
          <w:rFonts w:asciiTheme="minorHAnsi" w:hAnsiTheme="minorHAnsi"/>
          <w:sz w:val="18"/>
          <w:szCs w:val="18"/>
        </w:rPr>
        <w:footnoteRef/>
      </w:r>
      <w:r w:rsidRPr="00431DE3">
        <w:rPr>
          <w:rFonts w:asciiTheme="minorHAnsi" w:hAnsiTheme="minorHAnsi"/>
          <w:sz w:val="18"/>
          <w:szCs w:val="18"/>
        </w:rPr>
        <w:t xml:space="preserve"> </w:t>
      </w:r>
      <w:r>
        <w:rPr>
          <w:rFonts w:asciiTheme="minorHAnsi" w:hAnsiTheme="minorHAnsi"/>
          <w:sz w:val="18"/>
          <w:szCs w:val="18"/>
        </w:rPr>
        <w:tab/>
      </w:r>
      <w:r w:rsidRPr="00042369">
        <w:rPr>
          <w:rFonts w:asciiTheme="minorHAnsi" w:hAnsiTheme="minorHAnsi"/>
          <w:color w:val="000000"/>
          <w:sz w:val="18"/>
          <w:szCs w:val="18"/>
        </w:rPr>
        <w:t xml:space="preserve">Důvodová zpráva k zákonu č. 187/2016 Sb. o dani z hazardních her. </w:t>
      </w:r>
      <w:r w:rsidRPr="00042369">
        <w:rPr>
          <w:rFonts w:asciiTheme="minorHAnsi" w:hAnsiTheme="minorHAnsi"/>
          <w:sz w:val="18"/>
          <w:szCs w:val="18"/>
        </w:rPr>
        <w:t xml:space="preserve">In: </w:t>
      </w:r>
      <w:r w:rsidRPr="00042369">
        <w:rPr>
          <w:rFonts w:asciiTheme="minorHAnsi" w:hAnsiTheme="minorHAnsi"/>
          <w:i/>
          <w:iCs/>
          <w:sz w:val="18"/>
          <w:szCs w:val="18"/>
        </w:rPr>
        <w:t>ASPI</w:t>
      </w:r>
      <w:r w:rsidRPr="00042369">
        <w:rPr>
          <w:rFonts w:asciiTheme="minorHAnsi" w:hAnsiTheme="minorHAnsi"/>
          <w:sz w:val="18"/>
          <w:szCs w:val="18"/>
        </w:rPr>
        <w:t xml:space="preserve"> [právní informační systém]. Wolters Kluwer ČR [cit. </w:t>
      </w:r>
      <w:r>
        <w:rPr>
          <w:rFonts w:asciiTheme="minorHAnsi" w:hAnsiTheme="minorHAnsi"/>
          <w:sz w:val="18"/>
          <w:szCs w:val="18"/>
        </w:rPr>
        <w:t>1</w:t>
      </w:r>
      <w:r w:rsidRPr="00042369">
        <w:rPr>
          <w:rFonts w:asciiTheme="minorHAnsi" w:hAnsiTheme="minorHAnsi"/>
          <w:sz w:val="18"/>
          <w:szCs w:val="18"/>
        </w:rPr>
        <w:t xml:space="preserve">. </w:t>
      </w:r>
      <w:r>
        <w:rPr>
          <w:rFonts w:asciiTheme="minorHAnsi" w:hAnsiTheme="minorHAnsi"/>
          <w:sz w:val="18"/>
          <w:szCs w:val="18"/>
        </w:rPr>
        <w:t>9</w:t>
      </w:r>
      <w:r w:rsidRPr="00042369">
        <w:rPr>
          <w:rFonts w:asciiTheme="minorHAnsi" w:hAnsiTheme="minorHAnsi"/>
          <w:sz w:val="18"/>
          <w:szCs w:val="18"/>
        </w:rPr>
        <w:t>. 2019]</w:t>
      </w:r>
    </w:p>
  </w:footnote>
  <w:footnote w:id="271">
    <w:p w14:paraId="0ADD8DBA" w14:textId="77777777" w:rsidR="0072007C" w:rsidRDefault="0072007C" w:rsidP="00024CBA">
      <w:pPr>
        <w:rPr>
          <w:rFonts w:asciiTheme="minorHAnsi" w:hAnsiTheme="minorHAnsi"/>
          <w:sz w:val="18"/>
          <w:szCs w:val="18"/>
        </w:rPr>
      </w:pPr>
      <w:r w:rsidRPr="00431DE3">
        <w:rPr>
          <w:rStyle w:val="Znakapoznpodarou"/>
          <w:rFonts w:asciiTheme="minorHAnsi" w:hAnsiTheme="minorHAnsi"/>
          <w:sz w:val="18"/>
          <w:szCs w:val="18"/>
        </w:rPr>
        <w:footnoteRef/>
      </w:r>
      <w:r w:rsidRPr="00431DE3">
        <w:rPr>
          <w:rFonts w:asciiTheme="minorHAnsi" w:hAnsiTheme="minorHAnsi"/>
          <w:sz w:val="18"/>
          <w:szCs w:val="18"/>
        </w:rPr>
        <w:t xml:space="preserve"> </w:t>
      </w:r>
      <w:r>
        <w:rPr>
          <w:rFonts w:asciiTheme="minorHAnsi" w:hAnsiTheme="minorHAnsi"/>
          <w:sz w:val="18"/>
          <w:szCs w:val="18"/>
        </w:rPr>
        <w:t xml:space="preserve">  </w:t>
      </w:r>
      <w:r w:rsidRPr="00431DE3">
        <w:rPr>
          <w:rFonts w:asciiTheme="minorHAnsi" w:hAnsiTheme="minorHAnsi"/>
          <w:sz w:val="18"/>
          <w:szCs w:val="18"/>
        </w:rPr>
        <w:t>Rozhodnutí Komise ze dne 20. září 20</w:t>
      </w:r>
      <w:r>
        <w:rPr>
          <w:rFonts w:asciiTheme="minorHAnsi" w:hAnsiTheme="minorHAnsi"/>
          <w:sz w:val="18"/>
          <w:szCs w:val="18"/>
        </w:rPr>
        <w:t>1</w:t>
      </w:r>
      <w:r w:rsidRPr="00431DE3">
        <w:rPr>
          <w:rFonts w:asciiTheme="minorHAnsi" w:hAnsiTheme="minorHAnsi"/>
          <w:sz w:val="18"/>
          <w:szCs w:val="18"/>
        </w:rPr>
        <w:t xml:space="preserve">1 o opatření C 35/10 (ex N 302/10), které Dánsko </w:t>
      </w:r>
    </w:p>
    <w:p w14:paraId="7092BD35" w14:textId="77777777" w:rsidR="0072007C" w:rsidRDefault="0072007C" w:rsidP="00024CBA">
      <w:pPr>
        <w:rPr>
          <w:rFonts w:asciiTheme="minorHAnsi" w:hAnsiTheme="minorHAnsi"/>
          <w:sz w:val="18"/>
          <w:szCs w:val="18"/>
        </w:rPr>
      </w:pPr>
      <w:r>
        <w:rPr>
          <w:rFonts w:asciiTheme="minorHAnsi" w:hAnsiTheme="minorHAnsi"/>
          <w:sz w:val="18"/>
          <w:szCs w:val="18"/>
        </w:rPr>
        <w:t xml:space="preserve">        </w:t>
      </w:r>
      <w:r w:rsidRPr="00431DE3">
        <w:rPr>
          <w:rFonts w:asciiTheme="minorHAnsi" w:hAnsiTheme="minorHAnsi"/>
          <w:sz w:val="18"/>
          <w:szCs w:val="18"/>
        </w:rPr>
        <w:t xml:space="preserve">zamýšlí provést v podobě danění hazardních her poskytovaných on-line v rámci dánského </w:t>
      </w:r>
    </w:p>
    <w:p w14:paraId="487193A3" w14:textId="3E640C28" w:rsidR="0072007C" w:rsidRPr="00431DE3" w:rsidRDefault="0072007C" w:rsidP="00207B95">
      <w:pPr>
        <w:rPr>
          <w:rFonts w:asciiTheme="minorHAnsi" w:hAnsiTheme="minorHAnsi"/>
          <w:sz w:val="18"/>
          <w:szCs w:val="18"/>
        </w:rPr>
      </w:pPr>
      <w:r>
        <w:rPr>
          <w:rFonts w:asciiTheme="minorHAnsi" w:hAnsiTheme="minorHAnsi"/>
          <w:sz w:val="18"/>
          <w:szCs w:val="18"/>
        </w:rPr>
        <w:t xml:space="preserve">        </w:t>
      </w:r>
      <w:r w:rsidRPr="00431DE3">
        <w:rPr>
          <w:rFonts w:asciiTheme="minorHAnsi" w:hAnsiTheme="minorHAnsi"/>
          <w:sz w:val="18"/>
          <w:szCs w:val="18"/>
        </w:rPr>
        <w:t>zákona o danění hazardních her</w:t>
      </w:r>
      <w:r>
        <w:rPr>
          <w:rFonts w:asciiTheme="minorHAnsi" w:hAnsiTheme="minorHAnsi"/>
          <w:sz w:val="18"/>
          <w:szCs w:val="18"/>
        </w:rPr>
        <w:t>.</w:t>
      </w:r>
      <w:r w:rsidRPr="00EB61E7">
        <w:rPr>
          <w:rFonts w:asciiTheme="minorHAnsi" w:hAnsiTheme="minorHAnsi"/>
          <w:sz w:val="18"/>
          <w:szCs w:val="18"/>
        </w:rPr>
        <w:t xml:space="preserve"> </w:t>
      </w:r>
      <w:r>
        <w:rPr>
          <w:rFonts w:asciiTheme="minorHAnsi" w:hAnsiTheme="minorHAnsi"/>
          <w:sz w:val="18"/>
          <w:szCs w:val="18"/>
        </w:rPr>
        <w:t>In:</w:t>
      </w:r>
      <w:r w:rsidRPr="00A72EDB">
        <w:rPr>
          <w:rFonts w:asciiTheme="minorHAnsi" w:hAnsiTheme="minorHAnsi"/>
          <w:sz w:val="18"/>
          <w:szCs w:val="18"/>
        </w:rPr>
        <w:t xml:space="preserve"> </w:t>
      </w:r>
      <w:r w:rsidRPr="006B2BA0">
        <w:rPr>
          <w:rFonts w:asciiTheme="minorHAnsi" w:hAnsiTheme="minorHAnsi"/>
          <w:i/>
          <w:iCs/>
          <w:sz w:val="18"/>
          <w:szCs w:val="18"/>
        </w:rPr>
        <w:t>Beck-online</w:t>
      </w:r>
      <w:r>
        <w:rPr>
          <w:rFonts w:asciiTheme="minorHAnsi" w:hAnsiTheme="minorHAnsi"/>
          <w:sz w:val="18"/>
          <w:szCs w:val="18"/>
        </w:rPr>
        <w:t xml:space="preserve"> [online právní informační systém]. Nakladatelství C.H. Beck [cit. 1. 6</w:t>
      </w:r>
      <w:r w:rsidRPr="00EB61E7">
        <w:rPr>
          <w:rFonts w:asciiTheme="minorHAnsi" w:hAnsiTheme="minorHAnsi"/>
          <w:sz w:val="18"/>
          <w:szCs w:val="18"/>
        </w:rPr>
        <w:t xml:space="preserve">. 2019]. Dostupné z: </w:t>
      </w:r>
      <w:hyperlink r:id="rId16" w:history="1">
        <w:r w:rsidR="00283E8E" w:rsidRPr="00E358BC">
          <w:rPr>
            <w:rStyle w:val="Hypertextovodkaz"/>
            <w:rFonts w:asciiTheme="minorHAnsi" w:hAnsiTheme="minorHAnsi" w:cs="Helvetica"/>
            <w:sz w:val="18"/>
            <w:szCs w:val="18"/>
            <w:shd w:val="clear" w:color="auto" w:fill="FFFFFF"/>
          </w:rPr>
          <w:t>http://www.beck-online.cz/bo/document-view.seam?documentId=mv2tgxzsgaytex3egaytima&amp;groupIndex=20&amp;rowIndex=0#</w:t>
        </w:r>
      </w:hyperlink>
      <w:r w:rsidR="00283E8E">
        <w:rPr>
          <w:rFonts w:asciiTheme="minorHAnsi" w:hAnsiTheme="minorHAnsi" w:cs="Helvetica"/>
          <w:color w:val="000000"/>
          <w:sz w:val="18"/>
          <w:szCs w:val="18"/>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4926B" w14:textId="77777777" w:rsidR="0072007C" w:rsidRDefault="0072007C" w:rsidP="00013C69">
    <w:pPr>
      <w:pStyle w:val="ZPZhlavvlevo"/>
    </w:pPr>
    <w:sdt>
      <w:sdtPr>
        <w:alias w:val="Název"/>
        <w:tag w:val=""/>
        <w:id w:val="-1020700601"/>
        <w:placeholder>
          <w:docPart w:val="936B9E0907C4426DB7E7104A11D08E13"/>
        </w:placeholder>
        <w:dataBinding w:prefixMappings="xmlns:ns0='http://purl.org/dc/elements/1.1/' xmlns:ns1='http://schemas.openxmlformats.org/package/2006/metadata/core-properties' " w:xpath="/ns1:coreProperties[1]/ns0:title[1]" w:storeItemID="{6C3C8BC8-F283-45AE-878A-BAB7291924A1}"/>
        <w:text/>
      </w:sdtPr>
      <w:sdtContent>
        <w:r>
          <w:t>Zdanění hazardu</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A8B1E" w14:textId="77777777" w:rsidR="0072007C" w:rsidRPr="00CE1A04" w:rsidRDefault="0072007C"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C49E2" w14:textId="77777777" w:rsidR="0072007C" w:rsidRPr="00825B26" w:rsidRDefault="0072007C"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D892F" w14:textId="77777777" w:rsidR="0072007C" w:rsidRPr="00533A95" w:rsidRDefault="0072007C" w:rsidP="00685DD9">
    <w:pPr>
      <w:pStyle w:val="ZPZhlavvpravo"/>
    </w:pPr>
    <w:sdt>
      <w:sdtPr>
        <w:alias w:val="Název"/>
        <w:tag w:val=""/>
        <w:id w:val="1468394446"/>
        <w:placeholder>
          <w:docPart w:val="5429E1B06FEE487383A79708BBB1CCD4"/>
        </w:placeholder>
        <w:dataBinding w:prefixMappings="xmlns:ns0='http://purl.org/dc/elements/1.1/' xmlns:ns1='http://schemas.openxmlformats.org/package/2006/metadata/core-properties' " w:xpath="/ns1:coreProperties[1]/ns0:title[1]" w:storeItemID="{6C3C8BC8-F283-45AE-878A-BAB7291924A1}"/>
        <w:text/>
      </w:sdtPr>
      <w:sdtContent>
        <w:r>
          <w:t>Zdanění hazardu</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E4054" w14:textId="77777777" w:rsidR="0072007C" w:rsidRPr="009951BF" w:rsidRDefault="0072007C" w:rsidP="00C612F9">
    <w:pPr>
      <w:pStyle w:val="ZPZhlavvlevo"/>
    </w:pPr>
    <w:r>
      <w:fldChar w:fldCharType="begin"/>
    </w:r>
    <w:r>
      <w:instrText xml:space="preserve"> PAGE   \* MERGEFORMAT </w:instrText>
    </w:r>
    <w:r>
      <w:fldChar w:fldCharType="separate"/>
    </w:r>
    <w:r>
      <w:rPr>
        <w:noProof/>
      </w:rPr>
      <w:t>10</w:t>
    </w:r>
    <w:r>
      <w:fldChar w:fldCharType="end"/>
    </w:r>
    <w:r>
      <w:tab/>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4AD35" w14:textId="77777777" w:rsidR="0072007C" w:rsidRPr="009951BF" w:rsidRDefault="0072007C"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23FB0" w14:textId="69DF14FC" w:rsidR="0072007C" w:rsidRPr="009B11C8" w:rsidRDefault="0072007C" w:rsidP="00D063DA">
    <w:pPr>
      <w:pStyle w:val="ZPZhlavvlevo"/>
      <w:tabs>
        <w:tab w:val="left" w:pos="4740"/>
      </w:tabs>
    </w:pPr>
    <w:r w:rsidRPr="009B11C8">
      <w:rPr>
        <w:noProof/>
      </w:rPr>
      <w:fldChar w:fldCharType="begin"/>
    </w:r>
    <w:r w:rsidRPr="009B11C8">
      <w:rPr>
        <w:noProof/>
      </w:rPr>
      <w:instrText xml:space="preserve"> STYLEREF  1  \* MERGEFORMAT </w:instrText>
    </w:r>
    <w:r w:rsidRPr="009B11C8">
      <w:rPr>
        <w:noProof/>
      </w:rPr>
      <w:fldChar w:fldCharType="separate"/>
    </w:r>
    <w:r w:rsidR="00A215B9">
      <w:rPr>
        <w:noProof/>
      </w:rPr>
      <w:t>Úvod</w:t>
    </w:r>
    <w:r w:rsidRPr="009B11C8">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B20B8" w14:textId="257509F7" w:rsidR="0072007C" w:rsidRPr="008D3C76" w:rsidRDefault="0072007C" w:rsidP="00C612F9">
    <w:pPr>
      <w:pStyle w:val="ZPZhlavvpravo"/>
    </w:pPr>
    <w:r w:rsidRPr="008D3C76">
      <w:rPr>
        <w:noProof/>
      </w:rPr>
      <w:fldChar w:fldCharType="begin"/>
    </w:r>
    <w:r w:rsidRPr="008D3C76">
      <w:rPr>
        <w:noProof/>
      </w:rPr>
      <w:instrText xml:space="preserve"> STYLEREF  1  \* MERGEFORMAT </w:instrText>
    </w:r>
    <w:r w:rsidRPr="008D3C76">
      <w:rPr>
        <w:noProof/>
      </w:rPr>
      <w:fldChar w:fldCharType="separate"/>
    </w:r>
    <w:r w:rsidR="00A215B9">
      <w:rPr>
        <w:noProof/>
      </w:rPr>
      <w:t>Úvod</w:t>
    </w:r>
    <w:r w:rsidRPr="008D3C76">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6270C" w14:textId="161281F7" w:rsidR="0072007C" w:rsidRPr="009951BF" w:rsidRDefault="0072007C" w:rsidP="00D063DA">
    <w:pPr>
      <w:pStyle w:val="ZPZhlavvlevo"/>
      <w:tabs>
        <w:tab w:val="left" w:pos="4740"/>
      </w:tabs>
    </w:pPr>
    <w:r>
      <w:rPr>
        <w:noProof/>
      </w:rPr>
      <w:fldChar w:fldCharType="begin"/>
    </w:r>
    <w:r>
      <w:rPr>
        <w:noProof/>
      </w:rPr>
      <w:instrText xml:space="preserve"> STYLEREF  "Nadpis 1*"  \* MERGEFORMAT </w:instrText>
    </w:r>
    <w:r>
      <w:rPr>
        <w:noProof/>
      </w:rPr>
      <w:fldChar w:fldCharType="separate"/>
    </w:r>
    <w:r w:rsidR="009A6655">
      <w:rPr>
        <w:noProof/>
      </w:rPr>
      <w:t>Použité zdroje</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C3581" w14:textId="5CF2C5F4" w:rsidR="0072007C" w:rsidRPr="009951BF" w:rsidRDefault="0072007C" w:rsidP="00C612F9">
    <w:pPr>
      <w:pStyle w:val="ZPZhlavvpravo"/>
    </w:pPr>
    <w:r>
      <w:rPr>
        <w:noProof/>
      </w:rPr>
      <w:fldChar w:fldCharType="begin"/>
    </w:r>
    <w:r>
      <w:rPr>
        <w:noProof/>
      </w:rPr>
      <w:instrText xml:space="preserve"> STYLEREF  "Nadpis 1*"  \* MERGEFORMAT </w:instrText>
    </w:r>
    <w:r>
      <w:rPr>
        <w:noProof/>
      </w:rPr>
      <w:fldChar w:fldCharType="separate"/>
    </w:r>
    <w:r w:rsidR="009A6655">
      <w:rPr>
        <w:noProof/>
      </w:rPr>
      <w:t>Použité zdroje</w:t>
    </w:r>
    <w:r>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84AB8" w14:textId="67E7CA46" w:rsidR="0072007C" w:rsidRPr="009951BF" w:rsidRDefault="0072007C" w:rsidP="00C612F9">
    <w:pPr>
      <w:pStyle w:val="ZPZhlavvpravo"/>
    </w:pPr>
    <w:r>
      <w:rPr>
        <w:noProof/>
      </w:rPr>
      <w:fldChar w:fldCharType="begin"/>
    </w:r>
    <w:r>
      <w:rPr>
        <w:noProof/>
      </w:rPr>
      <w:instrText xml:space="preserve"> STYLEREF  "Nadpis 1*"  \* MERGEFORMAT </w:instrText>
    </w:r>
    <w:r>
      <w:rPr>
        <w:noProof/>
      </w:rPr>
      <w:fldChar w:fldCharType="separate"/>
    </w:r>
    <w:r w:rsidR="009A6655">
      <w:rPr>
        <w:noProof/>
      </w:rPr>
      <w:t>Použité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89ACD8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BE742356"/>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3A6EF24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19F2A090"/>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DC648C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0C3B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6EC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BE7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E2782"/>
    <w:lvl w:ilvl="0">
      <w:start w:val="1"/>
      <w:numFmt w:val="decimal"/>
      <w:pStyle w:val="slovanseznam"/>
      <w:lvlText w:val="%1."/>
      <w:lvlJc w:val="right"/>
      <w:pPr>
        <w:ind w:left="540" w:hanging="60"/>
      </w:pPr>
      <w:rPr>
        <w:rFonts w:hint="default"/>
      </w:rPr>
    </w:lvl>
  </w:abstractNum>
  <w:abstractNum w:abstractNumId="9" w15:restartNumberingAfterBreak="0">
    <w:nsid w:val="FFFFFF89"/>
    <w:multiLevelType w:val="singleLevel"/>
    <w:tmpl w:val="EDE03138"/>
    <w:lvl w:ilvl="0">
      <w:start w:val="1"/>
      <w:numFmt w:val="bullet"/>
      <w:pStyle w:val="Seznamsodrkami"/>
      <w:lvlText w:val=""/>
      <w:lvlJc w:val="left"/>
      <w:pPr>
        <w:tabs>
          <w:tab w:val="num" w:pos="539"/>
        </w:tabs>
        <w:ind w:left="540" w:hanging="60"/>
      </w:pPr>
      <w:rPr>
        <w:rFonts w:ascii="Symbol" w:hAnsi="Symbol" w:hint="default"/>
      </w:rPr>
    </w:lvl>
  </w:abstractNum>
  <w:abstractNum w:abstractNumId="10" w15:restartNumberingAfterBreak="0">
    <w:nsid w:val="06616E0E"/>
    <w:multiLevelType w:val="multilevel"/>
    <w:tmpl w:val="26CA57A6"/>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D34F65"/>
    <w:multiLevelType w:val="multilevel"/>
    <w:tmpl w:val="90C4190A"/>
    <w:numStyleLink w:val="Vcerovovseznam"/>
  </w:abstractNum>
  <w:abstractNum w:abstractNumId="12" w15:restartNumberingAfterBreak="0">
    <w:nsid w:val="1F151D4A"/>
    <w:multiLevelType w:val="multilevel"/>
    <w:tmpl w:val="6E227034"/>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42A734D"/>
    <w:multiLevelType w:val="multilevel"/>
    <w:tmpl w:val="90C4190A"/>
    <w:numStyleLink w:val="Vcerovovseznam"/>
  </w:abstractNum>
  <w:abstractNum w:abstractNumId="14"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00A11CE"/>
    <w:multiLevelType w:val="multilevel"/>
    <w:tmpl w:val="52FC2926"/>
    <w:styleLink w:val="slovnploh"/>
    <w:lvl w:ilvl="0">
      <w:start w:val="1"/>
      <w:numFmt w:val="upperLetter"/>
      <w:pStyle w:val="Ploha1"/>
      <w:lvlText w:val="Příloha %1"/>
      <w:lvlJc w:val="left"/>
      <w:pPr>
        <w:ind w:left="928" w:hanging="360"/>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B24B54"/>
    <w:multiLevelType w:val="hybridMultilevel"/>
    <w:tmpl w:val="9C68C4E6"/>
    <w:lvl w:ilvl="0" w:tplc="2FC057DA">
      <w:start w:val="1"/>
      <w:numFmt w:val="decimal"/>
      <w:pStyle w:val="ZPLiteratura"/>
      <w:lvlText w:val="%1. "/>
      <w:lvlJc w:val="right"/>
      <w:pPr>
        <w:ind w:left="720"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4AD1D4C"/>
    <w:multiLevelType w:val="multilevel"/>
    <w:tmpl w:val="90C4190A"/>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2C00B05"/>
    <w:multiLevelType w:val="multilevel"/>
    <w:tmpl w:val="A39280E4"/>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19" w15:restartNumberingAfterBreak="0">
    <w:nsid w:val="75AB6741"/>
    <w:multiLevelType w:val="multilevel"/>
    <w:tmpl w:val="26CA57A6"/>
    <w:numStyleLink w:val="slovnkapitol"/>
  </w:abstractNum>
  <w:num w:numId="1">
    <w:abstractNumId w:val="12"/>
  </w:num>
  <w:num w:numId="2">
    <w:abstractNumId w:val="18"/>
  </w:num>
  <w:num w:numId="3">
    <w:abstractNumId w:val="16"/>
  </w:num>
  <w:num w:numId="4">
    <w:abstractNumId w:val="14"/>
  </w:num>
  <w:num w:numId="5">
    <w:abstractNumId w:val="10"/>
  </w:num>
  <w:num w:numId="6">
    <w:abstractNumId w:val="15"/>
  </w:num>
  <w:num w:numId="7">
    <w:abstractNumId w:val="8"/>
  </w:num>
  <w:num w:numId="8">
    <w:abstractNumId w:val="3"/>
  </w:num>
  <w:num w:numId="9">
    <w:abstractNumId w:val="2"/>
  </w:num>
  <w:num w:numId="10">
    <w:abstractNumId w:val="1"/>
  </w:num>
  <w:num w:numId="11">
    <w:abstractNumId w:val="0"/>
  </w:num>
  <w:num w:numId="12">
    <w:abstractNumId w:val="9"/>
  </w:num>
  <w:num w:numId="13">
    <w:abstractNumId w:val="19"/>
  </w:num>
  <w:num w:numId="14">
    <w:abstractNumId w:val="17"/>
  </w:num>
  <w:num w:numId="15">
    <w:abstractNumId w:val="11"/>
  </w:num>
  <w:num w:numId="16">
    <w:abstractNumId w:val="13"/>
    <w:lvlOverride w:ilvl="0">
      <w:lvl w:ilvl="0">
        <w:start w:val="1"/>
        <w:numFmt w:val="decimal"/>
        <w:lvlText w:val="%1."/>
        <w:lvlJc w:val="right"/>
        <w:pPr>
          <w:ind w:left="540" w:hanging="60"/>
        </w:pPr>
        <w:rPr>
          <w:rFonts w:hint="default"/>
        </w:rPr>
      </w:lvl>
    </w:lvlOverride>
  </w:num>
  <w:num w:numId="17">
    <w:abstractNumId w:val="7"/>
  </w:num>
  <w:num w:numId="18">
    <w:abstractNumId w:val="6"/>
  </w:num>
  <w:num w:numId="19">
    <w:abstractNumId w:val="5"/>
  </w:num>
  <w:num w:numId="20">
    <w:abstractNumId w:val="4"/>
  </w:num>
  <w:num w:numId="21">
    <w:abstractNumId w:val="10"/>
  </w:num>
  <w:num w:numId="22">
    <w:abstractNumId w:val="15"/>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2"/>
  </w:num>
  <w:num w:numId="36">
    <w:abstractNumId w:val="19"/>
  </w:num>
  <w:num w:numId="37">
    <w:abstractNumId w:val="15"/>
  </w:num>
  <w:num w:numId="38">
    <w:abstractNumId w:val="15"/>
  </w:num>
  <w:num w:numId="39">
    <w:abstractNumId w:val="9"/>
  </w:num>
  <w:num w:numId="40">
    <w:abstractNumId w:val="17"/>
  </w:num>
  <w:num w:numId="41">
    <w:abstractNumId w:val="18"/>
  </w:num>
  <w:num w:numId="42">
    <w:abstractNumId w:val="16"/>
  </w:num>
  <w:num w:numId="43">
    <w:abstractNumId w:val="14"/>
  </w:num>
  <w:num w:numId="44">
    <w:abstractNumId w:val="16"/>
    <w:lvlOverride w:ilvl="0">
      <w:startOverride w:val="1"/>
    </w:lvlOverride>
  </w:num>
  <w:num w:numId="45">
    <w:abstractNumId w:val="16"/>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395"/>
    <w:rsid w:val="00001806"/>
    <w:rsid w:val="000025D6"/>
    <w:rsid w:val="000046C4"/>
    <w:rsid w:val="000055D4"/>
    <w:rsid w:val="00006358"/>
    <w:rsid w:val="00006A66"/>
    <w:rsid w:val="00007283"/>
    <w:rsid w:val="00011D2F"/>
    <w:rsid w:val="0001265C"/>
    <w:rsid w:val="00013C69"/>
    <w:rsid w:val="0001471E"/>
    <w:rsid w:val="0002050C"/>
    <w:rsid w:val="00020CB1"/>
    <w:rsid w:val="00021CED"/>
    <w:rsid w:val="00024295"/>
    <w:rsid w:val="0002435E"/>
    <w:rsid w:val="00024CBA"/>
    <w:rsid w:val="00026D6D"/>
    <w:rsid w:val="00027983"/>
    <w:rsid w:val="0003139D"/>
    <w:rsid w:val="00031DDF"/>
    <w:rsid w:val="0003276D"/>
    <w:rsid w:val="0003304F"/>
    <w:rsid w:val="00033887"/>
    <w:rsid w:val="00033D24"/>
    <w:rsid w:val="0004183D"/>
    <w:rsid w:val="00041E2D"/>
    <w:rsid w:val="00042369"/>
    <w:rsid w:val="00042887"/>
    <w:rsid w:val="00045288"/>
    <w:rsid w:val="00045B71"/>
    <w:rsid w:val="000472BE"/>
    <w:rsid w:val="00047912"/>
    <w:rsid w:val="00050889"/>
    <w:rsid w:val="0005138C"/>
    <w:rsid w:val="00051B59"/>
    <w:rsid w:val="00052AD5"/>
    <w:rsid w:val="00052CD6"/>
    <w:rsid w:val="00053641"/>
    <w:rsid w:val="000541EB"/>
    <w:rsid w:val="0005524A"/>
    <w:rsid w:val="0005583E"/>
    <w:rsid w:val="00055B9E"/>
    <w:rsid w:val="00056287"/>
    <w:rsid w:val="00056F6F"/>
    <w:rsid w:val="000605FB"/>
    <w:rsid w:val="00062128"/>
    <w:rsid w:val="00062BE4"/>
    <w:rsid w:val="00062E26"/>
    <w:rsid w:val="00063A73"/>
    <w:rsid w:val="00065C57"/>
    <w:rsid w:val="0006632C"/>
    <w:rsid w:val="000677EA"/>
    <w:rsid w:val="00067E78"/>
    <w:rsid w:val="00067FD0"/>
    <w:rsid w:val="00070233"/>
    <w:rsid w:val="000711F6"/>
    <w:rsid w:val="0007427B"/>
    <w:rsid w:val="000772A5"/>
    <w:rsid w:val="00080161"/>
    <w:rsid w:val="000808E7"/>
    <w:rsid w:val="00080C49"/>
    <w:rsid w:val="00080CD5"/>
    <w:rsid w:val="000819C5"/>
    <w:rsid w:val="0009082C"/>
    <w:rsid w:val="00091FDC"/>
    <w:rsid w:val="00094658"/>
    <w:rsid w:val="000954D9"/>
    <w:rsid w:val="00095544"/>
    <w:rsid w:val="000956F5"/>
    <w:rsid w:val="00095EBD"/>
    <w:rsid w:val="00097C99"/>
    <w:rsid w:val="000A0556"/>
    <w:rsid w:val="000A305A"/>
    <w:rsid w:val="000A52CE"/>
    <w:rsid w:val="000B06E2"/>
    <w:rsid w:val="000B073E"/>
    <w:rsid w:val="000B07E4"/>
    <w:rsid w:val="000B1384"/>
    <w:rsid w:val="000B1C9A"/>
    <w:rsid w:val="000B2873"/>
    <w:rsid w:val="000B2FE1"/>
    <w:rsid w:val="000B35CE"/>
    <w:rsid w:val="000B3CD4"/>
    <w:rsid w:val="000B5697"/>
    <w:rsid w:val="000B5990"/>
    <w:rsid w:val="000B5A44"/>
    <w:rsid w:val="000B5C58"/>
    <w:rsid w:val="000B5D65"/>
    <w:rsid w:val="000B6757"/>
    <w:rsid w:val="000B6B8E"/>
    <w:rsid w:val="000B72AB"/>
    <w:rsid w:val="000B73AF"/>
    <w:rsid w:val="000B74DB"/>
    <w:rsid w:val="000B7594"/>
    <w:rsid w:val="000B7C87"/>
    <w:rsid w:val="000C2DE7"/>
    <w:rsid w:val="000C3269"/>
    <w:rsid w:val="000C332E"/>
    <w:rsid w:val="000C4F84"/>
    <w:rsid w:val="000C68B0"/>
    <w:rsid w:val="000C7656"/>
    <w:rsid w:val="000D0620"/>
    <w:rsid w:val="000D2628"/>
    <w:rsid w:val="000D4ED7"/>
    <w:rsid w:val="000D6E6B"/>
    <w:rsid w:val="000D797E"/>
    <w:rsid w:val="000D7A70"/>
    <w:rsid w:val="000E0106"/>
    <w:rsid w:val="000E041D"/>
    <w:rsid w:val="000E0CE2"/>
    <w:rsid w:val="000E0DD5"/>
    <w:rsid w:val="000E17C7"/>
    <w:rsid w:val="000E1807"/>
    <w:rsid w:val="000E1FA2"/>
    <w:rsid w:val="000E2574"/>
    <w:rsid w:val="000E3FAE"/>
    <w:rsid w:val="000E751F"/>
    <w:rsid w:val="000F0D5E"/>
    <w:rsid w:val="000F183A"/>
    <w:rsid w:val="000F1C94"/>
    <w:rsid w:val="000F50F8"/>
    <w:rsid w:val="000F6809"/>
    <w:rsid w:val="00100381"/>
    <w:rsid w:val="00100EED"/>
    <w:rsid w:val="001061C1"/>
    <w:rsid w:val="001063AB"/>
    <w:rsid w:val="00106540"/>
    <w:rsid w:val="00106F35"/>
    <w:rsid w:val="0010714E"/>
    <w:rsid w:val="0010788B"/>
    <w:rsid w:val="00107AE7"/>
    <w:rsid w:val="00107E23"/>
    <w:rsid w:val="00110716"/>
    <w:rsid w:val="00112F17"/>
    <w:rsid w:val="00113FF8"/>
    <w:rsid w:val="00114815"/>
    <w:rsid w:val="00114D07"/>
    <w:rsid w:val="00115718"/>
    <w:rsid w:val="00115741"/>
    <w:rsid w:val="00115804"/>
    <w:rsid w:val="001165B2"/>
    <w:rsid w:val="00120459"/>
    <w:rsid w:val="00121296"/>
    <w:rsid w:val="00121BC1"/>
    <w:rsid w:val="001223B6"/>
    <w:rsid w:val="00122F2B"/>
    <w:rsid w:val="00123134"/>
    <w:rsid w:val="001231B9"/>
    <w:rsid w:val="001259DA"/>
    <w:rsid w:val="00127018"/>
    <w:rsid w:val="00130CDD"/>
    <w:rsid w:val="001310C6"/>
    <w:rsid w:val="00131199"/>
    <w:rsid w:val="0013172A"/>
    <w:rsid w:val="001334BD"/>
    <w:rsid w:val="00133C04"/>
    <w:rsid w:val="00134D12"/>
    <w:rsid w:val="001378F8"/>
    <w:rsid w:val="00140B38"/>
    <w:rsid w:val="001415A6"/>
    <w:rsid w:val="00141984"/>
    <w:rsid w:val="0014205D"/>
    <w:rsid w:val="00142886"/>
    <w:rsid w:val="0014367A"/>
    <w:rsid w:val="00144D48"/>
    <w:rsid w:val="00145A73"/>
    <w:rsid w:val="0014602A"/>
    <w:rsid w:val="00147960"/>
    <w:rsid w:val="00147FD3"/>
    <w:rsid w:val="0015004C"/>
    <w:rsid w:val="00150827"/>
    <w:rsid w:val="00152A7A"/>
    <w:rsid w:val="001530BB"/>
    <w:rsid w:val="00154884"/>
    <w:rsid w:val="001563BE"/>
    <w:rsid w:val="00157BBE"/>
    <w:rsid w:val="00161E5E"/>
    <w:rsid w:val="00161EE5"/>
    <w:rsid w:val="00162FF8"/>
    <w:rsid w:val="0016330D"/>
    <w:rsid w:val="00164CDE"/>
    <w:rsid w:val="00165AB0"/>
    <w:rsid w:val="00165C0B"/>
    <w:rsid w:val="00165C92"/>
    <w:rsid w:val="00166437"/>
    <w:rsid w:val="00171765"/>
    <w:rsid w:val="00171C3C"/>
    <w:rsid w:val="001745EA"/>
    <w:rsid w:val="0017653E"/>
    <w:rsid w:val="00176D79"/>
    <w:rsid w:val="00177036"/>
    <w:rsid w:val="00177293"/>
    <w:rsid w:val="00177692"/>
    <w:rsid w:val="00181534"/>
    <w:rsid w:val="001815E4"/>
    <w:rsid w:val="00181CDB"/>
    <w:rsid w:val="001829A3"/>
    <w:rsid w:val="00182A5A"/>
    <w:rsid w:val="00182AC3"/>
    <w:rsid w:val="00182E3A"/>
    <w:rsid w:val="001843C6"/>
    <w:rsid w:val="00184ACE"/>
    <w:rsid w:val="00184F20"/>
    <w:rsid w:val="00185281"/>
    <w:rsid w:val="00186DF6"/>
    <w:rsid w:val="00187CE1"/>
    <w:rsid w:val="0019107E"/>
    <w:rsid w:val="00191654"/>
    <w:rsid w:val="00191A87"/>
    <w:rsid w:val="001931F5"/>
    <w:rsid w:val="00193D5F"/>
    <w:rsid w:val="00194622"/>
    <w:rsid w:val="00194C7B"/>
    <w:rsid w:val="00195B2A"/>
    <w:rsid w:val="00196CE0"/>
    <w:rsid w:val="00197640"/>
    <w:rsid w:val="001A01F9"/>
    <w:rsid w:val="001A0806"/>
    <w:rsid w:val="001A1B98"/>
    <w:rsid w:val="001A2784"/>
    <w:rsid w:val="001A577D"/>
    <w:rsid w:val="001A5AA3"/>
    <w:rsid w:val="001B0FAF"/>
    <w:rsid w:val="001B11E8"/>
    <w:rsid w:val="001B43CD"/>
    <w:rsid w:val="001B54EC"/>
    <w:rsid w:val="001B5A08"/>
    <w:rsid w:val="001B7C33"/>
    <w:rsid w:val="001C1A6B"/>
    <w:rsid w:val="001C1BBB"/>
    <w:rsid w:val="001C29D8"/>
    <w:rsid w:val="001C379A"/>
    <w:rsid w:val="001C3B35"/>
    <w:rsid w:val="001C5C09"/>
    <w:rsid w:val="001C610F"/>
    <w:rsid w:val="001C7095"/>
    <w:rsid w:val="001D0120"/>
    <w:rsid w:val="001E0514"/>
    <w:rsid w:val="001E07A1"/>
    <w:rsid w:val="001E1714"/>
    <w:rsid w:val="001E1732"/>
    <w:rsid w:val="001E176F"/>
    <w:rsid w:val="001E2079"/>
    <w:rsid w:val="001E379F"/>
    <w:rsid w:val="001E4CA1"/>
    <w:rsid w:val="001E4EB0"/>
    <w:rsid w:val="001F0664"/>
    <w:rsid w:val="001F2100"/>
    <w:rsid w:val="001F31CA"/>
    <w:rsid w:val="001F421E"/>
    <w:rsid w:val="001F5586"/>
    <w:rsid w:val="00200D40"/>
    <w:rsid w:val="00201946"/>
    <w:rsid w:val="00202474"/>
    <w:rsid w:val="002041D3"/>
    <w:rsid w:val="00204BA4"/>
    <w:rsid w:val="00204E83"/>
    <w:rsid w:val="00205494"/>
    <w:rsid w:val="00206160"/>
    <w:rsid w:val="00207B95"/>
    <w:rsid w:val="00207BB7"/>
    <w:rsid w:val="00210BCE"/>
    <w:rsid w:val="00210C1C"/>
    <w:rsid w:val="00210F7F"/>
    <w:rsid w:val="002123C0"/>
    <w:rsid w:val="002123CB"/>
    <w:rsid w:val="002125CA"/>
    <w:rsid w:val="00213AC5"/>
    <w:rsid w:val="002152AA"/>
    <w:rsid w:val="00216994"/>
    <w:rsid w:val="00216DB4"/>
    <w:rsid w:val="00217375"/>
    <w:rsid w:val="002215C1"/>
    <w:rsid w:val="00221FDA"/>
    <w:rsid w:val="00222A5F"/>
    <w:rsid w:val="00223FBA"/>
    <w:rsid w:val="0022788C"/>
    <w:rsid w:val="00227FA1"/>
    <w:rsid w:val="0023175A"/>
    <w:rsid w:val="00233D17"/>
    <w:rsid w:val="0023579F"/>
    <w:rsid w:val="00235AB6"/>
    <w:rsid w:val="00235F32"/>
    <w:rsid w:val="00236A4F"/>
    <w:rsid w:val="002431AB"/>
    <w:rsid w:val="00243F06"/>
    <w:rsid w:val="00244547"/>
    <w:rsid w:val="00245798"/>
    <w:rsid w:val="0024719D"/>
    <w:rsid w:val="00247506"/>
    <w:rsid w:val="0025429F"/>
    <w:rsid w:val="00254AD0"/>
    <w:rsid w:val="00254AE3"/>
    <w:rsid w:val="002576D6"/>
    <w:rsid w:val="00260495"/>
    <w:rsid w:val="00260BE0"/>
    <w:rsid w:val="00261245"/>
    <w:rsid w:val="00263368"/>
    <w:rsid w:val="00263917"/>
    <w:rsid w:val="002666CA"/>
    <w:rsid w:val="002674B2"/>
    <w:rsid w:val="00267CED"/>
    <w:rsid w:val="00270704"/>
    <w:rsid w:val="00273605"/>
    <w:rsid w:val="00273822"/>
    <w:rsid w:val="002752AB"/>
    <w:rsid w:val="00275708"/>
    <w:rsid w:val="00276546"/>
    <w:rsid w:val="002767C1"/>
    <w:rsid w:val="00280F8B"/>
    <w:rsid w:val="002812AC"/>
    <w:rsid w:val="002816A0"/>
    <w:rsid w:val="0028267F"/>
    <w:rsid w:val="0028333C"/>
    <w:rsid w:val="00283847"/>
    <w:rsid w:val="00283E8E"/>
    <w:rsid w:val="0028594B"/>
    <w:rsid w:val="00285A55"/>
    <w:rsid w:val="00287D5D"/>
    <w:rsid w:val="002917A5"/>
    <w:rsid w:val="002919AB"/>
    <w:rsid w:val="00293146"/>
    <w:rsid w:val="002A2330"/>
    <w:rsid w:val="002A3052"/>
    <w:rsid w:val="002A65D5"/>
    <w:rsid w:val="002A7C94"/>
    <w:rsid w:val="002B31E7"/>
    <w:rsid w:val="002B3FA6"/>
    <w:rsid w:val="002C0686"/>
    <w:rsid w:val="002C168E"/>
    <w:rsid w:val="002C1AA6"/>
    <w:rsid w:val="002C22E2"/>
    <w:rsid w:val="002C273A"/>
    <w:rsid w:val="002C3083"/>
    <w:rsid w:val="002C5098"/>
    <w:rsid w:val="002C69D9"/>
    <w:rsid w:val="002C6A3C"/>
    <w:rsid w:val="002C6AE0"/>
    <w:rsid w:val="002D3E40"/>
    <w:rsid w:val="002D5F6D"/>
    <w:rsid w:val="002D5F86"/>
    <w:rsid w:val="002D6DCB"/>
    <w:rsid w:val="002D7200"/>
    <w:rsid w:val="002D7929"/>
    <w:rsid w:val="002E1538"/>
    <w:rsid w:val="002E640F"/>
    <w:rsid w:val="002E68DC"/>
    <w:rsid w:val="002F109A"/>
    <w:rsid w:val="002F10E3"/>
    <w:rsid w:val="002F1CAB"/>
    <w:rsid w:val="002F274D"/>
    <w:rsid w:val="002F43D5"/>
    <w:rsid w:val="002F6542"/>
    <w:rsid w:val="002F69B5"/>
    <w:rsid w:val="00300D63"/>
    <w:rsid w:val="0030249F"/>
    <w:rsid w:val="003026FA"/>
    <w:rsid w:val="00302D98"/>
    <w:rsid w:val="003033E5"/>
    <w:rsid w:val="0030413B"/>
    <w:rsid w:val="00304900"/>
    <w:rsid w:val="00304E54"/>
    <w:rsid w:val="00305A09"/>
    <w:rsid w:val="00306395"/>
    <w:rsid w:val="00306913"/>
    <w:rsid w:val="0030792E"/>
    <w:rsid w:val="00310428"/>
    <w:rsid w:val="00311C15"/>
    <w:rsid w:val="00311E99"/>
    <w:rsid w:val="00312767"/>
    <w:rsid w:val="00312B94"/>
    <w:rsid w:val="00315C93"/>
    <w:rsid w:val="00315D3D"/>
    <w:rsid w:val="003168FF"/>
    <w:rsid w:val="00321F8D"/>
    <w:rsid w:val="00322636"/>
    <w:rsid w:val="003241F4"/>
    <w:rsid w:val="0032589B"/>
    <w:rsid w:val="00325AA1"/>
    <w:rsid w:val="00331653"/>
    <w:rsid w:val="00331E31"/>
    <w:rsid w:val="00332384"/>
    <w:rsid w:val="00332DFE"/>
    <w:rsid w:val="00334080"/>
    <w:rsid w:val="00342068"/>
    <w:rsid w:val="00342991"/>
    <w:rsid w:val="003451DC"/>
    <w:rsid w:val="00345341"/>
    <w:rsid w:val="0034553C"/>
    <w:rsid w:val="00345C9D"/>
    <w:rsid w:val="00353AD0"/>
    <w:rsid w:val="00354497"/>
    <w:rsid w:val="00354ECD"/>
    <w:rsid w:val="00356FA7"/>
    <w:rsid w:val="00357C1B"/>
    <w:rsid w:val="00360C9C"/>
    <w:rsid w:val="00360E6E"/>
    <w:rsid w:val="00362404"/>
    <w:rsid w:val="00364EA5"/>
    <w:rsid w:val="00365ACD"/>
    <w:rsid w:val="0036613B"/>
    <w:rsid w:val="0036732B"/>
    <w:rsid w:val="00367CF1"/>
    <w:rsid w:val="00367D66"/>
    <w:rsid w:val="003733CC"/>
    <w:rsid w:val="00373624"/>
    <w:rsid w:val="003744D4"/>
    <w:rsid w:val="003845B5"/>
    <w:rsid w:val="00385688"/>
    <w:rsid w:val="00385E20"/>
    <w:rsid w:val="00386FD6"/>
    <w:rsid w:val="00387B07"/>
    <w:rsid w:val="00387CB9"/>
    <w:rsid w:val="003923E8"/>
    <w:rsid w:val="00393AF8"/>
    <w:rsid w:val="00394B1E"/>
    <w:rsid w:val="00394B76"/>
    <w:rsid w:val="0039746A"/>
    <w:rsid w:val="003A243B"/>
    <w:rsid w:val="003A2CD5"/>
    <w:rsid w:val="003A4108"/>
    <w:rsid w:val="003A54DD"/>
    <w:rsid w:val="003A5B77"/>
    <w:rsid w:val="003A5F46"/>
    <w:rsid w:val="003A6BB9"/>
    <w:rsid w:val="003B12CF"/>
    <w:rsid w:val="003B1358"/>
    <w:rsid w:val="003B2FD8"/>
    <w:rsid w:val="003B498F"/>
    <w:rsid w:val="003B4A62"/>
    <w:rsid w:val="003B6227"/>
    <w:rsid w:val="003B7C9B"/>
    <w:rsid w:val="003B7FD5"/>
    <w:rsid w:val="003C211E"/>
    <w:rsid w:val="003C2159"/>
    <w:rsid w:val="003C3FD7"/>
    <w:rsid w:val="003C52CA"/>
    <w:rsid w:val="003C62DE"/>
    <w:rsid w:val="003D0635"/>
    <w:rsid w:val="003D12A0"/>
    <w:rsid w:val="003D1AE0"/>
    <w:rsid w:val="003D280F"/>
    <w:rsid w:val="003D2A99"/>
    <w:rsid w:val="003D2D22"/>
    <w:rsid w:val="003D2DE2"/>
    <w:rsid w:val="003D3882"/>
    <w:rsid w:val="003D4729"/>
    <w:rsid w:val="003E0E13"/>
    <w:rsid w:val="003E3A5B"/>
    <w:rsid w:val="003E4F53"/>
    <w:rsid w:val="003E598C"/>
    <w:rsid w:val="003E63A4"/>
    <w:rsid w:val="003E69BE"/>
    <w:rsid w:val="003E6F4C"/>
    <w:rsid w:val="003F39AE"/>
    <w:rsid w:val="003F3AA9"/>
    <w:rsid w:val="003F59DF"/>
    <w:rsid w:val="003F6398"/>
    <w:rsid w:val="003F666A"/>
    <w:rsid w:val="004007D1"/>
    <w:rsid w:val="00400922"/>
    <w:rsid w:val="00402B80"/>
    <w:rsid w:val="00404F14"/>
    <w:rsid w:val="00410437"/>
    <w:rsid w:val="00410792"/>
    <w:rsid w:val="00411F35"/>
    <w:rsid w:val="00414209"/>
    <w:rsid w:val="0041503D"/>
    <w:rsid w:val="00415B11"/>
    <w:rsid w:val="00416E83"/>
    <w:rsid w:val="00417009"/>
    <w:rsid w:val="00417CCE"/>
    <w:rsid w:val="004219CB"/>
    <w:rsid w:val="00423B4E"/>
    <w:rsid w:val="00425276"/>
    <w:rsid w:val="0042554F"/>
    <w:rsid w:val="00431391"/>
    <w:rsid w:val="00431DE3"/>
    <w:rsid w:val="00431F64"/>
    <w:rsid w:val="00432739"/>
    <w:rsid w:val="0043383A"/>
    <w:rsid w:val="00434473"/>
    <w:rsid w:val="00434981"/>
    <w:rsid w:val="0043560D"/>
    <w:rsid w:val="00435669"/>
    <w:rsid w:val="00435AFB"/>
    <w:rsid w:val="00437DDD"/>
    <w:rsid w:val="004409FF"/>
    <w:rsid w:val="004432E2"/>
    <w:rsid w:val="004433C7"/>
    <w:rsid w:val="00446E3A"/>
    <w:rsid w:val="00446E72"/>
    <w:rsid w:val="0045004C"/>
    <w:rsid w:val="0045066B"/>
    <w:rsid w:val="00450BE9"/>
    <w:rsid w:val="004510EA"/>
    <w:rsid w:val="004517EB"/>
    <w:rsid w:val="004524C2"/>
    <w:rsid w:val="00453F55"/>
    <w:rsid w:val="00453F85"/>
    <w:rsid w:val="00454387"/>
    <w:rsid w:val="00455C27"/>
    <w:rsid w:val="004563F9"/>
    <w:rsid w:val="0045673C"/>
    <w:rsid w:val="00456BC0"/>
    <w:rsid w:val="00456D17"/>
    <w:rsid w:val="00457A74"/>
    <w:rsid w:val="004622BA"/>
    <w:rsid w:val="00464CF0"/>
    <w:rsid w:val="00465207"/>
    <w:rsid w:val="00465B0D"/>
    <w:rsid w:val="004668F5"/>
    <w:rsid w:val="00467051"/>
    <w:rsid w:val="004674B1"/>
    <w:rsid w:val="004705C7"/>
    <w:rsid w:val="00470A2E"/>
    <w:rsid w:val="00470A84"/>
    <w:rsid w:val="0047106E"/>
    <w:rsid w:val="0047160C"/>
    <w:rsid w:val="0047272D"/>
    <w:rsid w:val="00472937"/>
    <w:rsid w:val="00473958"/>
    <w:rsid w:val="004743C2"/>
    <w:rsid w:val="00474B44"/>
    <w:rsid w:val="00475CC0"/>
    <w:rsid w:val="00476EB7"/>
    <w:rsid w:val="004772FD"/>
    <w:rsid w:val="004775AB"/>
    <w:rsid w:val="004821F0"/>
    <w:rsid w:val="00482CE5"/>
    <w:rsid w:val="00482D06"/>
    <w:rsid w:val="0048704E"/>
    <w:rsid w:val="004922F1"/>
    <w:rsid w:val="0049372C"/>
    <w:rsid w:val="00493755"/>
    <w:rsid w:val="004944BF"/>
    <w:rsid w:val="00494C08"/>
    <w:rsid w:val="004A14C7"/>
    <w:rsid w:val="004A15F7"/>
    <w:rsid w:val="004A4934"/>
    <w:rsid w:val="004A56A2"/>
    <w:rsid w:val="004A72B6"/>
    <w:rsid w:val="004A7B07"/>
    <w:rsid w:val="004B03AE"/>
    <w:rsid w:val="004B4EA7"/>
    <w:rsid w:val="004B6186"/>
    <w:rsid w:val="004B7786"/>
    <w:rsid w:val="004C0871"/>
    <w:rsid w:val="004C0A0E"/>
    <w:rsid w:val="004C1A9D"/>
    <w:rsid w:val="004C2E24"/>
    <w:rsid w:val="004C3A23"/>
    <w:rsid w:val="004C442C"/>
    <w:rsid w:val="004C4987"/>
    <w:rsid w:val="004C7373"/>
    <w:rsid w:val="004C796B"/>
    <w:rsid w:val="004D3345"/>
    <w:rsid w:val="004D3ACE"/>
    <w:rsid w:val="004D3BBB"/>
    <w:rsid w:val="004D3CD8"/>
    <w:rsid w:val="004D535F"/>
    <w:rsid w:val="004D608F"/>
    <w:rsid w:val="004D60B3"/>
    <w:rsid w:val="004D61FE"/>
    <w:rsid w:val="004D6591"/>
    <w:rsid w:val="004D6F2B"/>
    <w:rsid w:val="004E0753"/>
    <w:rsid w:val="004E1AC1"/>
    <w:rsid w:val="004E2103"/>
    <w:rsid w:val="004E4B9D"/>
    <w:rsid w:val="004E570C"/>
    <w:rsid w:val="004E79B1"/>
    <w:rsid w:val="004F0579"/>
    <w:rsid w:val="004F1F17"/>
    <w:rsid w:val="004F42B5"/>
    <w:rsid w:val="004F6445"/>
    <w:rsid w:val="004F7C76"/>
    <w:rsid w:val="00502231"/>
    <w:rsid w:val="005057B3"/>
    <w:rsid w:val="00506DC5"/>
    <w:rsid w:val="00511543"/>
    <w:rsid w:val="00512363"/>
    <w:rsid w:val="0051569F"/>
    <w:rsid w:val="00515F92"/>
    <w:rsid w:val="0051601A"/>
    <w:rsid w:val="005168F0"/>
    <w:rsid w:val="00521AA8"/>
    <w:rsid w:val="00522BE0"/>
    <w:rsid w:val="005230F2"/>
    <w:rsid w:val="005253A0"/>
    <w:rsid w:val="005272C7"/>
    <w:rsid w:val="0052762D"/>
    <w:rsid w:val="005276DD"/>
    <w:rsid w:val="00532C2A"/>
    <w:rsid w:val="00533A95"/>
    <w:rsid w:val="0053401D"/>
    <w:rsid w:val="005362AF"/>
    <w:rsid w:val="00537BCE"/>
    <w:rsid w:val="00540609"/>
    <w:rsid w:val="0054234C"/>
    <w:rsid w:val="005423CF"/>
    <w:rsid w:val="00542EC0"/>
    <w:rsid w:val="0054310E"/>
    <w:rsid w:val="0054338A"/>
    <w:rsid w:val="005436D0"/>
    <w:rsid w:val="005446D8"/>
    <w:rsid w:val="0054493A"/>
    <w:rsid w:val="00544969"/>
    <w:rsid w:val="005476CF"/>
    <w:rsid w:val="00547B09"/>
    <w:rsid w:val="00547D45"/>
    <w:rsid w:val="005518AB"/>
    <w:rsid w:val="00552ED5"/>
    <w:rsid w:val="00553F44"/>
    <w:rsid w:val="005566DB"/>
    <w:rsid w:val="0055672C"/>
    <w:rsid w:val="005573A5"/>
    <w:rsid w:val="0055751B"/>
    <w:rsid w:val="005640FF"/>
    <w:rsid w:val="00564575"/>
    <w:rsid w:val="005646C1"/>
    <w:rsid w:val="00567CEB"/>
    <w:rsid w:val="005704EF"/>
    <w:rsid w:val="005710B3"/>
    <w:rsid w:val="005733B8"/>
    <w:rsid w:val="00575E7E"/>
    <w:rsid w:val="00576992"/>
    <w:rsid w:val="00576A89"/>
    <w:rsid w:val="00576E43"/>
    <w:rsid w:val="0057725C"/>
    <w:rsid w:val="00577EAF"/>
    <w:rsid w:val="00577EE5"/>
    <w:rsid w:val="0058175D"/>
    <w:rsid w:val="00581933"/>
    <w:rsid w:val="00581D49"/>
    <w:rsid w:val="005843DF"/>
    <w:rsid w:val="00586093"/>
    <w:rsid w:val="005862FF"/>
    <w:rsid w:val="00586BDC"/>
    <w:rsid w:val="00590DE6"/>
    <w:rsid w:val="00592EE6"/>
    <w:rsid w:val="0059399C"/>
    <w:rsid w:val="00593E71"/>
    <w:rsid w:val="00594844"/>
    <w:rsid w:val="0059696B"/>
    <w:rsid w:val="00596C30"/>
    <w:rsid w:val="005A04A7"/>
    <w:rsid w:val="005A20B0"/>
    <w:rsid w:val="005A2A52"/>
    <w:rsid w:val="005A40A7"/>
    <w:rsid w:val="005A74FE"/>
    <w:rsid w:val="005B2DB8"/>
    <w:rsid w:val="005B3168"/>
    <w:rsid w:val="005B452E"/>
    <w:rsid w:val="005B6FFA"/>
    <w:rsid w:val="005C0162"/>
    <w:rsid w:val="005C0215"/>
    <w:rsid w:val="005C0B1E"/>
    <w:rsid w:val="005C129E"/>
    <w:rsid w:val="005C189B"/>
    <w:rsid w:val="005C1ED4"/>
    <w:rsid w:val="005C1F2C"/>
    <w:rsid w:val="005C3259"/>
    <w:rsid w:val="005C665F"/>
    <w:rsid w:val="005C7DE7"/>
    <w:rsid w:val="005D019D"/>
    <w:rsid w:val="005D07AE"/>
    <w:rsid w:val="005D16B0"/>
    <w:rsid w:val="005D346A"/>
    <w:rsid w:val="005D3F47"/>
    <w:rsid w:val="005D42B0"/>
    <w:rsid w:val="005D61A6"/>
    <w:rsid w:val="005D625E"/>
    <w:rsid w:val="005D6619"/>
    <w:rsid w:val="005D6F51"/>
    <w:rsid w:val="005D771E"/>
    <w:rsid w:val="005E15C6"/>
    <w:rsid w:val="005E2CDF"/>
    <w:rsid w:val="005F224B"/>
    <w:rsid w:val="005F4E3F"/>
    <w:rsid w:val="005F5ED2"/>
    <w:rsid w:val="005F66CA"/>
    <w:rsid w:val="005F7BA3"/>
    <w:rsid w:val="00600001"/>
    <w:rsid w:val="00600188"/>
    <w:rsid w:val="00600FA7"/>
    <w:rsid w:val="00605E85"/>
    <w:rsid w:val="006066DE"/>
    <w:rsid w:val="00607AE2"/>
    <w:rsid w:val="00610273"/>
    <w:rsid w:val="00610303"/>
    <w:rsid w:val="0061101A"/>
    <w:rsid w:val="00611188"/>
    <w:rsid w:val="00611A02"/>
    <w:rsid w:val="00611D17"/>
    <w:rsid w:val="00612ED3"/>
    <w:rsid w:val="00613145"/>
    <w:rsid w:val="006136B7"/>
    <w:rsid w:val="00614BA2"/>
    <w:rsid w:val="0061507C"/>
    <w:rsid w:val="00617432"/>
    <w:rsid w:val="00617663"/>
    <w:rsid w:val="00617FF7"/>
    <w:rsid w:val="0062174C"/>
    <w:rsid w:val="006219B5"/>
    <w:rsid w:val="0062601C"/>
    <w:rsid w:val="006276B9"/>
    <w:rsid w:val="00627D1D"/>
    <w:rsid w:val="0063199C"/>
    <w:rsid w:val="00631EEE"/>
    <w:rsid w:val="006359F1"/>
    <w:rsid w:val="00636E0D"/>
    <w:rsid w:val="00637074"/>
    <w:rsid w:val="006400F5"/>
    <w:rsid w:val="00642182"/>
    <w:rsid w:val="00644FA2"/>
    <w:rsid w:val="006458B1"/>
    <w:rsid w:val="00647C19"/>
    <w:rsid w:val="0065401C"/>
    <w:rsid w:val="00654702"/>
    <w:rsid w:val="00656461"/>
    <w:rsid w:val="00656C84"/>
    <w:rsid w:val="00657A0F"/>
    <w:rsid w:val="00657B79"/>
    <w:rsid w:val="006608C9"/>
    <w:rsid w:val="006613D4"/>
    <w:rsid w:val="00663599"/>
    <w:rsid w:val="006668A0"/>
    <w:rsid w:val="006675DE"/>
    <w:rsid w:val="00667A28"/>
    <w:rsid w:val="00670981"/>
    <w:rsid w:val="006726E5"/>
    <w:rsid w:val="006732AB"/>
    <w:rsid w:val="006743BF"/>
    <w:rsid w:val="006748F7"/>
    <w:rsid w:val="00674944"/>
    <w:rsid w:val="00674D82"/>
    <w:rsid w:val="006753EC"/>
    <w:rsid w:val="00675690"/>
    <w:rsid w:val="0067599E"/>
    <w:rsid w:val="00676152"/>
    <w:rsid w:val="006767CE"/>
    <w:rsid w:val="00677A75"/>
    <w:rsid w:val="006803AE"/>
    <w:rsid w:val="00680F3C"/>
    <w:rsid w:val="00682B4D"/>
    <w:rsid w:val="00684D96"/>
    <w:rsid w:val="0068502E"/>
    <w:rsid w:val="00685852"/>
    <w:rsid w:val="00685DD9"/>
    <w:rsid w:val="00685F0B"/>
    <w:rsid w:val="00686093"/>
    <w:rsid w:val="00686598"/>
    <w:rsid w:val="00687CEA"/>
    <w:rsid w:val="006921C6"/>
    <w:rsid w:val="00692D32"/>
    <w:rsid w:val="00692D68"/>
    <w:rsid w:val="00693C74"/>
    <w:rsid w:val="00693FCD"/>
    <w:rsid w:val="00694776"/>
    <w:rsid w:val="00696126"/>
    <w:rsid w:val="00696AA9"/>
    <w:rsid w:val="006A0353"/>
    <w:rsid w:val="006A1389"/>
    <w:rsid w:val="006A2081"/>
    <w:rsid w:val="006A3704"/>
    <w:rsid w:val="006A505A"/>
    <w:rsid w:val="006A54FE"/>
    <w:rsid w:val="006A5680"/>
    <w:rsid w:val="006A6A13"/>
    <w:rsid w:val="006A6C98"/>
    <w:rsid w:val="006A6FF7"/>
    <w:rsid w:val="006A78A0"/>
    <w:rsid w:val="006A7D16"/>
    <w:rsid w:val="006B0A96"/>
    <w:rsid w:val="006B15F8"/>
    <w:rsid w:val="006B214A"/>
    <w:rsid w:val="006B26BC"/>
    <w:rsid w:val="006B2BA0"/>
    <w:rsid w:val="006B2E77"/>
    <w:rsid w:val="006B458E"/>
    <w:rsid w:val="006B4A0B"/>
    <w:rsid w:val="006B5643"/>
    <w:rsid w:val="006B7B80"/>
    <w:rsid w:val="006C06A1"/>
    <w:rsid w:val="006C0CC8"/>
    <w:rsid w:val="006C26F8"/>
    <w:rsid w:val="006C28FC"/>
    <w:rsid w:val="006C33BD"/>
    <w:rsid w:val="006C5C74"/>
    <w:rsid w:val="006C7102"/>
    <w:rsid w:val="006D28BE"/>
    <w:rsid w:val="006D3BD5"/>
    <w:rsid w:val="006D3F5E"/>
    <w:rsid w:val="006D5354"/>
    <w:rsid w:val="006E00DE"/>
    <w:rsid w:val="006E2534"/>
    <w:rsid w:val="006E2F26"/>
    <w:rsid w:val="006E36ED"/>
    <w:rsid w:val="006E3D06"/>
    <w:rsid w:val="006E5C68"/>
    <w:rsid w:val="006E770E"/>
    <w:rsid w:val="006E772F"/>
    <w:rsid w:val="006F0DB8"/>
    <w:rsid w:val="006F204F"/>
    <w:rsid w:val="006F2973"/>
    <w:rsid w:val="006F378B"/>
    <w:rsid w:val="006F4E2D"/>
    <w:rsid w:val="006F5171"/>
    <w:rsid w:val="006F6265"/>
    <w:rsid w:val="006F7134"/>
    <w:rsid w:val="006F7A41"/>
    <w:rsid w:val="006F7B8F"/>
    <w:rsid w:val="00700184"/>
    <w:rsid w:val="00700435"/>
    <w:rsid w:val="007004D7"/>
    <w:rsid w:val="0070211F"/>
    <w:rsid w:val="007032F3"/>
    <w:rsid w:val="00704143"/>
    <w:rsid w:val="00704FD2"/>
    <w:rsid w:val="00705DB6"/>
    <w:rsid w:val="007066FD"/>
    <w:rsid w:val="007068B6"/>
    <w:rsid w:val="0070752F"/>
    <w:rsid w:val="0071056B"/>
    <w:rsid w:val="00710C27"/>
    <w:rsid w:val="007128B1"/>
    <w:rsid w:val="00712F18"/>
    <w:rsid w:val="00712F9A"/>
    <w:rsid w:val="00713C76"/>
    <w:rsid w:val="007142B1"/>
    <w:rsid w:val="00715690"/>
    <w:rsid w:val="00717CEE"/>
    <w:rsid w:val="0072007C"/>
    <w:rsid w:val="007204F7"/>
    <w:rsid w:val="00720955"/>
    <w:rsid w:val="00720D45"/>
    <w:rsid w:val="00720F5E"/>
    <w:rsid w:val="0072132F"/>
    <w:rsid w:val="0072192E"/>
    <w:rsid w:val="007222B0"/>
    <w:rsid w:val="007229E6"/>
    <w:rsid w:val="00723D26"/>
    <w:rsid w:val="007246B9"/>
    <w:rsid w:val="007274D1"/>
    <w:rsid w:val="00727972"/>
    <w:rsid w:val="00727D8D"/>
    <w:rsid w:val="00727DFD"/>
    <w:rsid w:val="0073083A"/>
    <w:rsid w:val="0073216C"/>
    <w:rsid w:val="00732F28"/>
    <w:rsid w:val="007330BD"/>
    <w:rsid w:val="00733771"/>
    <w:rsid w:val="00737840"/>
    <w:rsid w:val="0074241C"/>
    <w:rsid w:val="00742C2C"/>
    <w:rsid w:val="00743F57"/>
    <w:rsid w:val="00746392"/>
    <w:rsid w:val="007464C8"/>
    <w:rsid w:val="007468F6"/>
    <w:rsid w:val="007503F8"/>
    <w:rsid w:val="00750854"/>
    <w:rsid w:val="0075091C"/>
    <w:rsid w:val="0075164C"/>
    <w:rsid w:val="007518EA"/>
    <w:rsid w:val="007520B4"/>
    <w:rsid w:val="00753635"/>
    <w:rsid w:val="00755A48"/>
    <w:rsid w:val="00755BC8"/>
    <w:rsid w:val="00757D59"/>
    <w:rsid w:val="00761042"/>
    <w:rsid w:val="007629BA"/>
    <w:rsid w:val="00763738"/>
    <w:rsid w:val="0076407F"/>
    <w:rsid w:val="007670F8"/>
    <w:rsid w:val="00767594"/>
    <w:rsid w:val="007675E1"/>
    <w:rsid w:val="007677DD"/>
    <w:rsid w:val="00767FEB"/>
    <w:rsid w:val="00770DE1"/>
    <w:rsid w:val="00770F7B"/>
    <w:rsid w:val="007723D7"/>
    <w:rsid w:val="0077320E"/>
    <w:rsid w:val="0077393E"/>
    <w:rsid w:val="00773AFC"/>
    <w:rsid w:val="00774187"/>
    <w:rsid w:val="0077567B"/>
    <w:rsid w:val="00775AA6"/>
    <w:rsid w:val="00777762"/>
    <w:rsid w:val="007803A6"/>
    <w:rsid w:val="0078141C"/>
    <w:rsid w:val="0078282B"/>
    <w:rsid w:val="00782CA5"/>
    <w:rsid w:val="00785195"/>
    <w:rsid w:val="007863E4"/>
    <w:rsid w:val="00786D08"/>
    <w:rsid w:val="0078782B"/>
    <w:rsid w:val="0079277D"/>
    <w:rsid w:val="00793F90"/>
    <w:rsid w:val="00795EAE"/>
    <w:rsid w:val="00796B0B"/>
    <w:rsid w:val="00796B68"/>
    <w:rsid w:val="007A00EC"/>
    <w:rsid w:val="007A1F2E"/>
    <w:rsid w:val="007A26A7"/>
    <w:rsid w:val="007A31FF"/>
    <w:rsid w:val="007A3966"/>
    <w:rsid w:val="007A5BA1"/>
    <w:rsid w:val="007A5C21"/>
    <w:rsid w:val="007A70C1"/>
    <w:rsid w:val="007B1F5C"/>
    <w:rsid w:val="007B4235"/>
    <w:rsid w:val="007B5593"/>
    <w:rsid w:val="007B614C"/>
    <w:rsid w:val="007B63D5"/>
    <w:rsid w:val="007B6477"/>
    <w:rsid w:val="007C050F"/>
    <w:rsid w:val="007C0619"/>
    <w:rsid w:val="007C0D94"/>
    <w:rsid w:val="007C1C36"/>
    <w:rsid w:val="007C23DA"/>
    <w:rsid w:val="007C294D"/>
    <w:rsid w:val="007C75B6"/>
    <w:rsid w:val="007D15C2"/>
    <w:rsid w:val="007D1DC4"/>
    <w:rsid w:val="007D341B"/>
    <w:rsid w:val="007D43A2"/>
    <w:rsid w:val="007D4646"/>
    <w:rsid w:val="007D50D0"/>
    <w:rsid w:val="007D728F"/>
    <w:rsid w:val="007E057E"/>
    <w:rsid w:val="007E1243"/>
    <w:rsid w:val="007E1ADE"/>
    <w:rsid w:val="007E3C3E"/>
    <w:rsid w:val="007E527D"/>
    <w:rsid w:val="007E6199"/>
    <w:rsid w:val="007E667D"/>
    <w:rsid w:val="007E6B3C"/>
    <w:rsid w:val="007E7F97"/>
    <w:rsid w:val="007F013D"/>
    <w:rsid w:val="007F0A70"/>
    <w:rsid w:val="007F12C7"/>
    <w:rsid w:val="007F4840"/>
    <w:rsid w:val="007F687A"/>
    <w:rsid w:val="007F7A82"/>
    <w:rsid w:val="00802CD0"/>
    <w:rsid w:val="0080596E"/>
    <w:rsid w:val="00805ECD"/>
    <w:rsid w:val="00806E21"/>
    <w:rsid w:val="00807D5C"/>
    <w:rsid w:val="0081104D"/>
    <w:rsid w:val="00812EBD"/>
    <w:rsid w:val="00813987"/>
    <w:rsid w:val="00816D41"/>
    <w:rsid w:val="008175EE"/>
    <w:rsid w:val="008178C6"/>
    <w:rsid w:val="00817A9A"/>
    <w:rsid w:val="008213E2"/>
    <w:rsid w:val="00821611"/>
    <w:rsid w:val="0082284B"/>
    <w:rsid w:val="00824749"/>
    <w:rsid w:val="00825A03"/>
    <w:rsid w:val="00825B26"/>
    <w:rsid w:val="008261F0"/>
    <w:rsid w:val="00830CE4"/>
    <w:rsid w:val="00830F5C"/>
    <w:rsid w:val="0083198F"/>
    <w:rsid w:val="00832CB3"/>
    <w:rsid w:val="00833621"/>
    <w:rsid w:val="008348FD"/>
    <w:rsid w:val="00834EF4"/>
    <w:rsid w:val="00837662"/>
    <w:rsid w:val="008401CA"/>
    <w:rsid w:val="00840580"/>
    <w:rsid w:val="00841857"/>
    <w:rsid w:val="008434A1"/>
    <w:rsid w:val="00843594"/>
    <w:rsid w:val="0084461E"/>
    <w:rsid w:val="008448B3"/>
    <w:rsid w:val="00844DA0"/>
    <w:rsid w:val="00845179"/>
    <w:rsid w:val="0084555C"/>
    <w:rsid w:val="00845927"/>
    <w:rsid w:val="0085018F"/>
    <w:rsid w:val="00852F37"/>
    <w:rsid w:val="008537C0"/>
    <w:rsid w:val="00853C55"/>
    <w:rsid w:val="00854B66"/>
    <w:rsid w:val="00854E09"/>
    <w:rsid w:val="00855E87"/>
    <w:rsid w:val="0085725D"/>
    <w:rsid w:val="00857286"/>
    <w:rsid w:val="00857D84"/>
    <w:rsid w:val="00860635"/>
    <w:rsid w:val="0086068B"/>
    <w:rsid w:val="0086483F"/>
    <w:rsid w:val="0086611D"/>
    <w:rsid w:val="0087152C"/>
    <w:rsid w:val="00871910"/>
    <w:rsid w:val="00872393"/>
    <w:rsid w:val="0087597A"/>
    <w:rsid w:val="008765D0"/>
    <w:rsid w:val="00880A70"/>
    <w:rsid w:val="008813AE"/>
    <w:rsid w:val="008813BF"/>
    <w:rsid w:val="008814CE"/>
    <w:rsid w:val="008824F2"/>
    <w:rsid w:val="008829FE"/>
    <w:rsid w:val="00882E07"/>
    <w:rsid w:val="008835ED"/>
    <w:rsid w:val="00884E63"/>
    <w:rsid w:val="00885B92"/>
    <w:rsid w:val="00890064"/>
    <w:rsid w:val="0089062F"/>
    <w:rsid w:val="0089154B"/>
    <w:rsid w:val="0089226F"/>
    <w:rsid w:val="00893C1B"/>
    <w:rsid w:val="00893C60"/>
    <w:rsid w:val="00893F7C"/>
    <w:rsid w:val="00894C5C"/>
    <w:rsid w:val="00895D0C"/>
    <w:rsid w:val="00896AF9"/>
    <w:rsid w:val="008A0030"/>
    <w:rsid w:val="008A32E3"/>
    <w:rsid w:val="008A3BB4"/>
    <w:rsid w:val="008A3FFD"/>
    <w:rsid w:val="008A41F0"/>
    <w:rsid w:val="008A6C51"/>
    <w:rsid w:val="008A7F29"/>
    <w:rsid w:val="008B08EA"/>
    <w:rsid w:val="008B1399"/>
    <w:rsid w:val="008B1BE6"/>
    <w:rsid w:val="008B3AED"/>
    <w:rsid w:val="008B5B5A"/>
    <w:rsid w:val="008B5B6E"/>
    <w:rsid w:val="008B5E98"/>
    <w:rsid w:val="008B5EB8"/>
    <w:rsid w:val="008B78FE"/>
    <w:rsid w:val="008C0E28"/>
    <w:rsid w:val="008C135A"/>
    <w:rsid w:val="008C140F"/>
    <w:rsid w:val="008C227D"/>
    <w:rsid w:val="008C27EC"/>
    <w:rsid w:val="008C2D2D"/>
    <w:rsid w:val="008C2F0D"/>
    <w:rsid w:val="008C5B40"/>
    <w:rsid w:val="008C5E34"/>
    <w:rsid w:val="008C60DA"/>
    <w:rsid w:val="008C7A93"/>
    <w:rsid w:val="008D15C1"/>
    <w:rsid w:val="008D18F7"/>
    <w:rsid w:val="008D1A62"/>
    <w:rsid w:val="008D1ABC"/>
    <w:rsid w:val="008D3C76"/>
    <w:rsid w:val="008D5144"/>
    <w:rsid w:val="008D5E0A"/>
    <w:rsid w:val="008D641C"/>
    <w:rsid w:val="008D6746"/>
    <w:rsid w:val="008D69A1"/>
    <w:rsid w:val="008D6FAF"/>
    <w:rsid w:val="008E19B8"/>
    <w:rsid w:val="008E22AE"/>
    <w:rsid w:val="008E36E9"/>
    <w:rsid w:val="008E4942"/>
    <w:rsid w:val="008E67FF"/>
    <w:rsid w:val="008E73C2"/>
    <w:rsid w:val="008F0E87"/>
    <w:rsid w:val="008F15F0"/>
    <w:rsid w:val="008F1A82"/>
    <w:rsid w:val="008F290B"/>
    <w:rsid w:val="008F3091"/>
    <w:rsid w:val="008F439B"/>
    <w:rsid w:val="008F728F"/>
    <w:rsid w:val="008F79EA"/>
    <w:rsid w:val="00900F82"/>
    <w:rsid w:val="00902EF0"/>
    <w:rsid w:val="009052B1"/>
    <w:rsid w:val="00906BB7"/>
    <w:rsid w:val="00911250"/>
    <w:rsid w:val="00912067"/>
    <w:rsid w:val="00913194"/>
    <w:rsid w:val="00913870"/>
    <w:rsid w:val="009146C7"/>
    <w:rsid w:val="00915499"/>
    <w:rsid w:val="0091617E"/>
    <w:rsid w:val="0091711B"/>
    <w:rsid w:val="0092000F"/>
    <w:rsid w:val="00920AB6"/>
    <w:rsid w:val="00920C93"/>
    <w:rsid w:val="009239A9"/>
    <w:rsid w:val="00924194"/>
    <w:rsid w:val="00925485"/>
    <w:rsid w:val="00926323"/>
    <w:rsid w:val="00926D36"/>
    <w:rsid w:val="0093008E"/>
    <w:rsid w:val="00933110"/>
    <w:rsid w:val="0093558A"/>
    <w:rsid w:val="00935DD9"/>
    <w:rsid w:val="00936835"/>
    <w:rsid w:val="00936991"/>
    <w:rsid w:val="009376CB"/>
    <w:rsid w:val="00940EE8"/>
    <w:rsid w:val="009425EA"/>
    <w:rsid w:val="00943E95"/>
    <w:rsid w:val="00944A50"/>
    <w:rsid w:val="00945608"/>
    <w:rsid w:val="00947F41"/>
    <w:rsid w:val="0095002C"/>
    <w:rsid w:val="009507C0"/>
    <w:rsid w:val="0095124B"/>
    <w:rsid w:val="009512A9"/>
    <w:rsid w:val="0095145B"/>
    <w:rsid w:val="00951A7E"/>
    <w:rsid w:val="0095368F"/>
    <w:rsid w:val="009555C8"/>
    <w:rsid w:val="00956852"/>
    <w:rsid w:val="00957F17"/>
    <w:rsid w:val="00960822"/>
    <w:rsid w:val="00961F5B"/>
    <w:rsid w:val="009627BF"/>
    <w:rsid w:val="00962B93"/>
    <w:rsid w:val="00963B0A"/>
    <w:rsid w:val="00965237"/>
    <w:rsid w:val="009714E9"/>
    <w:rsid w:val="0097311C"/>
    <w:rsid w:val="00974A40"/>
    <w:rsid w:val="009778CD"/>
    <w:rsid w:val="00977BE5"/>
    <w:rsid w:val="00977BFF"/>
    <w:rsid w:val="00982664"/>
    <w:rsid w:val="00983719"/>
    <w:rsid w:val="00984BD2"/>
    <w:rsid w:val="00984F82"/>
    <w:rsid w:val="009854DE"/>
    <w:rsid w:val="00986B75"/>
    <w:rsid w:val="009903DA"/>
    <w:rsid w:val="00990B66"/>
    <w:rsid w:val="0099275C"/>
    <w:rsid w:val="009927E9"/>
    <w:rsid w:val="009931BF"/>
    <w:rsid w:val="0099393C"/>
    <w:rsid w:val="009951BF"/>
    <w:rsid w:val="009958AC"/>
    <w:rsid w:val="009971EB"/>
    <w:rsid w:val="009A0907"/>
    <w:rsid w:val="009A4169"/>
    <w:rsid w:val="009A515A"/>
    <w:rsid w:val="009A6655"/>
    <w:rsid w:val="009A720B"/>
    <w:rsid w:val="009A773E"/>
    <w:rsid w:val="009A7A9C"/>
    <w:rsid w:val="009B11C8"/>
    <w:rsid w:val="009B23FC"/>
    <w:rsid w:val="009B2498"/>
    <w:rsid w:val="009B2E5E"/>
    <w:rsid w:val="009B3021"/>
    <w:rsid w:val="009B6D89"/>
    <w:rsid w:val="009B75CC"/>
    <w:rsid w:val="009C0CBA"/>
    <w:rsid w:val="009C10BC"/>
    <w:rsid w:val="009C6748"/>
    <w:rsid w:val="009C6A70"/>
    <w:rsid w:val="009C6C82"/>
    <w:rsid w:val="009C6CBF"/>
    <w:rsid w:val="009C783C"/>
    <w:rsid w:val="009C7D8B"/>
    <w:rsid w:val="009C7EB9"/>
    <w:rsid w:val="009D1A62"/>
    <w:rsid w:val="009D26C4"/>
    <w:rsid w:val="009D587D"/>
    <w:rsid w:val="009D58B2"/>
    <w:rsid w:val="009D77D7"/>
    <w:rsid w:val="009E0081"/>
    <w:rsid w:val="009E2412"/>
    <w:rsid w:val="009E2926"/>
    <w:rsid w:val="009E3134"/>
    <w:rsid w:val="009E3D12"/>
    <w:rsid w:val="009E74B7"/>
    <w:rsid w:val="009F057F"/>
    <w:rsid w:val="009F05D1"/>
    <w:rsid w:val="009F0813"/>
    <w:rsid w:val="009F2EBA"/>
    <w:rsid w:val="009F2EFC"/>
    <w:rsid w:val="009F5030"/>
    <w:rsid w:val="009F5B12"/>
    <w:rsid w:val="009F5D2C"/>
    <w:rsid w:val="009F6943"/>
    <w:rsid w:val="009F6E4F"/>
    <w:rsid w:val="009F70DC"/>
    <w:rsid w:val="009F76F0"/>
    <w:rsid w:val="00A00883"/>
    <w:rsid w:val="00A00BBC"/>
    <w:rsid w:val="00A013F5"/>
    <w:rsid w:val="00A01435"/>
    <w:rsid w:val="00A02C80"/>
    <w:rsid w:val="00A05F5D"/>
    <w:rsid w:val="00A07538"/>
    <w:rsid w:val="00A109FD"/>
    <w:rsid w:val="00A13363"/>
    <w:rsid w:val="00A13703"/>
    <w:rsid w:val="00A13ECE"/>
    <w:rsid w:val="00A13F1F"/>
    <w:rsid w:val="00A16121"/>
    <w:rsid w:val="00A16E00"/>
    <w:rsid w:val="00A20304"/>
    <w:rsid w:val="00A20B41"/>
    <w:rsid w:val="00A215B9"/>
    <w:rsid w:val="00A21B3C"/>
    <w:rsid w:val="00A221A7"/>
    <w:rsid w:val="00A22A22"/>
    <w:rsid w:val="00A23FB4"/>
    <w:rsid w:val="00A2558D"/>
    <w:rsid w:val="00A257A6"/>
    <w:rsid w:val="00A2746B"/>
    <w:rsid w:val="00A316CA"/>
    <w:rsid w:val="00A328F0"/>
    <w:rsid w:val="00A32DB9"/>
    <w:rsid w:val="00A33865"/>
    <w:rsid w:val="00A35BC8"/>
    <w:rsid w:val="00A35BF1"/>
    <w:rsid w:val="00A404F6"/>
    <w:rsid w:val="00A4166E"/>
    <w:rsid w:val="00A41CF4"/>
    <w:rsid w:val="00A423E5"/>
    <w:rsid w:val="00A42DAC"/>
    <w:rsid w:val="00A47A65"/>
    <w:rsid w:val="00A5072F"/>
    <w:rsid w:val="00A529A1"/>
    <w:rsid w:val="00A53365"/>
    <w:rsid w:val="00A538C1"/>
    <w:rsid w:val="00A54310"/>
    <w:rsid w:val="00A551C5"/>
    <w:rsid w:val="00A56294"/>
    <w:rsid w:val="00A56C35"/>
    <w:rsid w:val="00A61FFF"/>
    <w:rsid w:val="00A626BF"/>
    <w:rsid w:val="00A639A6"/>
    <w:rsid w:val="00A639E0"/>
    <w:rsid w:val="00A65BB4"/>
    <w:rsid w:val="00A679B9"/>
    <w:rsid w:val="00A67A43"/>
    <w:rsid w:val="00A67CF7"/>
    <w:rsid w:val="00A7060D"/>
    <w:rsid w:val="00A70905"/>
    <w:rsid w:val="00A715E3"/>
    <w:rsid w:val="00A72EDB"/>
    <w:rsid w:val="00A732E0"/>
    <w:rsid w:val="00A73B15"/>
    <w:rsid w:val="00A74AC7"/>
    <w:rsid w:val="00A8040D"/>
    <w:rsid w:val="00A804D4"/>
    <w:rsid w:val="00A80758"/>
    <w:rsid w:val="00A808B5"/>
    <w:rsid w:val="00A82F15"/>
    <w:rsid w:val="00A83F91"/>
    <w:rsid w:val="00A85E8E"/>
    <w:rsid w:val="00A86251"/>
    <w:rsid w:val="00A86667"/>
    <w:rsid w:val="00A86718"/>
    <w:rsid w:val="00A8698A"/>
    <w:rsid w:val="00A869D1"/>
    <w:rsid w:val="00A86A37"/>
    <w:rsid w:val="00A86EAB"/>
    <w:rsid w:val="00A87593"/>
    <w:rsid w:val="00A90A88"/>
    <w:rsid w:val="00A9459E"/>
    <w:rsid w:val="00A94A34"/>
    <w:rsid w:val="00A953F4"/>
    <w:rsid w:val="00A9666B"/>
    <w:rsid w:val="00A96697"/>
    <w:rsid w:val="00A972FF"/>
    <w:rsid w:val="00AA0E6C"/>
    <w:rsid w:val="00AA115A"/>
    <w:rsid w:val="00AA12CE"/>
    <w:rsid w:val="00AA4D4E"/>
    <w:rsid w:val="00AA5293"/>
    <w:rsid w:val="00AA58F0"/>
    <w:rsid w:val="00AA5D90"/>
    <w:rsid w:val="00AA7B8A"/>
    <w:rsid w:val="00AB01E3"/>
    <w:rsid w:val="00AB10F3"/>
    <w:rsid w:val="00AB2265"/>
    <w:rsid w:val="00AB4A67"/>
    <w:rsid w:val="00AB5735"/>
    <w:rsid w:val="00AB68BC"/>
    <w:rsid w:val="00AB6916"/>
    <w:rsid w:val="00AB73CE"/>
    <w:rsid w:val="00AC0663"/>
    <w:rsid w:val="00AC1D6B"/>
    <w:rsid w:val="00AC2F20"/>
    <w:rsid w:val="00AC35B8"/>
    <w:rsid w:val="00AC3F19"/>
    <w:rsid w:val="00AC53B4"/>
    <w:rsid w:val="00AC5F27"/>
    <w:rsid w:val="00AC6466"/>
    <w:rsid w:val="00AC7451"/>
    <w:rsid w:val="00AC77AE"/>
    <w:rsid w:val="00AD05E6"/>
    <w:rsid w:val="00AD102A"/>
    <w:rsid w:val="00AD1C16"/>
    <w:rsid w:val="00AD2BF3"/>
    <w:rsid w:val="00AD4629"/>
    <w:rsid w:val="00AE065B"/>
    <w:rsid w:val="00AE2D1F"/>
    <w:rsid w:val="00AE3BBC"/>
    <w:rsid w:val="00AE4311"/>
    <w:rsid w:val="00AE5B2E"/>
    <w:rsid w:val="00AE7E39"/>
    <w:rsid w:val="00AF02DD"/>
    <w:rsid w:val="00AF09BE"/>
    <w:rsid w:val="00AF3A96"/>
    <w:rsid w:val="00AF50CE"/>
    <w:rsid w:val="00AF5B23"/>
    <w:rsid w:val="00AF5E1F"/>
    <w:rsid w:val="00B00D2E"/>
    <w:rsid w:val="00B015E2"/>
    <w:rsid w:val="00B052D4"/>
    <w:rsid w:val="00B05767"/>
    <w:rsid w:val="00B0619E"/>
    <w:rsid w:val="00B06CB3"/>
    <w:rsid w:val="00B07DF4"/>
    <w:rsid w:val="00B1007D"/>
    <w:rsid w:val="00B10832"/>
    <w:rsid w:val="00B1196B"/>
    <w:rsid w:val="00B1197E"/>
    <w:rsid w:val="00B121FD"/>
    <w:rsid w:val="00B125B0"/>
    <w:rsid w:val="00B1319B"/>
    <w:rsid w:val="00B173E2"/>
    <w:rsid w:val="00B17773"/>
    <w:rsid w:val="00B20B21"/>
    <w:rsid w:val="00B21324"/>
    <w:rsid w:val="00B2208C"/>
    <w:rsid w:val="00B22AEB"/>
    <w:rsid w:val="00B22D08"/>
    <w:rsid w:val="00B22E05"/>
    <w:rsid w:val="00B23BC0"/>
    <w:rsid w:val="00B24B0E"/>
    <w:rsid w:val="00B2632D"/>
    <w:rsid w:val="00B27AC5"/>
    <w:rsid w:val="00B30F34"/>
    <w:rsid w:val="00B312A4"/>
    <w:rsid w:val="00B3362B"/>
    <w:rsid w:val="00B34773"/>
    <w:rsid w:val="00B35214"/>
    <w:rsid w:val="00B36A26"/>
    <w:rsid w:val="00B4078A"/>
    <w:rsid w:val="00B4191B"/>
    <w:rsid w:val="00B41938"/>
    <w:rsid w:val="00B437DC"/>
    <w:rsid w:val="00B4381D"/>
    <w:rsid w:val="00B43D79"/>
    <w:rsid w:val="00B441E0"/>
    <w:rsid w:val="00B44567"/>
    <w:rsid w:val="00B47675"/>
    <w:rsid w:val="00B5169A"/>
    <w:rsid w:val="00B51BAA"/>
    <w:rsid w:val="00B524B4"/>
    <w:rsid w:val="00B54BFE"/>
    <w:rsid w:val="00B55367"/>
    <w:rsid w:val="00B55FCE"/>
    <w:rsid w:val="00B56873"/>
    <w:rsid w:val="00B61C6D"/>
    <w:rsid w:val="00B61F11"/>
    <w:rsid w:val="00B6267F"/>
    <w:rsid w:val="00B63A55"/>
    <w:rsid w:val="00B659A3"/>
    <w:rsid w:val="00B65F32"/>
    <w:rsid w:val="00B67C1D"/>
    <w:rsid w:val="00B727B7"/>
    <w:rsid w:val="00B72F66"/>
    <w:rsid w:val="00B741AA"/>
    <w:rsid w:val="00B74664"/>
    <w:rsid w:val="00B74783"/>
    <w:rsid w:val="00B75A1B"/>
    <w:rsid w:val="00B77E22"/>
    <w:rsid w:val="00B8051E"/>
    <w:rsid w:val="00B818CC"/>
    <w:rsid w:val="00B83ADF"/>
    <w:rsid w:val="00B83C18"/>
    <w:rsid w:val="00B83D2C"/>
    <w:rsid w:val="00B8450C"/>
    <w:rsid w:val="00B846FC"/>
    <w:rsid w:val="00B87F3F"/>
    <w:rsid w:val="00B91AFA"/>
    <w:rsid w:val="00B92577"/>
    <w:rsid w:val="00B95A3E"/>
    <w:rsid w:val="00B9647D"/>
    <w:rsid w:val="00B96825"/>
    <w:rsid w:val="00B9713F"/>
    <w:rsid w:val="00B97D43"/>
    <w:rsid w:val="00BA1327"/>
    <w:rsid w:val="00BA190E"/>
    <w:rsid w:val="00BA1C28"/>
    <w:rsid w:val="00BA32ED"/>
    <w:rsid w:val="00BA5609"/>
    <w:rsid w:val="00BA798D"/>
    <w:rsid w:val="00BA7F8F"/>
    <w:rsid w:val="00BB00A4"/>
    <w:rsid w:val="00BB0263"/>
    <w:rsid w:val="00BB189E"/>
    <w:rsid w:val="00BB3C4F"/>
    <w:rsid w:val="00BB4415"/>
    <w:rsid w:val="00BB48B3"/>
    <w:rsid w:val="00BB5DE0"/>
    <w:rsid w:val="00BB6626"/>
    <w:rsid w:val="00BB6FEC"/>
    <w:rsid w:val="00BC05E4"/>
    <w:rsid w:val="00BC16D0"/>
    <w:rsid w:val="00BC190E"/>
    <w:rsid w:val="00BC5AE8"/>
    <w:rsid w:val="00BD02DE"/>
    <w:rsid w:val="00BD0360"/>
    <w:rsid w:val="00BD136C"/>
    <w:rsid w:val="00BD1DCA"/>
    <w:rsid w:val="00BD3E55"/>
    <w:rsid w:val="00BD412E"/>
    <w:rsid w:val="00BD64A7"/>
    <w:rsid w:val="00BD6AEF"/>
    <w:rsid w:val="00BE3DDA"/>
    <w:rsid w:val="00BE410C"/>
    <w:rsid w:val="00BE5CA5"/>
    <w:rsid w:val="00BE6865"/>
    <w:rsid w:val="00BE6946"/>
    <w:rsid w:val="00BE6A68"/>
    <w:rsid w:val="00BE795B"/>
    <w:rsid w:val="00BF2310"/>
    <w:rsid w:val="00BF3055"/>
    <w:rsid w:val="00BF4306"/>
    <w:rsid w:val="00BF44A2"/>
    <w:rsid w:val="00BF49D4"/>
    <w:rsid w:val="00BF4BD7"/>
    <w:rsid w:val="00BF68AC"/>
    <w:rsid w:val="00BF6B94"/>
    <w:rsid w:val="00C043B7"/>
    <w:rsid w:val="00C06C33"/>
    <w:rsid w:val="00C11A4F"/>
    <w:rsid w:val="00C14044"/>
    <w:rsid w:val="00C153A4"/>
    <w:rsid w:val="00C159AE"/>
    <w:rsid w:val="00C16306"/>
    <w:rsid w:val="00C20EB7"/>
    <w:rsid w:val="00C2196C"/>
    <w:rsid w:val="00C24A4C"/>
    <w:rsid w:val="00C24EAE"/>
    <w:rsid w:val="00C259D7"/>
    <w:rsid w:val="00C25B15"/>
    <w:rsid w:val="00C30876"/>
    <w:rsid w:val="00C314EE"/>
    <w:rsid w:val="00C31D75"/>
    <w:rsid w:val="00C32818"/>
    <w:rsid w:val="00C333FF"/>
    <w:rsid w:val="00C33D66"/>
    <w:rsid w:val="00C346F3"/>
    <w:rsid w:val="00C34BAE"/>
    <w:rsid w:val="00C35CD5"/>
    <w:rsid w:val="00C35E32"/>
    <w:rsid w:val="00C373B0"/>
    <w:rsid w:val="00C4088F"/>
    <w:rsid w:val="00C40C44"/>
    <w:rsid w:val="00C41612"/>
    <w:rsid w:val="00C42A6A"/>
    <w:rsid w:val="00C44A10"/>
    <w:rsid w:val="00C44E8E"/>
    <w:rsid w:val="00C467C5"/>
    <w:rsid w:val="00C46E6A"/>
    <w:rsid w:val="00C47578"/>
    <w:rsid w:val="00C51C8C"/>
    <w:rsid w:val="00C51FEC"/>
    <w:rsid w:val="00C52A8A"/>
    <w:rsid w:val="00C5388D"/>
    <w:rsid w:val="00C54980"/>
    <w:rsid w:val="00C54CB2"/>
    <w:rsid w:val="00C55672"/>
    <w:rsid w:val="00C55ACA"/>
    <w:rsid w:val="00C5670D"/>
    <w:rsid w:val="00C575BC"/>
    <w:rsid w:val="00C579A9"/>
    <w:rsid w:val="00C60B30"/>
    <w:rsid w:val="00C60E41"/>
    <w:rsid w:val="00C60F0A"/>
    <w:rsid w:val="00C612F9"/>
    <w:rsid w:val="00C623CC"/>
    <w:rsid w:val="00C63535"/>
    <w:rsid w:val="00C635A8"/>
    <w:rsid w:val="00C6525A"/>
    <w:rsid w:val="00C652EB"/>
    <w:rsid w:val="00C65354"/>
    <w:rsid w:val="00C656F3"/>
    <w:rsid w:val="00C701C6"/>
    <w:rsid w:val="00C72D17"/>
    <w:rsid w:val="00C7476A"/>
    <w:rsid w:val="00C749A0"/>
    <w:rsid w:val="00C76663"/>
    <w:rsid w:val="00C8003B"/>
    <w:rsid w:val="00C80B33"/>
    <w:rsid w:val="00C814F3"/>
    <w:rsid w:val="00C816CE"/>
    <w:rsid w:val="00C823B0"/>
    <w:rsid w:val="00C83FAD"/>
    <w:rsid w:val="00C8415C"/>
    <w:rsid w:val="00C86777"/>
    <w:rsid w:val="00C87987"/>
    <w:rsid w:val="00C901A6"/>
    <w:rsid w:val="00C90952"/>
    <w:rsid w:val="00C93263"/>
    <w:rsid w:val="00C939D1"/>
    <w:rsid w:val="00C941AC"/>
    <w:rsid w:val="00C958B5"/>
    <w:rsid w:val="00C96B30"/>
    <w:rsid w:val="00C97AD4"/>
    <w:rsid w:val="00CA0B48"/>
    <w:rsid w:val="00CA2288"/>
    <w:rsid w:val="00CA35E6"/>
    <w:rsid w:val="00CA41B8"/>
    <w:rsid w:val="00CA4D48"/>
    <w:rsid w:val="00CA4EC3"/>
    <w:rsid w:val="00CA700C"/>
    <w:rsid w:val="00CA723B"/>
    <w:rsid w:val="00CA7DD6"/>
    <w:rsid w:val="00CB05B4"/>
    <w:rsid w:val="00CB1D51"/>
    <w:rsid w:val="00CB2C30"/>
    <w:rsid w:val="00CB45C2"/>
    <w:rsid w:val="00CC1C93"/>
    <w:rsid w:val="00CC1F1C"/>
    <w:rsid w:val="00CC208C"/>
    <w:rsid w:val="00CC23AB"/>
    <w:rsid w:val="00CC2C52"/>
    <w:rsid w:val="00CC2DBB"/>
    <w:rsid w:val="00CC3402"/>
    <w:rsid w:val="00CC4C0F"/>
    <w:rsid w:val="00CC5FAC"/>
    <w:rsid w:val="00CD073C"/>
    <w:rsid w:val="00CD0D18"/>
    <w:rsid w:val="00CD316E"/>
    <w:rsid w:val="00CD3F96"/>
    <w:rsid w:val="00CD418B"/>
    <w:rsid w:val="00CD54AB"/>
    <w:rsid w:val="00CD5E08"/>
    <w:rsid w:val="00CD6869"/>
    <w:rsid w:val="00CD74E1"/>
    <w:rsid w:val="00CE0EF9"/>
    <w:rsid w:val="00CE1252"/>
    <w:rsid w:val="00CE1408"/>
    <w:rsid w:val="00CE1A04"/>
    <w:rsid w:val="00CE1D00"/>
    <w:rsid w:val="00CE35D9"/>
    <w:rsid w:val="00CE3A4C"/>
    <w:rsid w:val="00CE41FB"/>
    <w:rsid w:val="00CE6BC8"/>
    <w:rsid w:val="00CF4F69"/>
    <w:rsid w:val="00CF5CE9"/>
    <w:rsid w:val="00CF5E0F"/>
    <w:rsid w:val="00CF699C"/>
    <w:rsid w:val="00D02396"/>
    <w:rsid w:val="00D03850"/>
    <w:rsid w:val="00D0470A"/>
    <w:rsid w:val="00D054BC"/>
    <w:rsid w:val="00D063DA"/>
    <w:rsid w:val="00D06678"/>
    <w:rsid w:val="00D06942"/>
    <w:rsid w:val="00D07D24"/>
    <w:rsid w:val="00D10802"/>
    <w:rsid w:val="00D10AAC"/>
    <w:rsid w:val="00D121E0"/>
    <w:rsid w:val="00D14BAA"/>
    <w:rsid w:val="00D15EC5"/>
    <w:rsid w:val="00D16A0A"/>
    <w:rsid w:val="00D2033F"/>
    <w:rsid w:val="00D216E9"/>
    <w:rsid w:val="00D21B87"/>
    <w:rsid w:val="00D21BED"/>
    <w:rsid w:val="00D2602C"/>
    <w:rsid w:val="00D26484"/>
    <w:rsid w:val="00D3060D"/>
    <w:rsid w:val="00D30A56"/>
    <w:rsid w:val="00D30C52"/>
    <w:rsid w:val="00D31ED6"/>
    <w:rsid w:val="00D351F1"/>
    <w:rsid w:val="00D35936"/>
    <w:rsid w:val="00D3691B"/>
    <w:rsid w:val="00D403FA"/>
    <w:rsid w:val="00D4096F"/>
    <w:rsid w:val="00D4119C"/>
    <w:rsid w:val="00D42B45"/>
    <w:rsid w:val="00D4364B"/>
    <w:rsid w:val="00D43DAD"/>
    <w:rsid w:val="00D46E0B"/>
    <w:rsid w:val="00D47551"/>
    <w:rsid w:val="00D50101"/>
    <w:rsid w:val="00D524CC"/>
    <w:rsid w:val="00D536A6"/>
    <w:rsid w:val="00D566F3"/>
    <w:rsid w:val="00D575A3"/>
    <w:rsid w:val="00D601E7"/>
    <w:rsid w:val="00D63E35"/>
    <w:rsid w:val="00D64D1B"/>
    <w:rsid w:val="00D67409"/>
    <w:rsid w:val="00D70DFC"/>
    <w:rsid w:val="00D72384"/>
    <w:rsid w:val="00D74175"/>
    <w:rsid w:val="00D766A3"/>
    <w:rsid w:val="00D76E05"/>
    <w:rsid w:val="00D76F0D"/>
    <w:rsid w:val="00D80A2A"/>
    <w:rsid w:val="00D80D34"/>
    <w:rsid w:val="00D818FA"/>
    <w:rsid w:val="00D82906"/>
    <w:rsid w:val="00D83C5E"/>
    <w:rsid w:val="00D83E7E"/>
    <w:rsid w:val="00D86378"/>
    <w:rsid w:val="00D86769"/>
    <w:rsid w:val="00D871F8"/>
    <w:rsid w:val="00D90046"/>
    <w:rsid w:val="00D9084F"/>
    <w:rsid w:val="00D92534"/>
    <w:rsid w:val="00D959F0"/>
    <w:rsid w:val="00D968B2"/>
    <w:rsid w:val="00D9691B"/>
    <w:rsid w:val="00D96C54"/>
    <w:rsid w:val="00D96D07"/>
    <w:rsid w:val="00DA15DD"/>
    <w:rsid w:val="00DA2E47"/>
    <w:rsid w:val="00DA34F1"/>
    <w:rsid w:val="00DA4B79"/>
    <w:rsid w:val="00DA5D25"/>
    <w:rsid w:val="00DA620A"/>
    <w:rsid w:val="00DA7011"/>
    <w:rsid w:val="00DB551C"/>
    <w:rsid w:val="00DB56A5"/>
    <w:rsid w:val="00DB7081"/>
    <w:rsid w:val="00DC0619"/>
    <w:rsid w:val="00DC2527"/>
    <w:rsid w:val="00DC3147"/>
    <w:rsid w:val="00DC3189"/>
    <w:rsid w:val="00DC34C1"/>
    <w:rsid w:val="00DC43F9"/>
    <w:rsid w:val="00DC454B"/>
    <w:rsid w:val="00DC4C06"/>
    <w:rsid w:val="00DC543A"/>
    <w:rsid w:val="00DC675D"/>
    <w:rsid w:val="00DC6B73"/>
    <w:rsid w:val="00DC6DCF"/>
    <w:rsid w:val="00DC718F"/>
    <w:rsid w:val="00DD05E5"/>
    <w:rsid w:val="00DD1C3A"/>
    <w:rsid w:val="00DD2345"/>
    <w:rsid w:val="00DD58B0"/>
    <w:rsid w:val="00DD5A2A"/>
    <w:rsid w:val="00DD5A53"/>
    <w:rsid w:val="00DD5D2A"/>
    <w:rsid w:val="00DD61FA"/>
    <w:rsid w:val="00DD6AE2"/>
    <w:rsid w:val="00DD6D80"/>
    <w:rsid w:val="00DD7D94"/>
    <w:rsid w:val="00DE05D3"/>
    <w:rsid w:val="00DE57C4"/>
    <w:rsid w:val="00DE6B05"/>
    <w:rsid w:val="00DE7920"/>
    <w:rsid w:val="00DE7B21"/>
    <w:rsid w:val="00DF019E"/>
    <w:rsid w:val="00DF10B1"/>
    <w:rsid w:val="00DF1518"/>
    <w:rsid w:val="00DF1C15"/>
    <w:rsid w:val="00DF23AD"/>
    <w:rsid w:val="00DF2858"/>
    <w:rsid w:val="00DF2A3B"/>
    <w:rsid w:val="00DF2B30"/>
    <w:rsid w:val="00DF3642"/>
    <w:rsid w:val="00DF390B"/>
    <w:rsid w:val="00DF48C9"/>
    <w:rsid w:val="00DF505D"/>
    <w:rsid w:val="00DF6A5C"/>
    <w:rsid w:val="00DF72CE"/>
    <w:rsid w:val="00DF738D"/>
    <w:rsid w:val="00DF765F"/>
    <w:rsid w:val="00DF7D88"/>
    <w:rsid w:val="00DF7EBD"/>
    <w:rsid w:val="00E007F4"/>
    <w:rsid w:val="00E0197E"/>
    <w:rsid w:val="00E0238E"/>
    <w:rsid w:val="00E023CE"/>
    <w:rsid w:val="00E038BD"/>
    <w:rsid w:val="00E04E7F"/>
    <w:rsid w:val="00E05DD9"/>
    <w:rsid w:val="00E10011"/>
    <w:rsid w:val="00E10E39"/>
    <w:rsid w:val="00E11A41"/>
    <w:rsid w:val="00E12023"/>
    <w:rsid w:val="00E12F6B"/>
    <w:rsid w:val="00E15C0B"/>
    <w:rsid w:val="00E15F9D"/>
    <w:rsid w:val="00E1645B"/>
    <w:rsid w:val="00E1706C"/>
    <w:rsid w:val="00E20CE2"/>
    <w:rsid w:val="00E20E5F"/>
    <w:rsid w:val="00E2128F"/>
    <w:rsid w:val="00E21339"/>
    <w:rsid w:val="00E230D5"/>
    <w:rsid w:val="00E24921"/>
    <w:rsid w:val="00E2724D"/>
    <w:rsid w:val="00E315EA"/>
    <w:rsid w:val="00E32393"/>
    <w:rsid w:val="00E37130"/>
    <w:rsid w:val="00E408B0"/>
    <w:rsid w:val="00E41640"/>
    <w:rsid w:val="00E423D8"/>
    <w:rsid w:val="00E4364E"/>
    <w:rsid w:val="00E45562"/>
    <w:rsid w:val="00E455AD"/>
    <w:rsid w:val="00E45DD2"/>
    <w:rsid w:val="00E470FC"/>
    <w:rsid w:val="00E475FB"/>
    <w:rsid w:val="00E47C27"/>
    <w:rsid w:val="00E51F90"/>
    <w:rsid w:val="00E52D08"/>
    <w:rsid w:val="00E532CF"/>
    <w:rsid w:val="00E5355A"/>
    <w:rsid w:val="00E53ACB"/>
    <w:rsid w:val="00E54463"/>
    <w:rsid w:val="00E5465E"/>
    <w:rsid w:val="00E55656"/>
    <w:rsid w:val="00E57456"/>
    <w:rsid w:val="00E600C2"/>
    <w:rsid w:val="00E6072F"/>
    <w:rsid w:val="00E61710"/>
    <w:rsid w:val="00E6194C"/>
    <w:rsid w:val="00E6393D"/>
    <w:rsid w:val="00E647F1"/>
    <w:rsid w:val="00E64A10"/>
    <w:rsid w:val="00E64CBF"/>
    <w:rsid w:val="00E64D0D"/>
    <w:rsid w:val="00E64F9D"/>
    <w:rsid w:val="00E666DE"/>
    <w:rsid w:val="00E6679D"/>
    <w:rsid w:val="00E70296"/>
    <w:rsid w:val="00E7127F"/>
    <w:rsid w:val="00E723C2"/>
    <w:rsid w:val="00E7242C"/>
    <w:rsid w:val="00E72D52"/>
    <w:rsid w:val="00E73194"/>
    <w:rsid w:val="00E7389A"/>
    <w:rsid w:val="00E73BA7"/>
    <w:rsid w:val="00E74BCD"/>
    <w:rsid w:val="00E7577D"/>
    <w:rsid w:val="00E75D41"/>
    <w:rsid w:val="00E76694"/>
    <w:rsid w:val="00E77A39"/>
    <w:rsid w:val="00E81E7F"/>
    <w:rsid w:val="00E82FB7"/>
    <w:rsid w:val="00E832EE"/>
    <w:rsid w:val="00E83FE4"/>
    <w:rsid w:val="00E85CD4"/>
    <w:rsid w:val="00E87122"/>
    <w:rsid w:val="00E87B5E"/>
    <w:rsid w:val="00E91114"/>
    <w:rsid w:val="00E915F2"/>
    <w:rsid w:val="00E922AD"/>
    <w:rsid w:val="00E92DAA"/>
    <w:rsid w:val="00E94347"/>
    <w:rsid w:val="00E971B6"/>
    <w:rsid w:val="00EA0434"/>
    <w:rsid w:val="00EA096B"/>
    <w:rsid w:val="00EA1C79"/>
    <w:rsid w:val="00EA1E21"/>
    <w:rsid w:val="00EA3A97"/>
    <w:rsid w:val="00EA3CA8"/>
    <w:rsid w:val="00EA61BE"/>
    <w:rsid w:val="00EB0084"/>
    <w:rsid w:val="00EB0E6A"/>
    <w:rsid w:val="00EB0E92"/>
    <w:rsid w:val="00EB13F4"/>
    <w:rsid w:val="00EB15B6"/>
    <w:rsid w:val="00EB3D62"/>
    <w:rsid w:val="00EB4079"/>
    <w:rsid w:val="00EB54E6"/>
    <w:rsid w:val="00EB61BF"/>
    <w:rsid w:val="00EB61E7"/>
    <w:rsid w:val="00EB6417"/>
    <w:rsid w:val="00EC090F"/>
    <w:rsid w:val="00EC2AAD"/>
    <w:rsid w:val="00EC3295"/>
    <w:rsid w:val="00EC389D"/>
    <w:rsid w:val="00EC4ECD"/>
    <w:rsid w:val="00EC52E2"/>
    <w:rsid w:val="00EC584A"/>
    <w:rsid w:val="00EC59CE"/>
    <w:rsid w:val="00EC645B"/>
    <w:rsid w:val="00EC7B6C"/>
    <w:rsid w:val="00ED0799"/>
    <w:rsid w:val="00ED1B1E"/>
    <w:rsid w:val="00ED3B01"/>
    <w:rsid w:val="00ED5C38"/>
    <w:rsid w:val="00ED6A4E"/>
    <w:rsid w:val="00ED7592"/>
    <w:rsid w:val="00ED76A0"/>
    <w:rsid w:val="00EE0EDD"/>
    <w:rsid w:val="00EE14F6"/>
    <w:rsid w:val="00EE1988"/>
    <w:rsid w:val="00EE1A5E"/>
    <w:rsid w:val="00EE1D02"/>
    <w:rsid w:val="00EE1E49"/>
    <w:rsid w:val="00EE214A"/>
    <w:rsid w:val="00EE22D1"/>
    <w:rsid w:val="00EE3190"/>
    <w:rsid w:val="00EE5F8A"/>
    <w:rsid w:val="00EE62D3"/>
    <w:rsid w:val="00EF03FF"/>
    <w:rsid w:val="00EF2D7B"/>
    <w:rsid w:val="00EF3782"/>
    <w:rsid w:val="00EF5147"/>
    <w:rsid w:val="00EF75C6"/>
    <w:rsid w:val="00F00ABD"/>
    <w:rsid w:val="00F025CA"/>
    <w:rsid w:val="00F0276F"/>
    <w:rsid w:val="00F02FCC"/>
    <w:rsid w:val="00F07080"/>
    <w:rsid w:val="00F102E0"/>
    <w:rsid w:val="00F1044A"/>
    <w:rsid w:val="00F114CA"/>
    <w:rsid w:val="00F14ED0"/>
    <w:rsid w:val="00F153F4"/>
    <w:rsid w:val="00F15ADC"/>
    <w:rsid w:val="00F20889"/>
    <w:rsid w:val="00F2347A"/>
    <w:rsid w:val="00F25989"/>
    <w:rsid w:val="00F26B56"/>
    <w:rsid w:val="00F27E41"/>
    <w:rsid w:val="00F30923"/>
    <w:rsid w:val="00F312EF"/>
    <w:rsid w:val="00F3162B"/>
    <w:rsid w:val="00F331E7"/>
    <w:rsid w:val="00F343E4"/>
    <w:rsid w:val="00F34BC4"/>
    <w:rsid w:val="00F36A4F"/>
    <w:rsid w:val="00F37393"/>
    <w:rsid w:val="00F400AF"/>
    <w:rsid w:val="00F40517"/>
    <w:rsid w:val="00F418C1"/>
    <w:rsid w:val="00F4309F"/>
    <w:rsid w:val="00F431BA"/>
    <w:rsid w:val="00F44769"/>
    <w:rsid w:val="00F44C00"/>
    <w:rsid w:val="00F47742"/>
    <w:rsid w:val="00F5192E"/>
    <w:rsid w:val="00F51B0B"/>
    <w:rsid w:val="00F51E23"/>
    <w:rsid w:val="00F54426"/>
    <w:rsid w:val="00F56304"/>
    <w:rsid w:val="00F56794"/>
    <w:rsid w:val="00F577A3"/>
    <w:rsid w:val="00F603BB"/>
    <w:rsid w:val="00F623EB"/>
    <w:rsid w:val="00F62B77"/>
    <w:rsid w:val="00F63AD8"/>
    <w:rsid w:val="00F66724"/>
    <w:rsid w:val="00F66E99"/>
    <w:rsid w:val="00F67593"/>
    <w:rsid w:val="00F67830"/>
    <w:rsid w:val="00F7100D"/>
    <w:rsid w:val="00F71F85"/>
    <w:rsid w:val="00F734BD"/>
    <w:rsid w:val="00F7433E"/>
    <w:rsid w:val="00F75B7C"/>
    <w:rsid w:val="00F7642F"/>
    <w:rsid w:val="00F8100A"/>
    <w:rsid w:val="00F82D01"/>
    <w:rsid w:val="00F82DD1"/>
    <w:rsid w:val="00F83ACE"/>
    <w:rsid w:val="00F83AE1"/>
    <w:rsid w:val="00F864FB"/>
    <w:rsid w:val="00F86787"/>
    <w:rsid w:val="00F868BC"/>
    <w:rsid w:val="00F8692D"/>
    <w:rsid w:val="00F87322"/>
    <w:rsid w:val="00F909D7"/>
    <w:rsid w:val="00F90BBB"/>
    <w:rsid w:val="00F91713"/>
    <w:rsid w:val="00F918EB"/>
    <w:rsid w:val="00F94E9B"/>
    <w:rsid w:val="00F9536E"/>
    <w:rsid w:val="00F955D8"/>
    <w:rsid w:val="00FA32E9"/>
    <w:rsid w:val="00FA4293"/>
    <w:rsid w:val="00FA4324"/>
    <w:rsid w:val="00FA4EDE"/>
    <w:rsid w:val="00FA5216"/>
    <w:rsid w:val="00FA5CFD"/>
    <w:rsid w:val="00FA62B0"/>
    <w:rsid w:val="00FA6695"/>
    <w:rsid w:val="00FA7FE6"/>
    <w:rsid w:val="00FB1127"/>
    <w:rsid w:val="00FB1654"/>
    <w:rsid w:val="00FB18F9"/>
    <w:rsid w:val="00FB47A8"/>
    <w:rsid w:val="00FB5AD7"/>
    <w:rsid w:val="00FB7AC5"/>
    <w:rsid w:val="00FC1186"/>
    <w:rsid w:val="00FC1D69"/>
    <w:rsid w:val="00FC2F65"/>
    <w:rsid w:val="00FC3577"/>
    <w:rsid w:val="00FC3E67"/>
    <w:rsid w:val="00FC59B5"/>
    <w:rsid w:val="00FC5B10"/>
    <w:rsid w:val="00FC5D2F"/>
    <w:rsid w:val="00FC67B8"/>
    <w:rsid w:val="00FC6E28"/>
    <w:rsid w:val="00FC6F10"/>
    <w:rsid w:val="00FC73C4"/>
    <w:rsid w:val="00FC77D7"/>
    <w:rsid w:val="00FD0744"/>
    <w:rsid w:val="00FD0938"/>
    <w:rsid w:val="00FD1A37"/>
    <w:rsid w:val="00FD3A08"/>
    <w:rsid w:val="00FD4E93"/>
    <w:rsid w:val="00FD5CCC"/>
    <w:rsid w:val="00FD5FB7"/>
    <w:rsid w:val="00FD68D8"/>
    <w:rsid w:val="00FE1039"/>
    <w:rsid w:val="00FE2133"/>
    <w:rsid w:val="00FE310F"/>
    <w:rsid w:val="00FE4436"/>
    <w:rsid w:val="00FE5220"/>
    <w:rsid w:val="00FE5FFA"/>
    <w:rsid w:val="00FE6477"/>
    <w:rsid w:val="00FF3438"/>
    <w:rsid w:val="00FF42FE"/>
    <w:rsid w:val="00FF72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E740CF"/>
  <w15:chartTrackingRefBased/>
  <w15:docId w15:val="{D0D131C8-BDF0-4DE9-9CB6-E9DAC68A1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31" w:qFormat="1"/>
    <w:lsdException w:name="List Number" w:uiPriority="29" w:qFormat="1"/>
    <w:lsdException w:name="Title" w:uiPriority="10"/>
    <w:lsdException w:name="Default Paragraph Font" w:uiPriority="1"/>
    <w:lsdException w:name="Subtitle" w:uiPriority="11"/>
    <w:lsdException w:name="Hyperlink" w:uiPriority="99"/>
    <w:lsdException w:name="FollowedHyperlink" w:uiPriority="99"/>
    <w:lsdException w:name="Strong" w:uiPriority="22"/>
    <w:lsdException w:name="Emphasis" w:uiPriority="20" w:qFormat="1"/>
    <w:lsdException w:name="Normal (Web)" w:uiPriority="99"/>
    <w:lsdException w:name="HTML Cite" w:uiPriority="99"/>
    <w:lsdException w:name="HTML Keyboard" w:semiHidden="1" w:unhideWhenUsed="1"/>
    <w:lsdException w:name="HTML Preformatted" w:semiHidden="1" w:unhideWhenUsed="1"/>
    <w:lsdException w:name="HTML Vari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A35BC8"/>
  </w:style>
  <w:style w:type="paragraph" w:styleId="Nadpis1">
    <w:name w:val="heading 1"/>
    <w:basedOn w:val="ZPNadpis1"/>
    <w:next w:val="Odstavec1"/>
    <w:link w:val="Nadpis1Char"/>
    <w:uiPriority w:val="9"/>
    <w:qFormat/>
    <w:rsid w:val="00A35BC8"/>
    <w:pPr>
      <w:numPr>
        <w:numId w:val="36"/>
      </w:numPr>
    </w:pPr>
  </w:style>
  <w:style w:type="paragraph" w:styleId="Nadpis2">
    <w:name w:val="heading 2"/>
    <w:basedOn w:val="ZPNadpis2"/>
    <w:next w:val="Odstavec1"/>
    <w:link w:val="Nadpis2Char"/>
    <w:uiPriority w:val="1"/>
    <w:qFormat/>
    <w:rsid w:val="00A35BC8"/>
    <w:pPr>
      <w:numPr>
        <w:ilvl w:val="1"/>
        <w:numId w:val="36"/>
      </w:numPr>
    </w:pPr>
    <w:rPr>
      <w:bCs w:val="0"/>
      <w:iCs/>
    </w:rPr>
  </w:style>
  <w:style w:type="paragraph" w:styleId="Nadpis3">
    <w:name w:val="heading 3"/>
    <w:basedOn w:val="ZPNadpis3"/>
    <w:next w:val="Odstavec1"/>
    <w:link w:val="Nadpis3Char"/>
    <w:uiPriority w:val="9"/>
    <w:qFormat/>
    <w:rsid w:val="00A35BC8"/>
    <w:pPr>
      <w:numPr>
        <w:ilvl w:val="2"/>
        <w:numId w:val="36"/>
      </w:numPr>
    </w:pPr>
  </w:style>
  <w:style w:type="paragraph" w:styleId="Nadpis4">
    <w:name w:val="heading 4"/>
    <w:basedOn w:val="Normln"/>
    <w:next w:val="Normln"/>
    <w:link w:val="Nadpis4Char"/>
    <w:uiPriority w:val="9"/>
    <w:unhideWhenUsed/>
    <w:rsid w:val="00A35BC8"/>
    <w:pPr>
      <w:keepNext/>
      <w:spacing w:before="240" w:after="60"/>
      <w:outlineLvl w:val="3"/>
    </w:pPr>
    <w:rPr>
      <w:rFonts w:ascii="Calibri" w:hAnsi="Calibri"/>
      <w:b/>
      <w:bCs/>
      <w:sz w:val="28"/>
      <w:szCs w:val="28"/>
    </w:rPr>
  </w:style>
  <w:style w:type="paragraph" w:styleId="Nadpis5">
    <w:name w:val="heading 5"/>
    <w:basedOn w:val="Nadpis3"/>
    <w:next w:val="Normln"/>
    <w:link w:val="Nadpis5Char"/>
    <w:uiPriority w:val="9"/>
    <w:rsid w:val="00A35BC8"/>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A35BC8"/>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A35BC8"/>
    <w:pPr>
      <w:spacing w:before="240" w:after="60"/>
      <w:outlineLvl w:val="6"/>
    </w:pPr>
    <w:rPr>
      <w:rFonts w:ascii="Calibri" w:hAnsi="Calibri"/>
    </w:rPr>
  </w:style>
  <w:style w:type="paragraph" w:styleId="Nadpis8">
    <w:name w:val="heading 8"/>
    <w:basedOn w:val="Nadpis3"/>
    <w:next w:val="Normln"/>
    <w:link w:val="Nadpis8Char"/>
    <w:uiPriority w:val="9"/>
    <w:rsid w:val="00A35BC8"/>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A35BC8"/>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A35BC8"/>
    <w:rPr>
      <w:rFonts w:ascii="Calibri" w:hAnsi="Calibri"/>
      <w:b/>
      <w:bCs/>
      <w:sz w:val="28"/>
      <w:szCs w:val="28"/>
    </w:rPr>
  </w:style>
  <w:style w:type="character" w:customStyle="1" w:styleId="Nadpis6Char">
    <w:name w:val="Nadpis 6 Char"/>
    <w:link w:val="Nadpis6"/>
    <w:uiPriority w:val="9"/>
    <w:rsid w:val="00A35BC8"/>
    <w:rPr>
      <w:rFonts w:ascii="Calibri" w:hAnsi="Calibri"/>
      <w:b/>
      <w:bCs/>
      <w:sz w:val="22"/>
      <w:szCs w:val="22"/>
    </w:rPr>
  </w:style>
  <w:style w:type="character" w:customStyle="1" w:styleId="Nadpis7Char">
    <w:name w:val="Nadpis 7 Char"/>
    <w:link w:val="Nadpis7"/>
    <w:uiPriority w:val="9"/>
    <w:rsid w:val="00A35BC8"/>
    <w:rPr>
      <w:rFonts w:ascii="Calibri" w:hAnsi="Calibri"/>
    </w:rPr>
  </w:style>
  <w:style w:type="character" w:customStyle="1" w:styleId="Nadpis9Char">
    <w:name w:val="Nadpis 9 Char"/>
    <w:link w:val="Nadpis9"/>
    <w:uiPriority w:val="9"/>
    <w:rsid w:val="00A35BC8"/>
    <w:rPr>
      <w:sz w:val="22"/>
      <w:szCs w:val="22"/>
    </w:rPr>
  </w:style>
  <w:style w:type="paragraph" w:styleId="Obsah1">
    <w:name w:val="toc 1"/>
    <w:basedOn w:val="ZP-Nadpisyzklad"/>
    <w:uiPriority w:val="39"/>
    <w:rsid w:val="00A35BC8"/>
    <w:pPr>
      <w:tabs>
        <w:tab w:val="left" w:pos="480"/>
        <w:tab w:val="right" w:pos="8505"/>
      </w:tabs>
      <w:spacing w:before="240" w:after="120" w:line="280" w:lineRule="atLeast"/>
      <w:ind w:left="482" w:right="-2" w:hanging="482"/>
    </w:pPr>
    <w:rPr>
      <w:b/>
      <w:bCs w:val="0"/>
      <w:noProof/>
      <w:color w:val="0000DC"/>
    </w:rPr>
  </w:style>
  <w:style w:type="paragraph" w:customStyle="1" w:styleId="ZPZklad">
    <w:name w:val="ZP: Základ"/>
    <w:link w:val="ZPZkladChar"/>
    <w:rsid w:val="00A35BC8"/>
    <w:pPr>
      <w:spacing w:line="300" w:lineRule="atLeast"/>
      <w:jc w:val="both"/>
    </w:pPr>
  </w:style>
  <w:style w:type="paragraph" w:customStyle="1" w:styleId="Dalodstavce">
    <w:name w:val="Další odstavce"/>
    <w:basedOn w:val="ZPZklad"/>
    <w:link w:val="DalodstavceChar"/>
    <w:uiPriority w:val="10"/>
    <w:qFormat/>
    <w:rsid w:val="00A35BC8"/>
    <w:pPr>
      <w:ind w:firstLine="482"/>
    </w:pPr>
  </w:style>
  <w:style w:type="character" w:customStyle="1" w:styleId="DalodstavceChar">
    <w:name w:val="Další odstavce Char"/>
    <w:basedOn w:val="ZPZkladChar"/>
    <w:link w:val="Dalodstavce"/>
    <w:uiPriority w:val="10"/>
    <w:rsid w:val="00A35BC8"/>
  </w:style>
  <w:style w:type="character" w:customStyle="1" w:styleId="ZPZkladChar">
    <w:name w:val="ZP: Základ Char"/>
    <w:link w:val="ZPZklad"/>
    <w:rsid w:val="00A35BC8"/>
  </w:style>
  <w:style w:type="paragraph" w:customStyle="1" w:styleId="inZPNadpisy">
    <w:name w:val="inZP: Nadpisy"/>
    <w:basedOn w:val="ZPZklad"/>
    <w:link w:val="inZPNadpisyChar"/>
    <w:rsid w:val="00A35BC8"/>
    <w:pPr>
      <w:keepNext/>
      <w:keepLines/>
      <w:suppressAutoHyphens/>
      <w:jc w:val="left"/>
    </w:pPr>
    <w:rPr>
      <w:rFonts w:asciiTheme="majorHAnsi" w:hAnsiTheme="majorHAnsi"/>
      <w:b/>
      <w:kern w:val="32"/>
    </w:rPr>
  </w:style>
  <w:style w:type="character" w:customStyle="1" w:styleId="inZPNadpisyChar">
    <w:name w:val="inZP: Nadpisy Char"/>
    <w:link w:val="inZPNadpisy"/>
    <w:rsid w:val="00A35BC8"/>
    <w:rPr>
      <w:rFonts w:asciiTheme="majorHAnsi" w:hAnsiTheme="majorHAnsi"/>
      <w:b/>
      <w:kern w:val="32"/>
    </w:rPr>
  </w:style>
  <w:style w:type="paragraph" w:customStyle="1" w:styleId="ZPNadpis1vodn">
    <w:name w:val="ZP Nadpis 1 úvodní"/>
    <w:basedOn w:val="ZPNadpisy1"/>
    <w:rsid w:val="00A35BC8"/>
  </w:style>
  <w:style w:type="paragraph" w:customStyle="1" w:styleId="ZPZapatlich">
    <w:name w:val="ZP Zapatí liché"/>
    <w:basedOn w:val="inZPZhlavapaty"/>
    <w:link w:val="ZPZapatlichChar"/>
    <w:rsid w:val="00A35BC8"/>
    <w:pPr>
      <w:jc w:val="right"/>
    </w:pPr>
  </w:style>
  <w:style w:type="paragraph" w:customStyle="1" w:styleId="podnadpis">
    <w:name w:val="podnadpis"/>
    <w:basedOn w:val="Normln"/>
    <w:semiHidden/>
    <w:rsid w:val="00A35BC8"/>
    <w:pPr>
      <w:numPr>
        <w:ilvl w:val="1"/>
        <w:numId w:val="35"/>
      </w:numPr>
    </w:pPr>
  </w:style>
  <w:style w:type="paragraph" w:customStyle="1" w:styleId="mujnadpis2">
    <w:name w:val="muj nadpis 2"/>
    <w:basedOn w:val="Normln"/>
    <w:semiHidden/>
    <w:rsid w:val="00A35BC8"/>
  </w:style>
  <w:style w:type="paragraph" w:customStyle="1" w:styleId="inZPZhlavstr">
    <w:name w:val="inZP: Záhlaví str."/>
    <w:basedOn w:val="inZPZhlavapaty"/>
    <w:link w:val="inZPZhlavstrChar"/>
    <w:rsid w:val="00A35BC8"/>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A35BC8"/>
    <w:pPr>
      <w:keepNext/>
      <w:keepLines/>
      <w:suppressAutoHyphens/>
      <w:jc w:val="center"/>
    </w:pPr>
    <w:rPr>
      <w:smallCaps/>
    </w:rPr>
  </w:style>
  <w:style w:type="character" w:customStyle="1" w:styleId="inZPZhlavapatyChar">
    <w:name w:val="inZP: Záhlaví a paty Char"/>
    <w:basedOn w:val="ZPZkladChar"/>
    <w:link w:val="inZPZhlavapaty"/>
    <w:rsid w:val="00A35BC8"/>
    <w:rPr>
      <w:smallCaps/>
    </w:rPr>
  </w:style>
  <w:style w:type="character" w:customStyle="1" w:styleId="inZPZhlavstrChar">
    <w:name w:val="inZP: Záhlaví str. Char"/>
    <w:basedOn w:val="inZPZhlavapatyChar"/>
    <w:link w:val="inZPZhlavstr"/>
    <w:rsid w:val="00A35BC8"/>
    <w:rPr>
      <w:rFonts w:asciiTheme="majorHAnsi" w:hAnsiTheme="majorHAnsi"/>
      <w:smallCaps/>
    </w:rPr>
  </w:style>
  <w:style w:type="numbering" w:customStyle="1" w:styleId="ZPVetsodrkami">
    <w:name w:val="ZP: Výčet s odrážkami"/>
    <w:basedOn w:val="Bezseznamu"/>
    <w:rsid w:val="00A35BC8"/>
    <w:pPr>
      <w:numPr>
        <w:numId w:val="4"/>
      </w:numPr>
    </w:pPr>
  </w:style>
  <w:style w:type="character" w:styleId="Zstupntext">
    <w:name w:val="Placeholder Text"/>
    <w:basedOn w:val="Standardnpsmoodstavce"/>
    <w:uiPriority w:val="99"/>
    <w:semiHidden/>
    <w:rsid w:val="00A35BC8"/>
    <w:rPr>
      <w:color w:val="808080"/>
    </w:rPr>
  </w:style>
  <w:style w:type="paragraph" w:styleId="Zhlav">
    <w:name w:val="header"/>
    <w:basedOn w:val="Normln"/>
    <w:link w:val="ZhlavChar"/>
    <w:uiPriority w:val="99"/>
    <w:rsid w:val="00A35BC8"/>
    <w:pPr>
      <w:tabs>
        <w:tab w:val="center" w:pos="4536"/>
        <w:tab w:val="right" w:pos="9072"/>
      </w:tabs>
    </w:pPr>
  </w:style>
  <w:style w:type="paragraph" w:styleId="Zpat">
    <w:name w:val="footer"/>
    <w:basedOn w:val="Normln"/>
    <w:link w:val="ZpatChar"/>
    <w:uiPriority w:val="99"/>
    <w:rsid w:val="00A35BC8"/>
    <w:pPr>
      <w:tabs>
        <w:tab w:val="center" w:pos="4536"/>
        <w:tab w:val="right" w:pos="9072"/>
      </w:tabs>
    </w:pPr>
  </w:style>
  <w:style w:type="paragraph" w:styleId="Textpoznpodarou">
    <w:name w:val="footnote text"/>
    <w:basedOn w:val="ZPZklad"/>
    <w:link w:val="TextpoznpodarouChar"/>
    <w:uiPriority w:val="99"/>
    <w:rsid w:val="00A35BC8"/>
    <w:pPr>
      <w:ind w:left="300" w:hanging="300"/>
      <w:jc w:val="left"/>
    </w:pPr>
    <w:rPr>
      <w:sz w:val="20"/>
      <w:szCs w:val="20"/>
    </w:rPr>
  </w:style>
  <w:style w:type="character" w:styleId="Znakapoznpodarou">
    <w:name w:val="footnote reference"/>
    <w:uiPriority w:val="99"/>
    <w:rsid w:val="00A35BC8"/>
    <w:rPr>
      <w:vertAlign w:val="superscript"/>
    </w:rPr>
  </w:style>
  <w:style w:type="paragraph" w:customStyle="1" w:styleId="inZPTypprce">
    <w:name w:val="inZP: Typ práce"/>
    <w:basedOn w:val="inZPNadpisy"/>
    <w:rsid w:val="00A35BC8"/>
    <w:pPr>
      <w:spacing w:before="560" w:after="360" w:line="360" w:lineRule="atLeast"/>
      <w:jc w:val="center"/>
    </w:pPr>
    <w:rPr>
      <w:sz w:val="36"/>
    </w:rPr>
  </w:style>
  <w:style w:type="paragraph" w:customStyle="1" w:styleId="inZPPolovinodsazen">
    <w:name w:val="inZP: Poloviční odsazení"/>
    <w:basedOn w:val="inZPNadpisy"/>
    <w:rsid w:val="00A35BC8"/>
    <w:pPr>
      <w:spacing w:before="2400" w:after="140"/>
    </w:pPr>
  </w:style>
  <w:style w:type="paragraph" w:styleId="Obsah2">
    <w:name w:val="toc 2"/>
    <w:basedOn w:val="Normln"/>
    <w:autoRedefine/>
    <w:uiPriority w:val="39"/>
    <w:rsid w:val="00A35BC8"/>
    <w:pPr>
      <w:tabs>
        <w:tab w:val="left" w:pos="851"/>
        <w:tab w:val="right" w:leader="dot" w:pos="8505"/>
      </w:tabs>
      <w:spacing w:before="120"/>
      <w:ind w:left="862" w:hanging="624"/>
    </w:pPr>
    <w:rPr>
      <w:iCs/>
      <w:noProof/>
    </w:rPr>
  </w:style>
  <w:style w:type="paragraph" w:styleId="Obsah3">
    <w:name w:val="toc 3"/>
    <w:basedOn w:val="Normln"/>
    <w:autoRedefine/>
    <w:uiPriority w:val="39"/>
    <w:rsid w:val="00A35BC8"/>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A35BC8"/>
    <w:pPr>
      <w:ind w:left="720"/>
    </w:pPr>
    <w:rPr>
      <w:sz w:val="20"/>
      <w:szCs w:val="20"/>
    </w:rPr>
  </w:style>
  <w:style w:type="paragraph" w:styleId="Obsah5">
    <w:name w:val="toc 5"/>
    <w:basedOn w:val="Normln"/>
    <w:next w:val="Normln"/>
    <w:autoRedefine/>
    <w:uiPriority w:val="39"/>
    <w:rsid w:val="00A35BC8"/>
    <w:pPr>
      <w:ind w:left="960"/>
    </w:pPr>
    <w:rPr>
      <w:sz w:val="20"/>
      <w:szCs w:val="20"/>
    </w:rPr>
  </w:style>
  <w:style w:type="paragraph" w:styleId="Obsah6">
    <w:name w:val="toc 6"/>
    <w:basedOn w:val="Normln"/>
    <w:next w:val="Normln"/>
    <w:autoRedefine/>
    <w:uiPriority w:val="39"/>
    <w:rsid w:val="00A35BC8"/>
    <w:pPr>
      <w:ind w:left="1200"/>
    </w:pPr>
    <w:rPr>
      <w:sz w:val="20"/>
      <w:szCs w:val="20"/>
    </w:rPr>
  </w:style>
  <w:style w:type="paragraph" w:styleId="Obsah7">
    <w:name w:val="toc 7"/>
    <w:basedOn w:val="Normln"/>
    <w:next w:val="Normln"/>
    <w:autoRedefine/>
    <w:uiPriority w:val="39"/>
    <w:rsid w:val="00A35BC8"/>
    <w:pPr>
      <w:ind w:left="1440"/>
    </w:pPr>
    <w:rPr>
      <w:sz w:val="20"/>
      <w:szCs w:val="20"/>
    </w:rPr>
  </w:style>
  <w:style w:type="paragraph" w:styleId="Obsah8">
    <w:name w:val="toc 8"/>
    <w:basedOn w:val="Normln"/>
    <w:next w:val="Normln"/>
    <w:autoRedefine/>
    <w:uiPriority w:val="39"/>
    <w:rsid w:val="00A35BC8"/>
    <w:pPr>
      <w:ind w:left="1680"/>
    </w:pPr>
    <w:rPr>
      <w:sz w:val="20"/>
      <w:szCs w:val="20"/>
    </w:rPr>
  </w:style>
  <w:style w:type="paragraph" w:styleId="Obsah9">
    <w:name w:val="toc 9"/>
    <w:basedOn w:val="Obsah10"/>
    <w:uiPriority w:val="39"/>
    <w:rsid w:val="00A35BC8"/>
  </w:style>
  <w:style w:type="paragraph" w:customStyle="1" w:styleId="Obsah10">
    <w:name w:val="Obsah 10"/>
    <w:basedOn w:val="Obsah1"/>
    <w:rsid w:val="00A35BC8"/>
    <w:pPr>
      <w:tabs>
        <w:tab w:val="clear" w:pos="480"/>
        <w:tab w:val="left" w:pos="851"/>
      </w:tabs>
      <w:spacing w:before="120" w:after="0"/>
    </w:pPr>
    <w:rPr>
      <w:b w:val="0"/>
    </w:rPr>
  </w:style>
  <w:style w:type="paragraph" w:customStyle="1" w:styleId="ZPNadpis30">
    <w:name w:val="ZP: Nadpis 3"/>
    <w:basedOn w:val="inZPNadpisy"/>
    <w:next w:val="ZPZklad"/>
    <w:rsid w:val="00A35BC8"/>
    <w:pPr>
      <w:spacing w:before="280" w:after="140"/>
      <w:outlineLvl w:val="2"/>
    </w:pPr>
  </w:style>
  <w:style w:type="table" w:styleId="Tabulkasprostorovmiefekty1">
    <w:name w:val="Table 3D effects 1"/>
    <w:basedOn w:val="Normlntabulka"/>
    <w:semiHidden/>
    <w:rsid w:val="00A35BC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A35BC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A35BC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A35BC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A35BC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A35BC8"/>
    <w:pPr>
      <w:spacing w:after="120"/>
      <w:ind w:left="1440" w:right="1440"/>
    </w:pPr>
  </w:style>
  <w:style w:type="character" w:styleId="UkzkaHTML">
    <w:name w:val="HTML Sample"/>
    <w:semiHidden/>
    <w:rsid w:val="00A35BC8"/>
    <w:rPr>
      <w:rFonts w:ascii="Courier New" w:hAnsi="Courier New" w:cs="Courier New"/>
    </w:rPr>
  </w:style>
  <w:style w:type="table" w:styleId="Webovtabulka1">
    <w:name w:val="Table Web 1"/>
    <w:basedOn w:val="Normlntabulka"/>
    <w:semiHidden/>
    <w:rsid w:val="00A35BC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A35BC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A35BC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A35BC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A35BC8"/>
    <w:pPr>
      <w:spacing w:after="120"/>
    </w:pPr>
  </w:style>
  <w:style w:type="paragraph" w:styleId="Zkladntext-prvnodsazen">
    <w:name w:val="Body Text First Indent"/>
    <w:basedOn w:val="Zkladntext"/>
    <w:semiHidden/>
    <w:rsid w:val="00A35BC8"/>
    <w:pPr>
      <w:ind w:firstLine="210"/>
    </w:pPr>
  </w:style>
  <w:style w:type="paragraph" w:styleId="Zkladntextodsazen">
    <w:name w:val="Body Text Indent"/>
    <w:basedOn w:val="Normln"/>
    <w:semiHidden/>
    <w:rsid w:val="00A35BC8"/>
    <w:pPr>
      <w:spacing w:after="120"/>
      <w:ind w:left="283"/>
    </w:pPr>
  </w:style>
  <w:style w:type="paragraph" w:styleId="Zkladntext-prvnodsazen2">
    <w:name w:val="Body Text First Indent 2"/>
    <w:basedOn w:val="Zkladntextodsazen"/>
    <w:semiHidden/>
    <w:rsid w:val="00A35BC8"/>
    <w:pPr>
      <w:ind w:firstLine="210"/>
    </w:pPr>
  </w:style>
  <w:style w:type="paragraph" w:styleId="Zkladntext2">
    <w:name w:val="Body Text 2"/>
    <w:basedOn w:val="Normln"/>
    <w:semiHidden/>
    <w:rsid w:val="00A35BC8"/>
    <w:pPr>
      <w:spacing w:after="120" w:line="480" w:lineRule="auto"/>
    </w:pPr>
  </w:style>
  <w:style w:type="paragraph" w:styleId="Zkladntext3">
    <w:name w:val="Body Text 3"/>
    <w:basedOn w:val="Normln"/>
    <w:semiHidden/>
    <w:rsid w:val="00A35BC8"/>
    <w:pPr>
      <w:spacing w:after="120"/>
    </w:pPr>
    <w:rPr>
      <w:sz w:val="16"/>
      <w:szCs w:val="16"/>
    </w:rPr>
  </w:style>
  <w:style w:type="paragraph" w:styleId="Zkladntextodsazen2">
    <w:name w:val="Body Text Indent 2"/>
    <w:basedOn w:val="Normln"/>
    <w:semiHidden/>
    <w:rsid w:val="00A35BC8"/>
    <w:pPr>
      <w:spacing w:after="120" w:line="480" w:lineRule="auto"/>
      <w:ind w:left="283"/>
    </w:pPr>
  </w:style>
  <w:style w:type="paragraph" w:styleId="Zkladntextodsazen3">
    <w:name w:val="Body Text Indent 3"/>
    <w:basedOn w:val="Normln"/>
    <w:semiHidden/>
    <w:rsid w:val="00A35BC8"/>
    <w:pPr>
      <w:spacing w:after="120"/>
      <w:ind w:left="283"/>
    </w:pPr>
    <w:rPr>
      <w:sz w:val="16"/>
      <w:szCs w:val="16"/>
    </w:rPr>
  </w:style>
  <w:style w:type="paragraph" w:styleId="Zvr">
    <w:name w:val="Closing"/>
    <w:basedOn w:val="Normln"/>
    <w:semiHidden/>
    <w:rsid w:val="00A35BC8"/>
    <w:pPr>
      <w:ind w:left="4252"/>
    </w:pPr>
  </w:style>
  <w:style w:type="paragraph" w:styleId="Zptenadresanaoblku">
    <w:name w:val="envelope return"/>
    <w:basedOn w:val="Normln"/>
    <w:semiHidden/>
    <w:rsid w:val="00A35BC8"/>
    <w:rPr>
      <w:rFonts w:ascii="Arial" w:hAnsi="Arial" w:cs="Arial"/>
      <w:sz w:val="20"/>
      <w:szCs w:val="20"/>
    </w:rPr>
  </w:style>
  <w:style w:type="numbering" w:customStyle="1" w:styleId="slovnkapitol">
    <w:name w:val="Číslování kapitol"/>
    <w:uiPriority w:val="99"/>
    <w:rsid w:val="00A35BC8"/>
    <w:pPr>
      <w:numPr>
        <w:numId w:val="5"/>
      </w:numPr>
    </w:pPr>
  </w:style>
  <w:style w:type="table" w:styleId="Mkatabulky">
    <w:name w:val="Table Grid"/>
    <w:basedOn w:val="Normlntabulka"/>
    <w:rsid w:val="00A35BC8"/>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A35BC8"/>
    <w:rPr>
      <w:smallCaps/>
    </w:rPr>
  </w:style>
  <w:style w:type="character" w:customStyle="1" w:styleId="ZPLiteratura-nzevdla">
    <w:name w:val="ZP: Literatura - název díla"/>
    <w:rsid w:val="00A35BC8"/>
    <w:rPr>
      <w:i/>
    </w:rPr>
  </w:style>
  <w:style w:type="paragraph" w:customStyle="1" w:styleId="ZPLiteratura">
    <w:name w:val="ZP: Literatura"/>
    <w:basedOn w:val="ZPZklad"/>
    <w:rsid w:val="00A35BC8"/>
    <w:pPr>
      <w:numPr>
        <w:numId w:val="42"/>
      </w:numPr>
      <w:spacing w:before="60"/>
      <w:jc w:val="left"/>
    </w:pPr>
  </w:style>
  <w:style w:type="character" w:customStyle="1" w:styleId="ZPVyznaen">
    <w:name w:val="ZP: Vyznačení"/>
    <w:rsid w:val="00A35BC8"/>
    <w:rPr>
      <w:i/>
    </w:rPr>
  </w:style>
  <w:style w:type="character" w:customStyle="1" w:styleId="ZPSilnvyznaen">
    <w:name w:val="ZP: Silné vyznačení"/>
    <w:rsid w:val="00A35BC8"/>
    <w:rPr>
      <w:b/>
    </w:rPr>
  </w:style>
  <w:style w:type="paragraph" w:customStyle="1" w:styleId="Styl1">
    <w:name w:val="Styl1"/>
    <w:basedOn w:val="Normln"/>
    <w:semiHidden/>
    <w:rsid w:val="00A35BC8"/>
    <w:pPr>
      <w:keepNext/>
      <w:keepLines/>
      <w:suppressAutoHyphens/>
    </w:pPr>
  </w:style>
  <w:style w:type="paragraph" w:customStyle="1" w:styleId="inZPPodpisprohlen">
    <w:name w:val="inZP: Podpis prohlášení"/>
    <w:basedOn w:val="ZPZklad"/>
    <w:rsid w:val="00A35BC8"/>
    <w:pPr>
      <w:tabs>
        <w:tab w:val="center" w:pos="7088"/>
      </w:tabs>
      <w:spacing w:before="280"/>
    </w:pPr>
  </w:style>
  <w:style w:type="character" w:customStyle="1" w:styleId="ZPAnglicktext">
    <w:name w:val="ZP: Anglický text"/>
    <w:rsid w:val="00A35BC8"/>
    <w:rPr>
      <w:lang w:val="en-GB"/>
    </w:rPr>
  </w:style>
  <w:style w:type="paragraph" w:customStyle="1" w:styleId="Rozvrendokumentu">
    <w:name w:val="Rozvržení dokumentu"/>
    <w:basedOn w:val="Normln"/>
    <w:semiHidden/>
    <w:rsid w:val="00A35BC8"/>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A35BC8"/>
    <w:pPr>
      <w:numPr>
        <w:numId w:val="38"/>
      </w:numPr>
    </w:pPr>
  </w:style>
  <w:style w:type="paragraph" w:customStyle="1" w:styleId="Ploha2">
    <w:name w:val="Příloha 2"/>
    <w:basedOn w:val="ZPNadpis2"/>
    <w:next w:val="ZPZklad"/>
    <w:link w:val="Ploha2Char"/>
    <w:uiPriority w:val="50"/>
    <w:qFormat/>
    <w:rsid w:val="00A35BC8"/>
    <w:pPr>
      <w:numPr>
        <w:ilvl w:val="1"/>
        <w:numId w:val="38"/>
      </w:numPr>
    </w:pPr>
  </w:style>
  <w:style w:type="paragraph" w:customStyle="1" w:styleId="ZPZhlavvpravo">
    <w:name w:val="ZP: Záhlaví vpravo"/>
    <w:basedOn w:val="inZPZhlavstr"/>
    <w:rsid w:val="00A35BC8"/>
    <w:pPr>
      <w:jc w:val="right"/>
    </w:pPr>
  </w:style>
  <w:style w:type="paragraph" w:customStyle="1" w:styleId="ZPZhlavvlevo">
    <w:name w:val="ZP: Záhlaví vlevo"/>
    <w:basedOn w:val="inZPZhlavstr"/>
    <w:link w:val="ZPZhlavvlevoChar"/>
    <w:rsid w:val="00A35BC8"/>
    <w:pPr>
      <w:jc w:val="left"/>
    </w:pPr>
  </w:style>
  <w:style w:type="character" w:customStyle="1" w:styleId="ZPZhlavvlevoChar">
    <w:name w:val="ZP: Záhlaví vlevo Char"/>
    <w:basedOn w:val="inZPZhlavstrChar"/>
    <w:link w:val="ZPZhlavvlevo"/>
    <w:rsid w:val="00A35BC8"/>
    <w:rPr>
      <w:rFonts w:asciiTheme="majorHAnsi" w:hAnsiTheme="majorHAnsi"/>
      <w:smallCaps/>
    </w:rPr>
  </w:style>
  <w:style w:type="paragraph" w:customStyle="1" w:styleId="inZPKlovslova">
    <w:name w:val="inZP: Klíčová slova"/>
    <w:basedOn w:val="ZPZklad"/>
    <w:rsid w:val="00A35BC8"/>
    <w:pPr>
      <w:spacing w:before="280" w:after="140"/>
      <w:jc w:val="left"/>
    </w:pPr>
    <w:rPr>
      <w:rFonts w:asciiTheme="majorHAnsi" w:hAnsiTheme="majorHAnsi"/>
      <w:b/>
    </w:rPr>
  </w:style>
  <w:style w:type="paragraph" w:customStyle="1" w:styleId="ZPZhlavtitulnlist">
    <w:name w:val="ZP: Záhlaví titulní list"/>
    <w:basedOn w:val="inZPZhlavstr"/>
    <w:rsid w:val="00A35BC8"/>
    <w:rPr>
      <w:b/>
      <w:sz w:val="32"/>
    </w:rPr>
  </w:style>
  <w:style w:type="paragraph" w:customStyle="1" w:styleId="ZPHlavnnadpis--plohy">
    <w:name w:val="ZP: Hlavní nadpis -- přílohy"/>
    <w:basedOn w:val="Normln"/>
    <w:next w:val="ZPZklad"/>
    <w:rsid w:val="00A35BC8"/>
    <w:pPr>
      <w:keepNext/>
      <w:keepLines/>
      <w:pageBreakBefore/>
      <w:numPr>
        <w:numId w:val="41"/>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A35BC8"/>
    <w:pPr>
      <w:spacing w:before="10206"/>
    </w:pPr>
  </w:style>
  <w:style w:type="paragraph" w:customStyle="1" w:styleId="ZPOddlovaseznam">
    <w:name w:val="ZP: Oddělovač seznamů"/>
    <w:basedOn w:val="ZPZklad"/>
    <w:uiPriority w:val="32"/>
    <w:qFormat/>
    <w:rsid w:val="00A35BC8"/>
    <w:pPr>
      <w:spacing w:line="140" w:lineRule="exact"/>
    </w:pPr>
  </w:style>
  <w:style w:type="paragraph" w:customStyle="1" w:styleId="ZPPatatitulnstrnky">
    <w:name w:val="ZP: Pata titulní stránky"/>
    <w:basedOn w:val="inZPZhlavapaty"/>
    <w:rsid w:val="00A35BC8"/>
    <w:rPr>
      <w:rFonts w:asciiTheme="majorHAnsi" w:hAnsiTheme="majorHAnsi"/>
      <w:b/>
      <w:sz w:val="32"/>
    </w:rPr>
  </w:style>
  <w:style w:type="paragraph" w:customStyle="1" w:styleId="inZPVertiklnmezerastrnkamen">
    <w:name w:val="inZP: Vertikální mezera stránka menší"/>
    <w:basedOn w:val="inZPVertiklnmezerastrnka"/>
    <w:rsid w:val="00A35BC8"/>
    <w:pPr>
      <w:spacing w:before="9400"/>
    </w:pPr>
    <w:rPr>
      <w:szCs w:val="20"/>
    </w:rPr>
  </w:style>
  <w:style w:type="paragraph" w:customStyle="1" w:styleId="ZPSeznamzkratek">
    <w:name w:val="ZP: Seznam zkratek"/>
    <w:basedOn w:val="ZPZklad"/>
    <w:rsid w:val="00A35BC8"/>
    <w:pPr>
      <w:tabs>
        <w:tab w:val="left" w:pos="1985"/>
        <w:tab w:val="left" w:pos="2268"/>
      </w:tabs>
      <w:spacing w:after="140"/>
      <w:ind w:left="2268" w:hanging="2268"/>
    </w:pPr>
  </w:style>
  <w:style w:type="paragraph" w:customStyle="1" w:styleId="ZPTitulkaautor">
    <w:name w:val="ZP Titulka autor"/>
    <w:basedOn w:val="ZP-Nadpisyzklad"/>
    <w:rsid w:val="00A35BC8"/>
    <w:pPr>
      <w:spacing w:line="420" w:lineRule="exact"/>
      <w:jc w:val="center"/>
    </w:pPr>
    <w:rPr>
      <w:caps/>
      <w:sz w:val="34"/>
    </w:rPr>
  </w:style>
  <w:style w:type="character" w:customStyle="1" w:styleId="Ploha1Char">
    <w:name w:val="Příloha 1 Char"/>
    <w:basedOn w:val="Standardnpsmoodstavce"/>
    <w:link w:val="Ploha1"/>
    <w:uiPriority w:val="49"/>
    <w:rsid w:val="00A35BC8"/>
    <w:rPr>
      <w:rFonts w:ascii="Arial" w:hAnsi="Arial" w:cs="Arial"/>
      <w:b/>
      <w:bCs/>
      <w:color w:val="0000DC"/>
      <w:sz w:val="34"/>
      <w:szCs w:val="40"/>
    </w:rPr>
  </w:style>
  <w:style w:type="numbering" w:customStyle="1" w:styleId="slovnploh">
    <w:name w:val="Číslování příloh"/>
    <w:uiPriority w:val="99"/>
    <w:rsid w:val="00A35BC8"/>
    <w:pPr>
      <w:numPr>
        <w:numId w:val="6"/>
      </w:numPr>
    </w:pPr>
  </w:style>
  <w:style w:type="character" w:customStyle="1" w:styleId="TextpoznpodarouChar">
    <w:name w:val="Text pozn. pod čarou Char"/>
    <w:link w:val="Textpoznpodarou"/>
    <w:uiPriority w:val="99"/>
    <w:rsid w:val="00A35BC8"/>
    <w:rPr>
      <w:sz w:val="20"/>
      <w:szCs w:val="20"/>
    </w:rPr>
  </w:style>
  <w:style w:type="paragraph" w:customStyle="1" w:styleId="ZPZaptsud">
    <w:name w:val="ZP Zapátí sudé"/>
    <w:basedOn w:val="inZPZhlavapaty"/>
    <w:rsid w:val="00A35BC8"/>
    <w:pPr>
      <w:jc w:val="left"/>
    </w:pPr>
  </w:style>
  <w:style w:type="character" w:customStyle="1" w:styleId="Nadpis5Char">
    <w:name w:val="Nadpis 5 Char"/>
    <w:link w:val="Nadpis5"/>
    <w:uiPriority w:val="9"/>
    <w:rsid w:val="00A35BC8"/>
    <w:rPr>
      <w:rFonts w:ascii="Arial" w:hAnsi="Arial"/>
      <w:b/>
      <w:bCs/>
      <w:color w:val="0000DC"/>
      <w:lang w:eastAsia="sk-SK"/>
    </w:rPr>
  </w:style>
  <w:style w:type="character" w:customStyle="1" w:styleId="Nadpis8Char">
    <w:name w:val="Nadpis 8 Char"/>
    <w:link w:val="Nadpis8"/>
    <w:uiPriority w:val="9"/>
    <w:rsid w:val="00A35BC8"/>
    <w:rPr>
      <w:rFonts w:ascii="Arial" w:hAnsi="Arial"/>
      <w:b/>
      <w:color w:val="0000DC"/>
      <w:lang w:eastAsia="sk-SK"/>
    </w:rPr>
  </w:style>
  <w:style w:type="character" w:customStyle="1" w:styleId="Ploha2Char">
    <w:name w:val="Příloha 2 Char"/>
    <w:basedOn w:val="Standardnpsmoodstavce"/>
    <w:link w:val="Ploha2"/>
    <w:uiPriority w:val="50"/>
    <w:rsid w:val="00A35BC8"/>
    <w:rPr>
      <w:rFonts w:ascii="Arial" w:hAnsi="Arial" w:cs="Arial"/>
      <w:bCs/>
      <w:color w:val="0000DC"/>
      <w:sz w:val="28"/>
      <w:szCs w:val="28"/>
    </w:rPr>
  </w:style>
  <w:style w:type="character" w:customStyle="1" w:styleId="Nadpis1Char">
    <w:name w:val="Nadpis 1 Char"/>
    <w:link w:val="Nadpis1"/>
    <w:uiPriority w:val="9"/>
    <w:rsid w:val="00A35BC8"/>
    <w:rPr>
      <w:rFonts w:ascii="Arial" w:hAnsi="Arial" w:cs="Arial"/>
      <w:b/>
      <w:bCs/>
      <w:color w:val="0000DC"/>
      <w:sz w:val="34"/>
      <w:szCs w:val="40"/>
    </w:rPr>
  </w:style>
  <w:style w:type="character" w:customStyle="1" w:styleId="Nadpis2Char">
    <w:name w:val="Nadpis 2 Char"/>
    <w:link w:val="Nadpis2"/>
    <w:uiPriority w:val="1"/>
    <w:rsid w:val="00A35BC8"/>
    <w:rPr>
      <w:rFonts w:ascii="Arial" w:hAnsi="Arial" w:cs="Arial"/>
      <w:iCs/>
      <w:color w:val="0000DC"/>
      <w:sz w:val="28"/>
      <w:szCs w:val="28"/>
    </w:rPr>
  </w:style>
  <w:style w:type="character" w:customStyle="1" w:styleId="Nadpis3Char">
    <w:name w:val="Nadpis 3 Char"/>
    <w:link w:val="Nadpis3"/>
    <w:uiPriority w:val="9"/>
    <w:rsid w:val="00A35BC8"/>
    <w:rPr>
      <w:rFonts w:ascii="Arial" w:hAnsi="Arial" w:cs="Arial"/>
      <w:b/>
      <w:bCs/>
      <w:color w:val="0000DC"/>
    </w:rPr>
  </w:style>
  <w:style w:type="paragraph" w:styleId="Nadpisobsahu">
    <w:name w:val="TOC Heading"/>
    <w:basedOn w:val="Nadpis1"/>
    <w:next w:val="Normln"/>
    <w:uiPriority w:val="39"/>
    <w:rsid w:val="00A35BC8"/>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35BC8"/>
  </w:style>
  <w:style w:type="character" w:customStyle="1" w:styleId="ZpatChar">
    <w:name w:val="Zápatí Char"/>
    <w:link w:val="Zpat"/>
    <w:uiPriority w:val="99"/>
    <w:rsid w:val="00A35BC8"/>
  </w:style>
  <w:style w:type="character" w:styleId="Siln">
    <w:name w:val="Strong"/>
    <w:uiPriority w:val="22"/>
    <w:rsid w:val="00A35BC8"/>
    <w:rPr>
      <w:b/>
      <w:bCs/>
    </w:rPr>
  </w:style>
  <w:style w:type="paragraph" w:styleId="Nzev">
    <w:name w:val="Title"/>
    <w:basedOn w:val="Nadpis1"/>
    <w:next w:val="Normln"/>
    <w:link w:val="NzevChar"/>
    <w:uiPriority w:val="10"/>
    <w:rsid w:val="00A35BC8"/>
    <w:pPr>
      <w:spacing w:before="120" w:after="240" w:line="360" w:lineRule="auto"/>
    </w:pPr>
    <w:rPr>
      <w:rFonts w:cs="Times New Roman"/>
      <w:bCs w:val="0"/>
      <w:spacing w:val="4"/>
      <w:lang w:eastAsia="sk-SK"/>
    </w:rPr>
  </w:style>
  <w:style w:type="character" w:customStyle="1" w:styleId="NzevChar">
    <w:name w:val="Název Char"/>
    <w:link w:val="Nzev"/>
    <w:uiPriority w:val="10"/>
    <w:rsid w:val="00A35BC8"/>
    <w:rPr>
      <w:rFonts w:ascii="Arial" w:hAnsi="Arial"/>
      <w:b/>
      <w:color w:val="0000DC"/>
      <w:spacing w:val="4"/>
      <w:sz w:val="34"/>
      <w:szCs w:val="40"/>
      <w:lang w:eastAsia="sk-SK"/>
    </w:rPr>
  </w:style>
  <w:style w:type="paragraph" w:styleId="Titulek">
    <w:name w:val="caption"/>
    <w:basedOn w:val="ZPZklad"/>
    <w:next w:val="Odstavec1"/>
    <w:uiPriority w:val="35"/>
    <w:qFormat/>
    <w:rsid w:val="00A35BC8"/>
    <w:pPr>
      <w:spacing w:after="200" w:line="276" w:lineRule="auto"/>
      <w:jc w:val="center"/>
    </w:pPr>
    <w:rPr>
      <w:b/>
      <w:bCs/>
      <w:sz w:val="20"/>
      <w:szCs w:val="20"/>
      <w:lang w:eastAsia="sk-SK"/>
    </w:rPr>
  </w:style>
  <w:style w:type="paragraph" w:styleId="Normlnweb">
    <w:name w:val="Normal (Web)"/>
    <w:basedOn w:val="Normln"/>
    <w:uiPriority w:val="99"/>
    <w:unhideWhenUsed/>
    <w:rsid w:val="00A35BC8"/>
    <w:pPr>
      <w:spacing w:after="200" w:line="276" w:lineRule="auto"/>
    </w:pPr>
    <w:rPr>
      <w:b/>
      <w:lang w:val="sk-SK" w:eastAsia="sk-SK"/>
    </w:rPr>
  </w:style>
  <w:style w:type="paragraph" w:customStyle="1" w:styleId="Podtitul">
    <w:name w:val="Podtitul"/>
    <w:basedOn w:val="Nzev"/>
    <w:next w:val="Normln"/>
    <w:link w:val="PodtitulChar"/>
    <w:uiPriority w:val="11"/>
    <w:rsid w:val="00A35BC8"/>
    <w:pPr>
      <w:spacing w:after="60"/>
      <w:outlineLvl w:val="1"/>
    </w:pPr>
    <w:rPr>
      <w:sz w:val="28"/>
      <w:szCs w:val="24"/>
    </w:rPr>
  </w:style>
  <w:style w:type="character" w:customStyle="1" w:styleId="PodtitulChar">
    <w:name w:val="Podtitul Char"/>
    <w:link w:val="Podtitul"/>
    <w:uiPriority w:val="11"/>
    <w:rsid w:val="00A35BC8"/>
    <w:rPr>
      <w:rFonts w:ascii="Arial" w:hAnsi="Arial"/>
      <w:b/>
      <w:color w:val="0000DC"/>
      <w:spacing w:val="4"/>
      <w:sz w:val="28"/>
      <w:lang w:eastAsia="sk-SK"/>
    </w:rPr>
  </w:style>
  <w:style w:type="paragraph" w:customStyle="1" w:styleId="ZPCitacezkona">
    <w:name w:val="ZP: Citace zákona"/>
    <w:basedOn w:val="ZPZklad"/>
    <w:rsid w:val="00A35BC8"/>
    <w:rPr>
      <w:i/>
    </w:rPr>
  </w:style>
  <w:style w:type="paragraph" w:customStyle="1" w:styleId="Nadpis10">
    <w:name w:val="Nadpis 1*"/>
    <w:basedOn w:val="ZPNadpis1"/>
    <w:next w:val="Odstavec1"/>
    <w:uiPriority w:val="39"/>
    <w:qFormat/>
    <w:rsid w:val="00A35BC8"/>
  </w:style>
  <w:style w:type="paragraph" w:customStyle="1" w:styleId="Nadpis20">
    <w:name w:val="Nadpis 2*"/>
    <w:basedOn w:val="ZPNadpis2"/>
    <w:next w:val="Odstavec1"/>
    <w:uiPriority w:val="40"/>
    <w:qFormat/>
    <w:rsid w:val="00A35BC8"/>
  </w:style>
  <w:style w:type="paragraph" w:customStyle="1" w:styleId="Nadpis30">
    <w:name w:val="Nadpis 3*"/>
    <w:basedOn w:val="ZPNadpis3"/>
    <w:next w:val="Odstavec1"/>
    <w:uiPriority w:val="41"/>
    <w:qFormat/>
    <w:rsid w:val="00A35BC8"/>
  </w:style>
  <w:style w:type="paragraph" w:styleId="Rejstk2">
    <w:name w:val="index 2"/>
    <w:basedOn w:val="Normln"/>
    <w:next w:val="Normln"/>
    <w:autoRedefine/>
    <w:rsid w:val="00A35BC8"/>
    <w:pPr>
      <w:ind w:left="480" w:hanging="240"/>
    </w:pPr>
    <w:rPr>
      <w:rFonts w:cstheme="minorHAnsi"/>
      <w:sz w:val="18"/>
      <w:szCs w:val="18"/>
    </w:rPr>
  </w:style>
  <w:style w:type="paragraph" w:styleId="Rejstk1">
    <w:name w:val="index 1"/>
    <w:basedOn w:val="Normln"/>
    <w:next w:val="Normln"/>
    <w:autoRedefine/>
    <w:uiPriority w:val="99"/>
    <w:rsid w:val="00A35BC8"/>
    <w:pPr>
      <w:ind w:left="240" w:hanging="240"/>
    </w:pPr>
    <w:rPr>
      <w:rFonts w:cstheme="minorHAnsi"/>
      <w:sz w:val="18"/>
      <w:szCs w:val="18"/>
    </w:rPr>
  </w:style>
  <w:style w:type="paragraph" w:styleId="Rejstk3">
    <w:name w:val="index 3"/>
    <w:basedOn w:val="Normln"/>
    <w:next w:val="Normln"/>
    <w:autoRedefine/>
    <w:rsid w:val="00A35BC8"/>
    <w:pPr>
      <w:ind w:left="720" w:hanging="240"/>
    </w:pPr>
    <w:rPr>
      <w:rFonts w:cstheme="minorHAnsi"/>
      <w:sz w:val="18"/>
      <w:szCs w:val="18"/>
    </w:rPr>
  </w:style>
  <w:style w:type="paragraph" w:styleId="Rejstk4">
    <w:name w:val="index 4"/>
    <w:basedOn w:val="Normln"/>
    <w:next w:val="Normln"/>
    <w:autoRedefine/>
    <w:rsid w:val="00A35BC8"/>
    <w:pPr>
      <w:ind w:left="960" w:hanging="240"/>
    </w:pPr>
    <w:rPr>
      <w:rFonts w:cstheme="minorHAnsi"/>
      <w:sz w:val="18"/>
      <w:szCs w:val="18"/>
    </w:rPr>
  </w:style>
  <w:style w:type="paragraph" w:styleId="Rejstk5">
    <w:name w:val="index 5"/>
    <w:basedOn w:val="Normln"/>
    <w:next w:val="Normln"/>
    <w:autoRedefine/>
    <w:rsid w:val="00A35BC8"/>
    <w:pPr>
      <w:ind w:left="1200" w:hanging="240"/>
    </w:pPr>
    <w:rPr>
      <w:rFonts w:cstheme="minorHAnsi"/>
      <w:sz w:val="18"/>
      <w:szCs w:val="18"/>
    </w:rPr>
  </w:style>
  <w:style w:type="paragraph" w:styleId="Rejstk6">
    <w:name w:val="index 6"/>
    <w:basedOn w:val="Normln"/>
    <w:next w:val="Normln"/>
    <w:autoRedefine/>
    <w:rsid w:val="00A35BC8"/>
    <w:pPr>
      <w:ind w:left="1440" w:hanging="240"/>
    </w:pPr>
    <w:rPr>
      <w:rFonts w:cstheme="minorHAnsi"/>
      <w:sz w:val="18"/>
      <w:szCs w:val="18"/>
    </w:rPr>
  </w:style>
  <w:style w:type="paragraph" w:styleId="Rejstk7">
    <w:name w:val="index 7"/>
    <w:basedOn w:val="Normln"/>
    <w:next w:val="Normln"/>
    <w:autoRedefine/>
    <w:rsid w:val="00A35BC8"/>
    <w:pPr>
      <w:ind w:left="1680" w:hanging="240"/>
    </w:pPr>
    <w:rPr>
      <w:rFonts w:asciiTheme="minorHAnsi" w:hAnsiTheme="minorHAnsi" w:cstheme="minorHAnsi"/>
      <w:sz w:val="18"/>
      <w:szCs w:val="18"/>
    </w:rPr>
  </w:style>
  <w:style w:type="paragraph" w:styleId="Rejstk8">
    <w:name w:val="index 8"/>
    <w:basedOn w:val="Normln"/>
    <w:next w:val="Normln"/>
    <w:autoRedefine/>
    <w:rsid w:val="00A35BC8"/>
    <w:pPr>
      <w:ind w:left="1920" w:hanging="240"/>
    </w:pPr>
    <w:rPr>
      <w:rFonts w:cstheme="minorHAnsi"/>
      <w:sz w:val="18"/>
      <w:szCs w:val="18"/>
    </w:rPr>
  </w:style>
  <w:style w:type="paragraph" w:styleId="Rejstk9">
    <w:name w:val="index 9"/>
    <w:basedOn w:val="Normln"/>
    <w:next w:val="Normln"/>
    <w:autoRedefine/>
    <w:rsid w:val="00A35BC8"/>
    <w:pPr>
      <w:ind w:left="2160" w:hanging="240"/>
    </w:pPr>
    <w:rPr>
      <w:rFonts w:cstheme="minorHAnsi"/>
      <w:sz w:val="18"/>
      <w:szCs w:val="18"/>
    </w:rPr>
  </w:style>
  <w:style w:type="paragraph" w:styleId="Hlavikarejstku">
    <w:name w:val="index heading"/>
    <w:basedOn w:val="Normln"/>
    <w:next w:val="Rejstk1"/>
    <w:uiPriority w:val="99"/>
    <w:rsid w:val="00A35BC8"/>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A35BC8"/>
  </w:style>
  <w:style w:type="character" w:styleId="Hypertextovodkaz">
    <w:name w:val="Hyperlink"/>
    <w:basedOn w:val="Standardnpsmoodstavce"/>
    <w:uiPriority w:val="99"/>
    <w:unhideWhenUsed/>
    <w:rsid w:val="00A35BC8"/>
    <w:rPr>
      <w:color w:val="0563C1" w:themeColor="hyperlink"/>
      <w:u w:val="single"/>
    </w:rPr>
  </w:style>
  <w:style w:type="paragraph" w:customStyle="1" w:styleId="Obrzek">
    <w:name w:val="Obrázek"/>
    <w:basedOn w:val="ZPZklad"/>
    <w:rsid w:val="00A35BC8"/>
    <w:pPr>
      <w:keepNext/>
      <w:spacing w:before="240" w:line="281" w:lineRule="auto"/>
      <w:jc w:val="center"/>
    </w:pPr>
  </w:style>
  <w:style w:type="paragraph" w:customStyle="1" w:styleId="Odstavec1">
    <w:name w:val="Odstavec 1"/>
    <w:basedOn w:val="ZPZklad"/>
    <w:next w:val="Dalodstavce"/>
    <w:link w:val="Odstavec1Char"/>
    <w:uiPriority w:val="9"/>
    <w:qFormat/>
    <w:rsid w:val="00A35BC8"/>
  </w:style>
  <w:style w:type="paragraph" w:styleId="Podnadpis0">
    <w:name w:val="Subtitle"/>
    <w:basedOn w:val="Normln"/>
    <w:next w:val="Normln"/>
    <w:link w:val="PodnadpisChar"/>
    <w:uiPriority w:val="11"/>
    <w:rsid w:val="00A35BC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35BC8"/>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19"/>
    <w:qFormat/>
    <w:rsid w:val="00A35BC8"/>
    <w:pPr>
      <w:spacing w:before="240" w:after="240"/>
      <w:ind w:left="960" w:right="960"/>
      <w:contextualSpacing/>
    </w:pPr>
    <w:rPr>
      <w:i/>
    </w:rPr>
  </w:style>
  <w:style w:type="character" w:customStyle="1" w:styleId="CittChar">
    <w:name w:val="Citát Char"/>
    <w:basedOn w:val="Standardnpsmoodstavce"/>
    <w:link w:val="Citt"/>
    <w:uiPriority w:val="19"/>
    <w:rsid w:val="00A35BC8"/>
    <w:rPr>
      <w:i/>
    </w:rPr>
  </w:style>
  <w:style w:type="paragraph" w:customStyle="1" w:styleId="Citt-pokraovn">
    <w:name w:val="Citát - pokračování"/>
    <w:basedOn w:val="Citt"/>
    <w:uiPriority w:val="21"/>
    <w:qFormat/>
    <w:rsid w:val="00A35BC8"/>
    <w:pPr>
      <w:spacing w:before="0"/>
      <w:ind w:left="958" w:right="958" w:firstLine="482"/>
    </w:pPr>
  </w:style>
  <w:style w:type="table" w:customStyle="1" w:styleId="ZPTabulka">
    <w:name w:val="ZP Tabulka"/>
    <w:basedOn w:val="Normlntabulka"/>
    <w:uiPriority w:val="99"/>
    <w:rsid w:val="00A35BC8"/>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val="0"/>
      </w:rPr>
      <w:tbl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insideH w:val="nil"/>
        </w:tcBorders>
      </w:tcPr>
    </w:tblStylePr>
  </w:style>
  <w:style w:type="table" w:styleId="Svtlmkatabulky">
    <w:name w:val="Grid Table Light"/>
    <w:basedOn w:val="Normlntabulka"/>
    <w:uiPriority w:val="40"/>
    <w:locked/>
    <w:rsid w:val="00A35B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A35B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A35B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A35B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A35B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20"/>
    <w:qFormat/>
    <w:rsid w:val="00A35BC8"/>
    <w:pPr>
      <w:spacing w:after="0"/>
      <w:ind w:left="958" w:right="958"/>
    </w:pPr>
  </w:style>
  <w:style w:type="character" w:customStyle="1" w:styleId="Citt-zatekChar">
    <w:name w:val="Citát - začátek Char"/>
    <w:basedOn w:val="CittChar"/>
    <w:link w:val="Citt-zatek"/>
    <w:uiPriority w:val="20"/>
    <w:rsid w:val="00A35BC8"/>
    <w:rPr>
      <w:i/>
    </w:rPr>
  </w:style>
  <w:style w:type="paragraph" w:styleId="Textbubliny">
    <w:name w:val="Balloon Text"/>
    <w:basedOn w:val="Normln"/>
    <w:link w:val="TextbublinyChar"/>
    <w:uiPriority w:val="99"/>
    <w:rsid w:val="00A35BC8"/>
    <w:rPr>
      <w:rFonts w:ascii="Segoe UI" w:hAnsi="Segoe UI" w:cs="Segoe UI"/>
      <w:sz w:val="18"/>
      <w:szCs w:val="18"/>
    </w:rPr>
  </w:style>
  <w:style w:type="character" w:customStyle="1" w:styleId="TextbublinyChar">
    <w:name w:val="Text bubliny Char"/>
    <w:basedOn w:val="Standardnpsmoodstavce"/>
    <w:link w:val="Textbubliny"/>
    <w:uiPriority w:val="99"/>
    <w:rsid w:val="00A35BC8"/>
    <w:rPr>
      <w:rFonts w:ascii="Segoe UI" w:hAnsi="Segoe UI" w:cs="Segoe UI"/>
      <w:sz w:val="18"/>
      <w:szCs w:val="18"/>
    </w:rPr>
  </w:style>
  <w:style w:type="paragraph" w:styleId="Odstavecseseznamem">
    <w:name w:val="List Paragraph"/>
    <w:basedOn w:val="Normln"/>
    <w:uiPriority w:val="34"/>
    <w:semiHidden/>
    <w:qFormat/>
    <w:rsid w:val="00A35BC8"/>
    <w:pPr>
      <w:ind w:left="720"/>
      <w:contextualSpacing/>
    </w:pPr>
  </w:style>
  <w:style w:type="paragraph" w:styleId="slovanseznam">
    <w:name w:val="List Number"/>
    <w:basedOn w:val="ZPZklad"/>
    <w:uiPriority w:val="29"/>
    <w:qFormat/>
    <w:rsid w:val="00A35BC8"/>
    <w:pPr>
      <w:numPr>
        <w:numId w:val="23"/>
      </w:numPr>
      <w:spacing w:before="120" w:after="120"/>
      <w:contextualSpacing/>
    </w:pPr>
  </w:style>
  <w:style w:type="paragraph" w:styleId="slovanseznam2">
    <w:name w:val="List Number 2"/>
    <w:basedOn w:val="Normln"/>
    <w:rsid w:val="00A35BC8"/>
    <w:pPr>
      <w:numPr>
        <w:numId w:val="24"/>
      </w:numPr>
      <w:contextualSpacing/>
    </w:pPr>
  </w:style>
  <w:style w:type="paragraph" w:styleId="slovanseznam3">
    <w:name w:val="List Number 3"/>
    <w:basedOn w:val="Normln"/>
    <w:rsid w:val="00A35BC8"/>
    <w:pPr>
      <w:numPr>
        <w:numId w:val="25"/>
      </w:numPr>
      <w:contextualSpacing/>
    </w:pPr>
  </w:style>
  <w:style w:type="paragraph" w:styleId="slovanseznam4">
    <w:name w:val="List Number 4"/>
    <w:basedOn w:val="Normln"/>
    <w:rsid w:val="00A35BC8"/>
    <w:pPr>
      <w:numPr>
        <w:numId w:val="26"/>
      </w:numPr>
      <w:contextualSpacing/>
    </w:pPr>
  </w:style>
  <w:style w:type="paragraph" w:styleId="slovanseznam5">
    <w:name w:val="List Number 5"/>
    <w:basedOn w:val="Normln"/>
    <w:rsid w:val="00A35BC8"/>
    <w:pPr>
      <w:numPr>
        <w:numId w:val="27"/>
      </w:numPr>
      <w:contextualSpacing/>
    </w:pPr>
  </w:style>
  <w:style w:type="paragraph" w:styleId="Seznamsodrkami">
    <w:name w:val="List Bullet"/>
    <w:basedOn w:val="ZPZklad"/>
    <w:uiPriority w:val="31"/>
    <w:qFormat/>
    <w:rsid w:val="00A35BC8"/>
    <w:pPr>
      <w:numPr>
        <w:numId w:val="39"/>
      </w:numPr>
      <w:contextualSpacing/>
    </w:pPr>
  </w:style>
  <w:style w:type="paragraph" w:styleId="Seznam">
    <w:name w:val="List"/>
    <w:basedOn w:val="Normln"/>
    <w:rsid w:val="00A35BC8"/>
    <w:pPr>
      <w:ind w:left="283" w:hanging="283"/>
      <w:contextualSpacing/>
    </w:pPr>
  </w:style>
  <w:style w:type="character" w:styleId="Nzevknihy">
    <w:name w:val="Book Title"/>
    <w:basedOn w:val="Standardnpsmoodstavce"/>
    <w:uiPriority w:val="33"/>
    <w:rsid w:val="00A35BC8"/>
    <w:rPr>
      <w:b/>
      <w:bCs/>
      <w:i/>
      <w:iCs/>
      <w:spacing w:val="5"/>
    </w:rPr>
  </w:style>
  <w:style w:type="character" w:styleId="Odkazjemn">
    <w:name w:val="Subtle Reference"/>
    <w:basedOn w:val="Standardnpsmoodstavce"/>
    <w:uiPriority w:val="31"/>
    <w:rsid w:val="00A35BC8"/>
    <w:rPr>
      <w:smallCaps/>
      <w:color w:val="5A5A5A" w:themeColor="text1" w:themeTint="A5"/>
    </w:rPr>
  </w:style>
  <w:style w:type="paragraph" w:styleId="Vrazncitt">
    <w:name w:val="Intense Quote"/>
    <w:basedOn w:val="Normln"/>
    <w:next w:val="Normln"/>
    <w:link w:val="VrazncittChar"/>
    <w:uiPriority w:val="30"/>
    <w:rsid w:val="00A35BC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A35BC8"/>
    <w:rPr>
      <w:i/>
      <w:iCs/>
      <w:color w:val="5B9BD5" w:themeColor="accent1"/>
    </w:rPr>
  </w:style>
  <w:style w:type="character" w:styleId="Odkazintenzivn">
    <w:name w:val="Intense Reference"/>
    <w:basedOn w:val="Standardnpsmoodstavce"/>
    <w:uiPriority w:val="32"/>
    <w:rsid w:val="00A35BC8"/>
    <w:rPr>
      <w:b/>
      <w:bCs/>
      <w:smallCaps/>
      <w:color w:val="5B9BD5" w:themeColor="accent1"/>
      <w:spacing w:val="5"/>
    </w:rPr>
  </w:style>
  <w:style w:type="character" w:styleId="Zdraznnjemn">
    <w:name w:val="Subtle Emphasis"/>
    <w:basedOn w:val="Standardnpsmoodstavce"/>
    <w:uiPriority w:val="19"/>
    <w:rsid w:val="00A35BC8"/>
    <w:rPr>
      <w:i/>
      <w:iCs/>
      <w:color w:val="404040" w:themeColor="text1" w:themeTint="BF"/>
    </w:rPr>
  </w:style>
  <w:style w:type="character" w:styleId="Zdraznnintenzivn">
    <w:name w:val="Intense Emphasis"/>
    <w:basedOn w:val="Standardnpsmoodstavce"/>
    <w:uiPriority w:val="21"/>
    <w:rsid w:val="00A35BC8"/>
    <w:rPr>
      <w:i/>
      <w:iCs/>
      <w:color w:val="5B9BD5" w:themeColor="accent1"/>
    </w:rPr>
  </w:style>
  <w:style w:type="paragraph" w:customStyle="1" w:styleId="Pokraovnpoloky">
    <w:name w:val="Pokračování položky"/>
    <w:basedOn w:val="ZPZklad"/>
    <w:uiPriority w:val="30"/>
    <w:qFormat/>
    <w:rsid w:val="00A35BC8"/>
    <w:pPr>
      <w:ind w:left="540" w:firstLine="480"/>
    </w:pPr>
  </w:style>
  <w:style w:type="paragraph" w:styleId="Pokraovnseznamu">
    <w:name w:val="List Continue"/>
    <w:basedOn w:val="Normln"/>
    <w:rsid w:val="00A35BC8"/>
    <w:pPr>
      <w:spacing w:after="120"/>
      <w:ind w:left="283"/>
      <w:contextualSpacing/>
    </w:pPr>
  </w:style>
  <w:style w:type="paragraph" w:styleId="Pokraovnseznamu2">
    <w:name w:val="List Continue 2"/>
    <w:basedOn w:val="Normln"/>
    <w:rsid w:val="00A35BC8"/>
    <w:pPr>
      <w:spacing w:after="120"/>
      <w:ind w:left="566"/>
      <w:contextualSpacing/>
    </w:pPr>
  </w:style>
  <w:style w:type="paragraph" w:styleId="Pokraovnseznamu3">
    <w:name w:val="List Continue 3"/>
    <w:basedOn w:val="Normln"/>
    <w:rsid w:val="00A35BC8"/>
    <w:pPr>
      <w:spacing w:after="120"/>
      <w:ind w:left="849"/>
      <w:contextualSpacing/>
    </w:pPr>
  </w:style>
  <w:style w:type="paragraph" w:styleId="Pokraovnseznamu4">
    <w:name w:val="List Continue 4"/>
    <w:basedOn w:val="Normln"/>
    <w:rsid w:val="00A35BC8"/>
    <w:pPr>
      <w:spacing w:after="120"/>
      <w:ind w:left="1132"/>
      <w:contextualSpacing/>
    </w:pPr>
  </w:style>
  <w:style w:type="paragraph" w:styleId="Pokraovnseznamu5">
    <w:name w:val="List Continue 5"/>
    <w:basedOn w:val="Normln"/>
    <w:rsid w:val="00A35BC8"/>
    <w:pPr>
      <w:spacing w:after="120"/>
      <w:ind w:left="1415"/>
      <w:contextualSpacing/>
    </w:pPr>
  </w:style>
  <w:style w:type="paragraph" w:customStyle="1" w:styleId="ZPBibilografickzznam">
    <w:name w:val="ZP Bibilografický záznam"/>
    <w:basedOn w:val="ZPZklad"/>
    <w:link w:val="ZPBibilografickzznamChar"/>
    <w:rsid w:val="00A35BC8"/>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A35BC8"/>
  </w:style>
  <w:style w:type="paragraph" w:customStyle="1" w:styleId="ZP-Nadpisyzklad">
    <w:name w:val="ZP-Nadpisy_základ"/>
    <w:basedOn w:val="Normln"/>
    <w:link w:val="ZP-NadpisyzkladChar"/>
    <w:rsid w:val="00A35BC8"/>
    <w:pPr>
      <w:suppressAutoHyphens/>
    </w:pPr>
    <w:rPr>
      <w:rFonts w:ascii="Arial" w:hAnsi="Arial" w:cs="Arial"/>
      <w:bCs/>
    </w:rPr>
  </w:style>
  <w:style w:type="paragraph" w:customStyle="1" w:styleId="ZPNadpisy1">
    <w:name w:val="ZP_Nadpisy 1"/>
    <w:basedOn w:val="ZP-Nadpisyzklad"/>
    <w:rsid w:val="00A35BC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A35BC8"/>
    <w:rPr>
      <w:rFonts w:ascii="Arial" w:hAnsi="Arial" w:cs="Arial"/>
      <w:bCs/>
    </w:rPr>
  </w:style>
  <w:style w:type="paragraph" w:customStyle="1" w:styleId="ZPNadpis1">
    <w:name w:val="ZP Nadpis 1"/>
    <w:basedOn w:val="ZPNadpisy1"/>
    <w:rsid w:val="00A35BC8"/>
    <w:pPr>
      <w:outlineLvl w:val="0"/>
    </w:pPr>
  </w:style>
  <w:style w:type="paragraph" w:customStyle="1" w:styleId="ZPTitulkahlavn">
    <w:name w:val="ZP Titulka hlavní"/>
    <w:basedOn w:val="ZP-Nadpisyzklad"/>
    <w:rsid w:val="00A35BC8"/>
    <w:pPr>
      <w:spacing w:line="340" w:lineRule="atLeast"/>
      <w:jc w:val="center"/>
    </w:pPr>
    <w:rPr>
      <w:sz w:val="28"/>
      <w:szCs w:val="34"/>
    </w:rPr>
  </w:style>
  <w:style w:type="paragraph" w:customStyle="1" w:styleId="ZPTitulkafakulta">
    <w:name w:val="ZP Titulka fakulta"/>
    <w:basedOn w:val="ZP-Nadpisyzklad"/>
    <w:rsid w:val="00A35BC8"/>
    <w:pPr>
      <w:spacing w:before="425" w:after="992" w:line="360" w:lineRule="atLeast"/>
      <w:jc w:val="center"/>
    </w:pPr>
    <w:rPr>
      <w:caps/>
    </w:rPr>
  </w:style>
  <w:style w:type="paragraph" w:customStyle="1" w:styleId="ZPTitulkarok">
    <w:name w:val="ZP Titulka rok"/>
    <w:basedOn w:val="ZP-Nadpisyzklad"/>
    <w:rsid w:val="00A35BC8"/>
    <w:pPr>
      <w:jc w:val="center"/>
    </w:pPr>
    <w:rPr>
      <w:sz w:val="26"/>
      <w:szCs w:val="26"/>
    </w:rPr>
  </w:style>
  <w:style w:type="paragraph" w:customStyle="1" w:styleId="ZPTitulkanzev">
    <w:name w:val="ZP Titulka název"/>
    <w:basedOn w:val="ZP-Nadpisyzklad"/>
    <w:rsid w:val="00A35BC8"/>
    <w:pPr>
      <w:spacing w:line="760" w:lineRule="exact"/>
      <w:jc w:val="center"/>
    </w:pPr>
    <w:rPr>
      <w:b/>
      <w:color w:val="0000DC"/>
      <w:sz w:val="60"/>
      <w:szCs w:val="60"/>
    </w:rPr>
  </w:style>
  <w:style w:type="paragraph" w:customStyle="1" w:styleId="ZPTitulkadra">
    <w:name w:val="ZP Titulka díra"/>
    <w:rsid w:val="00A35BC8"/>
    <w:pPr>
      <w:widowControl w:val="0"/>
    </w:pPr>
    <w:rPr>
      <w:sz w:val="16"/>
      <w:szCs w:val="16"/>
    </w:rPr>
  </w:style>
  <w:style w:type="character" w:customStyle="1" w:styleId="ZPPKlbiblografie">
    <w:name w:val="ZPP Klíč biblografie"/>
    <w:basedOn w:val="Standardnpsmoodstavce"/>
    <w:uiPriority w:val="1"/>
    <w:rsid w:val="00A35BC8"/>
    <w:rPr>
      <w:rFonts w:ascii="Cambria" w:hAnsi="Cambria"/>
      <w:b/>
      <w:color w:val="0000DC"/>
    </w:rPr>
  </w:style>
  <w:style w:type="paragraph" w:customStyle="1" w:styleId="ZPNadpisy2">
    <w:name w:val="ZP_Nadpisy 2"/>
    <w:basedOn w:val="ZP-Nadpisyzklad"/>
    <w:rsid w:val="00A35BC8"/>
    <w:pPr>
      <w:keepNext/>
      <w:keepLines/>
      <w:spacing w:before="460" w:after="300" w:line="360" w:lineRule="exact"/>
    </w:pPr>
    <w:rPr>
      <w:color w:val="0000DC"/>
      <w:sz w:val="28"/>
      <w:szCs w:val="28"/>
    </w:rPr>
  </w:style>
  <w:style w:type="paragraph" w:customStyle="1" w:styleId="ZPNadpis2">
    <w:name w:val="ZP Nadpis 2"/>
    <w:basedOn w:val="ZPNadpisy2"/>
    <w:rsid w:val="00A35BC8"/>
    <w:pPr>
      <w:outlineLvl w:val="1"/>
    </w:pPr>
  </w:style>
  <w:style w:type="character" w:customStyle="1" w:styleId="ZPZapatlichChar">
    <w:name w:val="ZP Zapatí liché Char"/>
    <w:basedOn w:val="inZPZhlavapatyChar"/>
    <w:link w:val="ZPZapatlich"/>
    <w:rsid w:val="00A35BC8"/>
    <w:rPr>
      <w:smallCaps/>
    </w:rPr>
  </w:style>
  <w:style w:type="paragraph" w:customStyle="1" w:styleId="ZP-Nadpisy3">
    <w:name w:val="ZP-Nadpisy 3"/>
    <w:basedOn w:val="ZP-Nadpisyzklad"/>
    <w:rsid w:val="00A35BC8"/>
    <w:pPr>
      <w:spacing w:before="360" w:after="160" w:line="300" w:lineRule="atLeast"/>
    </w:pPr>
    <w:rPr>
      <w:b/>
      <w:color w:val="0000DC"/>
    </w:rPr>
  </w:style>
  <w:style w:type="paragraph" w:customStyle="1" w:styleId="ZPNadpis3">
    <w:name w:val="ZP Nadpis 3"/>
    <w:basedOn w:val="ZP-Nadpisy3"/>
    <w:rsid w:val="00A35BC8"/>
    <w:pPr>
      <w:outlineLvl w:val="2"/>
    </w:pPr>
  </w:style>
  <w:style w:type="paragraph" w:customStyle="1" w:styleId="Pklad-nadpis">
    <w:name w:val="Příklad - nadpis"/>
    <w:basedOn w:val="Odstavec1"/>
    <w:next w:val="Pklad-text"/>
    <w:link w:val="Pklad-nadpisChar"/>
    <w:uiPriority w:val="69"/>
    <w:qFormat/>
    <w:rsid w:val="00A35BC8"/>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A35BC8"/>
    <w:pPr>
      <w:ind w:left="480"/>
    </w:pPr>
  </w:style>
  <w:style w:type="character" w:customStyle="1" w:styleId="Odstavec1Char">
    <w:name w:val="Odstavec 1 Char"/>
    <w:basedOn w:val="ZPZkladChar"/>
    <w:link w:val="Odstavec1"/>
    <w:uiPriority w:val="9"/>
    <w:rsid w:val="00A35BC8"/>
  </w:style>
  <w:style w:type="character" w:customStyle="1" w:styleId="Pklad-nadpisChar">
    <w:name w:val="Příklad - nadpis Char"/>
    <w:basedOn w:val="Odstavec1Char"/>
    <w:link w:val="Pklad-nadpis"/>
    <w:uiPriority w:val="69"/>
    <w:rsid w:val="00A35BC8"/>
    <w:rPr>
      <w:rFonts w:ascii="Arial" w:hAnsi="Arial" w:cs="Arial"/>
      <w:color w:val="0000DC"/>
    </w:rPr>
  </w:style>
  <w:style w:type="paragraph" w:styleId="Bibliografie">
    <w:name w:val="Bibliography"/>
    <w:basedOn w:val="Odstavec1"/>
    <w:next w:val="Normln"/>
    <w:uiPriority w:val="37"/>
    <w:unhideWhenUsed/>
    <w:rsid w:val="00A35BC8"/>
  </w:style>
  <w:style w:type="character" w:customStyle="1" w:styleId="Pklad-textChar">
    <w:name w:val="Příklad - text Char"/>
    <w:basedOn w:val="Odstavec1Char"/>
    <w:link w:val="Pklad-text"/>
    <w:uiPriority w:val="70"/>
    <w:rsid w:val="00A35BC8"/>
  </w:style>
  <w:style w:type="numbering" w:customStyle="1" w:styleId="Vcerovovseznam">
    <w:name w:val="Víceúrovňový seznam"/>
    <w:uiPriority w:val="99"/>
    <w:rsid w:val="00A35BC8"/>
    <w:pPr>
      <w:numPr>
        <w:numId w:val="14"/>
      </w:numPr>
    </w:pPr>
  </w:style>
  <w:style w:type="table" w:styleId="Prosttabulka5">
    <w:name w:val="Plain Table 5"/>
    <w:basedOn w:val="Normlntabulka"/>
    <w:uiPriority w:val="45"/>
    <w:locked/>
    <w:rsid w:val="00A35B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Odstavec1EN">
    <w:name w:val="Odstavec 1 EN"/>
    <w:basedOn w:val="Odstavec1"/>
    <w:next w:val="DalodstavceEN"/>
    <w:rsid w:val="00A35BC8"/>
    <w:rPr>
      <w:lang w:val="en-GB"/>
    </w:rPr>
  </w:style>
  <w:style w:type="paragraph" w:customStyle="1" w:styleId="DalodstavceEN">
    <w:name w:val="Další odstavce EN"/>
    <w:basedOn w:val="Dalodstavce"/>
    <w:rsid w:val="00A35BC8"/>
    <w:rPr>
      <w:lang w:val="en-GB"/>
    </w:rPr>
  </w:style>
  <w:style w:type="paragraph" w:customStyle="1" w:styleId="Popisobrzku">
    <w:name w:val="Popis obrázku"/>
    <w:basedOn w:val="Odstavec1"/>
    <w:rsid w:val="00A35BC8"/>
    <w:pPr>
      <w:spacing w:after="240" w:line="260" w:lineRule="atLeast"/>
    </w:pPr>
    <w:rPr>
      <w:sz w:val="20"/>
      <w:szCs w:val="20"/>
      <w:lang w:eastAsia="sk-SK"/>
    </w:rPr>
  </w:style>
  <w:style w:type="paragraph" w:customStyle="1" w:styleId="Titulekpedpopisem">
    <w:name w:val="Titulek před popisem"/>
    <w:basedOn w:val="Titulek"/>
    <w:rsid w:val="00A35BC8"/>
    <w:pPr>
      <w:keepNext/>
      <w:spacing w:after="0"/>
    </w:pPr>
  </w:style>
  <w:style w:type="paragraph" w:customStyle="1" w:styleId="Titulektabulky">
    <w:name w:val="Titulek tabulky"/>
    <w:basedOn w:val="Titulek"/>
    <w:rsid w:val="00A35BC8"/>
    <w:pPr>
      <w:keepNext/>
      <w:spacing w:before="240"/>
    </w:pPr>
  </w:style>
  <w:style w:type="character" w:styleId="CittHTML">
    <w:name w:val="HTML Cite"/>
    <w:basedOn w:val="Standardnpsmoodstavce"/>
    <w:uiPriority w:val="99"/>
    <w:unhideWhenUsed/>
    <w:rsid w:val="00B4078A"/>
    <w:rPr>
      <w:i/>
      <w:iCs/>
    </w:rPr>
  </w:style>
  <w:style w:type="paragraph" w:customStyle="1" w:styleId="p2">
    <w:name w:val="p2"/>
    <w:basedOn w:val="Normln"/>
    <w:rsid w:val="00A02C80"/>
    <w:pPr>
      <w:spacing w:before="100" w:beforeAutospacing="1" w:after="100" w:afterAutospacing="1"/>
      <w:jc w:val="both"/>
    </w:pPr>
    <w:rPr>
      <w:rFonts w:ascii="Times New Roman" w:hAnsi="Times New Roman"/>
    </w:rPr>
  </w:style>
  <w:style w:type="character" w:customStyle="1" w:styleId="Nevyeenzmnka1">
    <w:name w:val="Nevyřešená zmínka1"/>
    <w:basedOn w:val="Standardnpsmoodstavce"/>
    <w:uiPriority w:val="99"/>
    <w:semiHidden/>
    <w:unhideWhenUsed/>
    <w:rsid w:val="00A72EDB"/>
    <w:rPr>
      <w:color w:val="605E5C"/>
      <w:shd w:val="clear" w:color="auto" w:fill="E1DFDD"/>
    </w:rPr>
  </w:style>
  <w:style w:type="character" w:styleId="Sledovanodkaz">
    <w:name w:val="FollowedHyperlink"/>
    <w:basedOn w:val="Standardnpsmoodstavce"/>
    <w:uiPriority w:val="99"/>
    <w:rsid w:val="00763738"/>
    <w:rPr>
      <w:color w:val="954F72" w:themeColor="followedHyperlink"/>
      <w:u w:val="single"/>
    </w:rPr>
  </w:style>
  <w:style w:type="character" w:styleId="Zdraznn">
    <w:name w:val="Emphasis"/>
    <w:basedOn w:val="Standardnpsmoodstavce"/>
    <w:uiPriority w:val="20"/>
    <w:qFormat/>
    <w:rsid w:val="001A01F9"/>
    <w:rPr>
      <w:i/>
      <w:iCs/>
    </w:rPr>
  </w:style>
  <w:style w:type="character" w:styleId="Nevyeenzmnka">
    <w:name w:val="Unresolved Mention"/>
    <w:basedOn w:val="Standardnpsmoodstavce"/>
    <w:uiPriority w:val="99"/>
    <w:semiHidden/>
    <w:unhideWhenUsed/>
    <w:rsid w:val="009D58B2"/>
    <w:rPr>
      <w:color w:val="605E5C"/>
      <w:shd w:val="clear" w:color="auto" w:fill="E1DFDD"/>
    </w:rPr>
  </w:style>
  <w:style w:type="paragraph" w:customStyle="1" w:styleId="q4">
    <w:name w:val="q4"/>
    <w:basedOn w:val="Normln"/>
    <w:rsid w:val="00E230D5"/>
    <w:pPr>
      <w:spacing w:before="100" w:beforeAutospacing="1" w:after="100" w:afterAutospacing="1"/>
    </w:pPr>
    <w:rPr>
      <w:rFonts w:ascii="Times New Roman" w:hAnsi="Times New Roman"/>
    </w:rPr>
  </w:style>
  <w:style w:type="character" w:styleId="PromnnHTML">
    <w:name w:val="HTML Variable"/>
    <w:basedOn w:val="Standardnpsmoodstavce"/>
    <w:uiPriority w:val="99"/>
    <w:semiHidden/>
    <w:unhideWhenUsed/>
    <w:rsid w:val="00E230D5"/>
    <w:rPr>
      <w:i/>
      <w:iCs/>
    </w:rPr>
  </w:style>
  <w:style w:type="paragraph" w:customStyle="1" w:styleId="l4">
    <w:name w:val="l4"/>
    <w:basedOn w:val="Normln"/>
    <w:rsid w:val="00CA7DD6"/>
    <w:pPr>
      <w:spacing w:before="100" w:beforeAutospacing="1" w:after="100" w:afterAutospacing="1"/>
    </w:pPr>
    <w:rPr>
      <w:rFonts w:ascii="Times New Roman" w:hAnsi="Times New Roman"/>
    </w:rPr>
  </w:style>
  <w:style w:type="paragraph" w:customStyle="1" w:styleId="l5">
    <w:name w:val="l5"/>
    <w:basedOn w:val="Normln"/>
    <w:rsid w:val="00CA7DD6"/>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45493790">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77766137">
      <w:bodyDiv w:val="1"/>
      <w:marLeft w:val="0"/>
      <w:marRight w:val="0"/>
      <w:marTop w:val="0"/>
      <w:marBottom w:val="0"/>
      <w:divBdr>
        <w:top w:val="none" w:sz="0" w:space="0" w:color="auto"/>
        <w:left w:val="none" w:sz="0" w:space="0" w:color="auto"/>
        <w:bottom w:val="none" w:sz="0" w:space="0" w:color="auto"/>
        <w:right w:val="none" w:sz="0" w:space="0" w:color="auto"/>
      </w:divBdr>
    </w:div>
    <w:div w:id="1183204850">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344091175">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79721488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www.beck-online.cz/bo/document-view.seam?documentId=nrptembrgzpxg4s7hfpxgxzsg42a&amp;groupIndex=0&amp;rowIndex=0" TargetMode="External"/><Relationship Id="rId39" Type="http://schemas.openxmlformats.org/officeDocument/2006/relationships/hyperlink" Target="https://www.mfcr.cz/cs/aktualne/v-mediich/2016/reakce-ovm-24594" TargetMode="Externa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yperlink" Target="http://www.beck-online.cz/bo/document-view.seam?documentId=mv2tmxzsgaydex3dniydinjt&amp;groupIndex=1&amp;rowIndex=0" TargetMode="External"/><Relationship Id="rId42" Type="http://schemas.openxmlformats.org/officeDocument/2006/relationships/hyperlink" Target="https://www.mfcr.cz/assets/cs/media/Material_2016_Uspechy-a-plany-MF_r4.pdf" TargetMode="External"/><Relationship Id="rId47"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yperlink" Target="https://www.epravo.cz/top/clanky/preshranicni-poskytovani-sluzeb-online-hrani-jiz-brzy-svobodneji-91738.html" TargetMode="External"/><Relationship Id="rId38" Type="http://schemas.openxmlformats.org/officeDocument/2006/relationships/hyperlink" Target="https://www.financnisprava.cz/assets/cs/prilohy/fs-organy-financni-spravy/Seznam-podani-dle-74-odst-4-DR_2017-03-14.pdf"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yperlink" Target="https://www.epravo.cz/clanky/novelizace-pravni-upravy-sverenskeho-fondu-106148.html" TargetMode="External"/><Relationship Id="rId41" Type="http://schemas.openxmlformats.org/officeDocument/2006/relationships/hyperlink" Target="https://www.psp.cz/sqw/text/orig2.sqw?idd=115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7.xml"/><Relationship Id="rId32" Type="http://schemas.openxmlformats.org/officeDocument/2006/relationships/hyperlink" Target="https://www.finance.cz/zpravy/finance/17361-danova-harmonizace-pokracovani/" TargetMode="External"/><Relationship Id="rId37" Type="http://schemas.openxmlformats.org/officeDocument/2006/relationships/hyperlink" Target="http://www.psp.cz/sqw/historie.sqw?o=7&amp;t=579" TargetMode="External"/><Relationship Id="rId40" Type="http://schemas.openxmlformats.org/officeDocument/2006/relationships/hyperlink" Target="https://www.psp.cz/sqw/text/orig2.sqw?idd=115500" TargetMode="Externa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hyperlink" Target="https://www.mfcr.cz/cs/aktualne/tiskove-zpravy/2013/dozor-nad-hazardem--pocet-udelenych-poku-9382" TargetMode="External"/><Relationship Id="rId36" Type="http://schemas.openxmlformats.org/officeDocument/2006/relationships/hyperlink" Target="http://www.beck-online.cz/bo/document-view.seam?documentId=mv2tgxzsgaytex3egaytima&amp;groupIndex=20&amp;rowIndex=0" TargetMode="Externa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ceskapozice.lidovky.cz/tema/hazard-v-obcich-aneb-o-vitanem-doplnku-rozpoctu.A160205_164612_pozice-tema_lube" TargetMode="External"/><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yperlink" Target="https://www.casino.org/blog/guide-to-gambling-winnings-taxation/" TargetMode="External"/><Relationship Id="rId30" Type="http://schemas.openxmlformats.org/officeDocument/2006/relationships/hyperlink" Target="http://www.psp.cz/sqw/text/orig2.sqw?idd=58577" TargetMode="External"/><Relationship Id="rId35" Type="http://schemas.openxmlformats.org/officeDocument/2006/relationships/hyperlink" Target="http://www.beck-online.cz/bo/document-view.seam?documentId=mv2tmxzsgaydqx3dniydkobv&amp;groupIndex=2&amp;rowIndex=0" TargetMode="External"/><Relationship Id="rId43" Type="http://schemas.openxmlformats.org/officeDocument/2006/relationships/header" Target="header9.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ceskapozice.lidovky.cz/tema/hazard-v-obcich-aneb-o-vitanem-doplnku-rozpoctu.A160205_164612_pozice-tema_lube" TargetMode="External"/><Relationship Id="rId13" Type="http://schemas.openxmlformats.org/officeDocument/2006/relationships/hyperlink" Target="https://www.psp.cz/sqw/text/orig2.sqw?idd=115506" TargetMode="External"/><Relationship Id="rId3" Type="http://schemas.openxmlformats.org/officeDocument/2006/relationships/hyperlink" Target="https://www.epravo.cz/top/clanky/preshranicni-poskytovani-sluzeb-online-hrani-jiz-brzy-svobodneji-91738.html" TargetMode="External"/><Relationship Id="rId7" Type="http://schemas.openxmlformats.org/officeDocument/2006/relationships/hyperlink" Target="https://www.psp.cz/sqw/text/orig2.sqw?idd=115500" TargetMode="External"/><Relationship Id="rId12" Type="http://schemas.openxmlformats.org/officeDocument/2006/relationships/hyperlink" Target="https://www.mfcr.cz/assets/cs/media/Material_2016_Uspechy-a-plany-MF_r4.pdf" TargetMode="External"/><Relationship Id="rId2" Type="http://schemas.openxmlformats.org/officeDocument/2006/relationships/hyperlink" Target="https://www.psp.cz/sqw/text/orig2.sqw?idd=115506" TargetMode="External"/><Relationship Id="rId16" Type="http://schemas.openxmlformats.org/officeDocument/2006/relationships/hyperlink" Target="http://www.beck-online.cz/bo/document-view.seam?documentId=mv2tgxzsgaytex3egaytima&amp;groupIndex=20&amp;rowIndex=0#" TargetMode="External"/><Relationship Id="rId1" Type="http://schemas.openxmlformats.org/officeDocument/2006/relationships/hyperlink" Target="https://www.beck-online.cz/bo/document-view.seam?documentId=mv2tmxzrhe4tex3dniydenzv&amp;groupIndex=0&amp;rowIndex=0" TargetMode="External"/><Relationship Id="rId6" Type="http://schemas.openxmlformats.org/officeDocument/2006/relationships/hyperlink" Target="https://www.finance.cz/zpravy/finance/17361-danova-harmonizace-pokracovani/" TargetMode="External"/><Relationship Id="rId11" Type="http://schemas.openxmlformats.org/officeDocument/2006/relationships/hyperlink" Target="https://www.financnisprava.cz/assets/cs/prilohy/fs-organy-financni-spravy/Seznam-podani-dle-74-odst-4-DR_2017-03-14.pdf" TargetMode="External"/><Relationship Id="rId5" Type="http://schemas.openxmlformats.org/officeDocument/2006/relationships/hyperlink" Target="http://www.beck-online.cz/bo/document-view.seam?documentId=mv2tmxzsgaydqx3dniydkobv&amp;groupIndex=2&amp;rowIndex=0" TargetMode="External"/><Relationship Id="rId15" Type="http://schemas.openxmlformats.org/officeDocument/2006/relationships/hyperlink" Target="http://www.psp.cz/sqw/historie.sqw?o=7&amp;t=579" TargetMode="External"/><Relationship Id="rId10" Type="http://schemas.openxmlformats.org/officeDocument/2006/relationships/hyperlink" Target="https://www.mfcr.cz/cs/aktualne/tiskove-zpravy/2013/dozor-nad-hazardem--pocet-udelenych-poku-9382" TargetMode="External"/><Relationship Id="rId4" Type="http://schemas.openxmlformats.org/officeDocument/2006/relationships/hyperlink" Target="https://www.epravo.cz/clanky/novelizace-pravni-upravy-sverenskeho-fondu-106148.html" TargetMode="External"/><Relationship Id="rId9" Type="http://schemas.openxmlformats.org/officeDocument/2006/relationships/hyperlink" Target="https://www.mfcr.cz/cs/aktualne/v-mediich/2016/reakce-ovm-24594" TargetMode="External"/><Relationship Id="rId14" Type="http://schemas.openxmlformats.org/officeDocument/2006/relationships/hyperlink" Target="https://www.casino.org/blog/guide-to-gambling-winnings-tax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Documents\Vlastn&#237;%20&#353;ablony%20Office\diplomov&#225;%20pr&#225;c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177AEBA48A4AD1824854B31AAB2182"/>
        <w:category>
          <w:name w:val="Obecné"/>
          <w:gallery w:val="placeholder"/>
        </w:category>
        <w:types>
          <w:type w:val="bbPlcHdr"/>
        </w:types>
        <w:behaviors>
          <w:behavior w:val="content"/>
        </w:behaviors>
        <w:guid w:val="{39A89801-5E45-4FC8-8C39-368586F79D9F}"/>
      </w:docPartPr>
      <w:docPartBody>
        <w:p w:rsidR="00342BEB" w:rsidRDefault="007108F0">
          <w:pPr>
            <w:pStyle w:val="26177AEBA48A4AD1824854B31AAB2182"/>
          </w:pPr>
          <w:r w:rsidRPr="006174FE">
            <w:rPr>
              <w:rStyle w:val="Zstupntext"/>
            </w:rPr>
            <w:t>Zvolte položku.</w:t>
          </w:r>
        </w:p>
      </w:docPartBody>
    </w:docPart>
    <w:docPart>
      <w:docPartPr>
        <w:name w:val="7D046CA9E13A49B0A91C5413950F462B"/>
        <w:category>
          <w:name w:val="Obecné"/>
          <w:gallery w:val="placeholder"/>
        </w:category>
        <w:types>
          <w:type w:val="bbPlcHdr"/>
        </w:types>
        <w:behaviors>
          <w:behavior w:val="content"/>
        </w:behaviors>
        <w:guid w:val="{DCE88BBD-9523-4BEA-B31C-0DFE35971E39}"/>
      </w:docPartPr>
      <w:docPartBody>
        <w:p w:rsidR="00342BEB" w:rsidRDefault="007108F0">
          <w:pPr>
            <w:pStyle w:val="7D046CA9E13A49B0A91C5413950F462B"/>
          </w:pPr>
          <w:r w:rsidRPr="001133CC">
            <w:rPr>
              <w:rStyle w:val="Zstupntext"/>
            </w:rPr>
            <w:t>[Autor]</w:t>
          </w:r>
        </w:p>
      </w:docPartBody>
    </w:docPart>
    <w:docPart>
      <w:docPartPr>
        <w:name w:val="ABD31EBB3A7D4506B472B733FCA8BD1E"/>
        <w:category>
          <w:name w:val="Obecné"/>
          <w:gallery w:val="placeholder"/>
        </w:category>
        <w:types>
          <w:type w:val="bbPlcHdr"/>
        </w:types>
        <w:behaviors>
          <w:behavior w:val="content"/>
        </w:behaviors>
        <w:guid w:val="{B25AE062-A1A4-4738-95A2-0F7C968AE4C5}"/>
      </w:docPartPr>
      <w:docPartBody>
        <w:p w:rsidR="00342BEB" w:rsidRDefault="007108F0">
          <w:pPr>
            <w:pStyle w:val="ABD31EBB3A7D4506B472B733FCA8BD1E"/>
          </w:pPr>
          <w:r w:rsidRPr="0052290E">
            <w:rPr>
              <w:rStyle w:val="Zstupntext"/>
            </w:rPr>
            <w:t>[</w:t>
          </w:r>
          <w:r>
            <w:rPr>
              <w:rStyle w:val="Zstupntext"/>
            </w:rPr>
            <w:t>Napište akademický rok odevzdání práce</w:t>
          </w:r>
          <w:r w:rsidRPr="0052290E">
            <w:rPr>
              <w:rStyle w:val="Zstupntext"/>
            </w:rPr>
            <w:t>]</w:t>
          </w:r>
        </w:p>
      </w:docPartBody>
    </w:docPart>
    <w:docPart>
      <w:docPartPr>
        <w:name w:val="C34B6FE31AC942A5AAF86A2FEC7F3EE7"/>
        <w:category>
          <w:name w:val="Obecné"/>
          <w:gallery w:val="placeholder"/>
        </w:category>
        <w:types>
          <w:type w:val="bbPlcHdr"/>
        </w:types>
        <w:behaviors>
          <w:behavior w:val="content"/>
        </w:behaviors>
        <w:guid w:val="{6AB7AC20-1FBA-4C25-B12A-EE0455FF9967}"/>
      </w:docPartPr>
      <w:docPartBody>
        <w:p w:rsidR="00342BEB" w:rsidRDefault="007108F0">
          <w:pPr>
            <w:pStyle w:val="C34B6FE31AC942A5AAF86A2FEC7F3EE7"/>
          </w:pPr>
          <w:r w:rsidRPr="00060E55">
            <w:rPr>
              <w:rStyle w:val="Zstupntext"/>
            </w:rPr>
            <w:t>[Autor]</w:t>
          </w:r>
        </w:p>
      </w:docPartBody>
    </w:docPart>
    <w:docPart>
      <w:docPartPr>
        <w:name w:val="56CD46412E36458EA5DE3CB5A03C447D"/>
        <w:category>
          <w:name w:val="Obecné"/>
          <w:gallery w:val="placeholder"/>
        </w:category>
        <w:types>
          <w:type w:val="bbPlcHdr"/>
        </w:types>
        <w:behaviors>
          <w:behavior w:val="content"/>
        </w:behaviors>
        <w:guid w:val="{822E8802-49FB-4E41-818E-E0C354D9A193}"/>
      </w:docPartPr>
      <w:docPartBody>
        <w:p w:rsidR="00342BEB" w:rsidRDefault="007108F0">
          <w:pPr>
            <w:pStyle w:val="56CD46412E36458EA5DE3CB5A03C447D"/>
          </w:pPr>
          <w:r w:rsidRPr="00060E55">
            <w:rPr>
              <w:rStyle w:val="Zstupntext"/>
            </w:rPr>
            <w:t>[Název]</w:t>
          </w:r>
        </w:p>
      </w:docPartBody>
    </w:docPart>
    <w:docPart>
      <w:docPartPr>
        <w:name w:val="A559BE9BECD141B5A275CC4F7F59E6D8"/>
        <w:category>
          <w:name w:val="Obecné"/>
          <w:gallery w:val="placeholder"/>
        </w:category>
        <w:types>
          <w:type w:val="bbPlcHdr"/>
        </w:types>
        <w:behaviors>
          <w:behavior w:val="content"/>
        </w:behaviors>
        <w:guid w:val="{1BD4FEC1-4D79-4DF9-9CAD-AD6F538F7B5D}"/>
      </w:docPartPr>
      <w:docPartBody>
        <w:p w:rsidR="00342BEB" w:rsidRDefault="007108F0">
          <w:pPr>
            <w:pStyle w:val="A559BE9BECD141B5A275CC4F7F59E6D8"/>
          </w:pPr>
          <w:r w:rsidRPr="00152A7A">
            <w:rPr>
              <w:rStyle w:val="Zstupntext"/>
            </w:rPr>
            <w:t>[Nadřízený]</w:t>
          </w:r>
        </w:p>
      </w:docPartBody>
    </w:docPart>
    <w:docPart>
      <w:docPartPr>
        <w:name w:val="2CB0C7F3736048498953F028805D5847"/>
        <w:category>
          <w:name w:val="Obecné"/>
          <w:gallery w:val="placeholder"/>
        </w:category>
        <w:types>
          <w:type w:val="bbPlcHdr"/>
        </w:types>
        <w:behaviors>
          <w:behavior w:val="content"/>
        </w:behaviors>
        <w:guid w:val="{BF3F38B4-B7DE-498C-8C30-3F5BA784EDD2}"/>
      </w:docPartPr>
      <w:docPartBody>
        <w:p w:rsidR="00342BEB" w:rsidRDefault="007108F0">
          <w:pPr>
            <w:pStyle w:val="2CB0C7F3736048498953F028805D5847"/>
          </w:pPr>
          <w:r w:rsidRPr="0052290E">
            <w:rPr>
              <w:rStyle w:val="Zstupntext"/>
            </w:rPr>
            <w:t>[</w:t>
          </w:r>
          <w:r>
            <w:rPr>
              <w:rStyle w:val="Zstupntext"/>
            </w:rPr>
            <w:t>Napište akademický rok odevzdání práce</w:t>
          </w:r>
          <w:r w:rsidRPr="0052290E">
            <w:rPr>
              <w:rStyle w:val="Zstupntext"/>
            </w:rPr>
            <w:t>]</w:t>
          </w:r>
        </w:p>
      </w:docPartBody>
    </w:docPart>
    <w:docPart>
      <w:docPartPr>
        <w:name w:val="441BEFA8113D45D2A00C8CD237F9AC45"/>
        <w:category>
          <w:name w:val="Obecné"/>
          <w:gallery w:val="placeholder"/>
        </w:category>
        <w:types>
          <w:type w:val="bbPlcHdr"/>
        </w:types>
        <w:behaviors>
          <w:behavior w:val="content"/>
        </w:behaviors>
        <w:guid w:val="{AEDFDCE1-AA19-4BED-A605-05C5DF6F3AC3}"/>
      </w:docPartPr>
      <w:docPartBody>
        <w:p w:rsidR="00342BEB" w:rsidRDefault="007108F0">
          <w:pPr>
            <w:pStyle w:val="441BEFA8113D45D2A00C8CD237F9AC45"/>
          </w:pPr>
          <w:r w:rsidRPr="00152A7A">
            <w:rPr>
              <w:rStyle w:val="Zstupntext"/>
            </w:rPr>
            <w:t>[Napište 5–10 klíčových slov v češtině. Stejný seznam musí být vložen do archívu závěrečných pracích v informačním systému MU.]</w:t>
          </w:r>
        </w:p>
      </w:docPartBody>
    </w:docPart>
    <w:docPart>
      <w:docPartPr>
        <w:name w:val="DF19A9A5792846C6BE604AFE3DE92B38"/>
        <w:category>
          <w:name w:val="Obecné"/>
          <w:gallery w:val="placeholder"/>
        </w:category>
        <w:types>
          <w:type w:val="bbPlcHdr"/>
        </w:types>
        <w:behaviors>
          <w:behavior w:val="content"/>
        </w:behaviors>
        <w:guid w:val="{9588D205-9246-44DD-8BB0-A4A4C6173D9F}"/>
      </w:docPartPr>
      <w:docPartBody>
        <w:p w:rsidR="00342BEB" w:rsidRDefault="007108F0">
          <w:pPr>
            <w:pStyle w:val="DF19A9A5792846C6BE604AFE3DE92B38"/>
          </w:pPr>
          <w:r w:rsidRPr="00060E55">
            <w:rPr>
              <w:rStyle w:val="Zstupntext"/>
            </w:rPr>
            <w:t>[Autor]</w:t>
          </w:r>
        </w:p>
      </w:docPartBody>
    </w:docPart>
    <w:docPart>
      <w:docPartPr>
        <w:name w:val="5678768282724818BE49CAB708A7C58B"/>
        <w:category>
          <w:name w:val="Obecné"/>
          <w:gallery w:val="placeholder"/>
        </w:category>
        <w:types>
          <w:type w:val="bbPlcHdr"/>
        </w:types>
        <w:behaviors>
          <w:behavior w:val="content"/>
        </w:behaviors>
        <w:guid w:val="{DC04E4E6-FE89-4A13-A78D-3141F874FA45}"/>
      </w:docPartPr>
      <w:docPartBody>
        <w:p w:rsidR="00342BEB" w:rsidRDefault="007108F0">
          <w:pPr>
            <w:pStyle w:val="5678768282724818BE49CAB708A7C58B"/>
          </w:pPr>
          <w:r w:rsidRPr="006174FE">
            <w:rPr>
              <w:rStyle w:val="Zstupntext"/>
            </w:rPr>
            <w:t>Zvolte položku.</w:t>
          </w:r>
        </w:p>
      </w:docPartBody>
    </w:docPart>
    <w:docPart>
      <w:docPartPr>
        <w:name w:val="DF62F78CC84348C8BDC8F2120C2F525F"/>
        <w:category>
          <w:name w:val="Obecné"/>
          <w:gallery w:val="placeholder"/>
        </w:category>
        <w:types>
          <w:type w:val="bbPlcHdr"/>
        </w:types>
        <w:behaviors>
          <w:behavior w:val="content"/>
        </w:behaviors>
        <w:guid w:val="{FF11B304-F5B6-4E98-BD84-EB49C4C56248}"/>
      </w:docPartPr>
      <w:docPartBody>
        <w:p w:rsidR="00342BEB" w:rsidRDefault="007108F0">
          <w:pPr>
            <w:pStyle w:val="DF62F78CC84348C8BDC8F2120C2F525F"/>
          </w:pPr>
          <w:r w:rsidRPr="00152A7A">
            <w:rPr>
              <w:rStyle w:val="Zstupntext"/>
              <w:lang w:val="en-GB"/>
            </w:rPr>
            <w:t>[Klepněte a napište název práce v angličtině]</w:t>
          </w:r>
        </w:p>
      </w:docPartBody>
    </w:docPart>
    <w:docPart>
      <w:docPartPr>
        <w:name w:val="2CBDDB9C47A345189AA88412DA888590"/>
        <w:category>
          <w:name w:val="Obecné"/>
          <w:gallery w:val="placeholder"/>
        </w:category>
        <w:types>
          <w:type w:val="bbPlcHdr"/>
        </w:types>
        <w:behaviors>
          <w:behavior w:val="content"/>
        </w:behaviors>
        <w:guid w:val="{A4354A5F-2107-45FD-AA93-3AD1F0854A20}"/>
      </w:docPartPr>
      <w:docPartBody>
        <w:p w:rsidR="00342BEB" w:rsidRDefault="007108F0">
          <w:pPr>
            <w:pStyle w:val="2CBDDB9C47A345189AA88412DA888590"/>
          </w:pPr>
          <w:r w:rsidRPr="006174FE">
            <w:rPr>
              <w:rStyle w:val="Zstupntext"/>
            </w:rPr>
            <w:t>Zvolte položku.</w:t>
          </w:r>
        </w:p>
      </w:docPartBody>
    </w:docPart>
    <w:docPart>
      <w:docPartPr>
        <w:name w:val="9C5D2FC0C02D40C1831B2C72DCED637F"/>
        <w:category>
          <w:name w:val="Obecné"/>
          <w:gallery w:val="placeholder"/>
        </w:category>
        <w:types>
          <w:type w:val="bbPlcHdr"/>
        </w:types>
        <w:behaviors>
          <w:behavior w:val="content"/>
        </w:behaviors>
        <w:guid w:val="{731D20D1-153A-404C-A777-F7E841516024}"/>
      </w:docPartPr>
      <w:docPartBody>
        <w:p w:rsidR="00342BEB" w:rsidRDefault="007108F0">
          <w:pPr>
            <w:pStyle w:val="9C5D2FC0C02D40C1831B2C72DCED637F"/>
          </w:pPr>
          <w:r w:rsidRPr="00152A7A">
            <w:rPr>
              <w:rStyle w:val="Zstupntext"/>
              <w:lang w:val="en-GB"/>
            </w:rPr>
            <w:t>[Nadřízený]</w:t>
          </w:r>
        </w:p>
      </w:docPartBody>
    </w:docPart>
    <w:docPart>
      <w:docPartPr>
        <w:name w:val="47EDBDA198B6456084DED743A2589A26"/>
        <w:category>
          <w:name w:val="Obecné"/>
          <w:gallery w:val="placeholder"/>
        </w:category>
        <w:types>
          <w:type w:val="bbPlcHdr"/>
        </w:types>
        <w:behaviors>
          <w:behavior w:val="content"/>
        </w:behaviors>
        <w:guid w:val="{D91B2803-636D-4357-9EB9-CA8A8CBC29B0}"/>
      </w:docPartPr>
      <w:docPartBody>
        <w:p w:rsidR="00342BEB" w:rsidRDefault="007108F0">
          <w:pPr>
            <w:pStyle w:val="47EDBDA198B6456084DED743A2589A26"/>
          </w:pPr>
          <w:r w:rsidRPr="0052290E">
            <w:rPr>
              <w:rStyle w:val="Zstupntext"/>
            </w:rPr>
            <w:t>[</w:t>
          </w:r>
          <w:r>
            <w:rPr>
              <w:rStyle w:val="Zstupntext"/>
            </w:rPr>
            <w:t>Napište akademický rok odevzdání práce</w:t>
          </w:r>
          <w:r w:rsidRPr="0052290E">
            <w:rPr>
              <w:rStyle w:val="Zstupntext"/>
            </w:rPr>
            <w:t>]</w:t>
          </w:r>
        </w:p>
      </w:docPartBody>
    </w:docPart>
    <w:docPart>
      <w:docPartPr>
        <w:name w:val="5E0D472DECF34CD6AF60D210152141F0"/>
        <w:category>
          <w:name w:val="Obecné"/>
          <w:gallery w:val="placeholder"/>
        </w:category>
        <w:types>
          <w:type w:val="bbPlcHdr"/>
        </w:types>
        <w:behaviors>
          <w:behavior w:val="content"/>
        </w:behaviors>
        <w:guid w:val="{F3D01B64-82F7-4807-873A-B642360CB481}"/>
      </w:docPartPr>
      <w:docPartBody>
        <w:p w:rsidR="00342BEB" w:rsidRDefault="007108F0">
          <w:pPr>
            <w:pStyle w:val="5E0D472DECF34CD6AF60D210152141F0"/>
          </w:pPr>
          <w:r w:rsidRPr="00152A7A">
            <w:rPr>
              <w:rStyle w:val="Zstupntext"/>
              <w:lang w:val="en-GB"/>
            </w:rPr>
            <w:t>[Napište 5–10 klíčových slov v angličtině. Stejný seznam musí být vložen do archívu závěrečných pracích v informačním systému MU.]</w:t>
          </w:r>
        </w:p>
      </w:docPartBody>
    </w:docPart>
    <w:docPart>
      <w:docPartPr>
        <w:name w:val="5F32D0FF0289496193EA5AFD789CCE63"/>
        <w:category>
          <w:name w:val="Obecné"/>
          <w:gallery w:val="placeholder"/>
        </w:category>
        <w:types>
          <w:type w:val="bbPlcHdr"/>
        </w:types>
        <w:behaviors>
          <w:behavior w:val="content"/>
        </w:behaviors>
        <w:guid w:val="{C07B6916-ED85-4498-A6BE-94D046832D41}"/>
      </w:docPartPr>
      <w:docPartBody>
        <w:p w:rsidR="00342BEB" w:rsidRDefault="007108F0">
          <w:pPr>
            <w:pStyle w:val="5F32D0FF0289496193EA5AFD789CCE63"/>
          </w:pPr>
          <w:r w:rsidRPr="006174FE">
            <w:rPr>
              <w:rStyle w:val="Zstupntext"/>
            </w:rPr>
            <w:t>Zvolte položku.</w:t>
          </w:r>
        </w:p>
      </w:docPartBody>
    </w:docPart>
    <w:docPart>
      <w:docPartPr>
        <w:name w:val="936B9E0907C4426DB7E7104A11D08E13"/>
        <w:category>
          <w:name w:val="Obecné"/>
          <w:gallery w:val="placeholder"/>
        </w:category>
        <w:types>
          <w:type w:val="bbPlcHdr"/>
        </w:types>
        <w:behaviors>
          <w:behavior w:val="content"/>
        </w:behaviors>
        <w:guid w:val="{9A9239A2-D100-4FF6-A85B-5826A95837A1}"/>
      </w:docPartPr>
      <w:docPartBody>
        <w:p w:rsidR="00342BEB" w:rsidRDefault="007108F0">
          <w:pPr>
            <w:pStyle w:val="936B9E0907C4426DB7E7104A11D08E13"/>
          </w:pPr>
          <w:r w:rsidRPr="001133CC">
            <w:rPr>
              <w:rStyle w:val="Zstupntext"/>
            </w:rPr>
            <w:t>[Název]</w:t>
          </w:r>
        </w:p>
      </w:docPartBody>
    </w:docPart>
    <w:docPart>
      <w:docPartPr>
        <w:name w:val="6BCF541AAE9347C7A8022A0A63418E19"/>
        <w:category>
          <w:name w:val="Obecné"/>
          <w:gallery w:val="placeholder"/>
        </w:category>
        <w:types>
          <w:type w:val="bbPlcHdr"/>
        </w:types>
        <w:behaviors>
          <w:behavior w:val="content"/>
        </w:behaviors>
        <w:guid w:val="{F8B95525-AC26-4123-8F8D-C13CB47D0EF0}"/>
      </w:docPartPr>
      <w:docPartBody>
        <w:p w:rsidR="00342BEB" w:rsidRDefault="007108F0">
          <w:pPr>
            <w:pStyle w:val="6BCF541AAE9347C7A8022A0A63418E19"/>
          </w:pPr>
          <w:r w:rsidRPr="00152A7A">
            <w:rPr>
              <w:rStyle w:val="Zstupntext"/>
            </w:rPr>
            <w:t>[vyberte podle pohlaví]</w:t>
          </w:r>
        </w:p>
      </w:docPartBody>
    </w:docPart>
    <w:docPart>
      <w:docPartPr>
        <w:name w:val="7A4FC56F678F4FA9B1FC8CADF62FC5E2"/>
        <w:category>
          <w:name w:val="Obecné"/>
          <w:gallery w:val="placeholder"/>
        </w:category>
        <w:types>
          <w:type w:val="bbPlcHdr"/>
        </w:types>
        <w:behaviors>
          <w:behavior w:val="content"/>
        </w:behaviors>
        <w:guid w:val="{1A7A6D10-225E-4FBC-B4D1-DBB20FFC288A}"/>
      </w:docPartPr>
      <w:docPartBody>
        <w:p w:rsidR="00342BEB" w:rsidRDefault="007108F0">
          <w:pPr>
            <w:pStyle w:val="7A4FC56F678F4FA9B1FC8CADF62FC5E2"/>
          </w:pPr>
          <w:r w:rsidRPr="0001165A">
            <w:rPr>
              <w:rStyle w:val="Zstupntext"/>
            </w:rPr>
            <w:t>Klikněte nebo klepněte sem a zadejte datum.</w:t>
          </w:r>
        </w:p>
      </w:docPartBody>
    </w:docPart>
    <w:docPart>
      <w:docPartPr>
        <w:name w:val="23984711C9D847EDA1529F4C7D23C3AB"/>
        <w:category>
          <w:name w:val="Obecné"/>
          <w:gallery w:val="placeholder"/>
        </w:category>
        <w:types>
          <w:type w:val="bbPlcHdr"/>
        </w:types>
        <w:behaviors>
          <w:behavior w:val="content"/>
        </w:behaviors>
        <w:guid w:val="{1BB5CF9F-4D52-43DF-8968-0545D4152F9C}"/>
      </w:docPartPr>
      <w:docPartBody>
        <w:p w:rsidR="00342BEB" w:rsidRDefault="007108F0">
          <w:pPr>
            <w:pStyle w:val="23984711C9D847EDA1529F4C7D23C3AB"/>
          </w:pPr>
          <w:r w:rsidRPr="00943580">
            <w:rPr>
              <w:rStyle w:val="Zstupntext"/>
            </w:rPr>
            <w:t>[Autor]</w:t>
          </w:r>
        </w:p>
      </w:docPartBody>
    </w:docPart>
    <w:docPart>
      <w:docPartPr>
        <w:name w:val="5429E1B06FEE487383A79708BBB1CCD4"/>
        <w:category>
          <w:name w:val="Obecné"/>
          <w:gallery w:val="placeholder"/>
        </w:category>
        <w:types>
          <w:type w:val="bbPlcHdr"/>
        </w:types>
        <w:behaviors>
          <w:behavior w:val="content"/>
        </w:behaviors>
        <w:guid w:val="{42D34302-6EB8-4151-BE5F-5F163F4E4CD4}"/>
      </w:docPartPr>
      <w:docPartBody>
        <w:p w:rsidR="00342BEB" w:rsidRDefault="007108F0">
          <w:pPr>
            <w:pStyle w:val="5429E1B06FEE487383A79708BBB1CCD4"/>
          </w:pPr>
          <w:r w:rsidRPr="009D6AD8">
            <w:rPr>
              <w:rStyle w:val="Zstupntext"/>
            </w:rPr>
            <w:t>[Název]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EC2"/>
    <w:rsid w:val="000C2DEA"/>
    <w:rsid w:val="001E4C3F"/>
    <w:rsid w:val="002054B9"/>
    <w:rsid w:val="00250E1A"/>
    <w:rsid w:val="00260A2E"/>
    <w:rsid w:val="00342BEB"/>
    <w:rsid w:val="00370641"/>
    <w:rsid w:val="003C3EC2"/>
    <w:rsid w:val="00462010"/>
    <w:rsid w:val="0058037B"/>
    <w:rsid w:val="00583E47"/>
    <w:rsid w:val="00675058"/>
    <w:rsid w:val="00685548"/>
    <w:rsid w:val="007108F0"/>
    <w:rsid w:val="00746CA9"/>
    <w:rsid w:val="00777DBC"/>
    <w:rsid w:val="0079787E"/>
    <w:rsid w:val="007F31B9"/>
    <w:rsid w:val="0085595B"/>
    <w:rsid w:val="0089600E"/>
    <w:rsid w:val="009350D5"/>
    <w:rsid w:val="00985E32"/>
    <w:rsid w:val="00B66D4D"/>
    <w:rsid w:val="00B83ED4"/>
    <w:rsid w:val="00BA554E"/>
    <w:rsid w:val="00C11608"/>
    <w:rsid w:val="00C935B8"/>
    <w:rsid w:val="00D54EB4"/>
    <w:rsid w:val="00E66337"/>
    <w:rsid w:val="00F953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42BEB"/>
    <w:rPr>
      <w:color w:val="808080"/>
    </w:rPr>
  </w:style>
  <w:style w:type="paragraph" w:customStyle="1" w:styleId="26177AEBA48A4AD1824854B31AAB2182">
    <w:name w:val="26177AEBA48A4AD1824854B31AAB2182"/>
  </w:style>
  <w:style w:type="paragraph" w:customStyle="1" w:styleId="7D046CA9E13A49B0A91C5413950F462B">
    <w:name w:val="7D046CA9E13A49B0A91C5413950F462B"/>
  </w:style>
  <w:style w:type="paragraph" w:customStyle="1" w:styleId="ABD31EBB3A7D4506B472B733FCA8BD1E">
    <w:name w:val="ABD31EBB3A7D4506B472B733FCA8BD1E"/>
  </w:style>
  <w:style w:type="paragraph" w:customStyle="1" w:styleId="905030DA9371488B87E0E0B69E9CB430">
    <w:name w:val="905030DA9371488B87E0E0B69E9CB430"/>
  </w:style>
  <w:style w:type="paragraph" w:customStyle="1" w:styleId="C34B6FE31AC942A5AAF86A2FEC7F3EE7">
    <w:name w:val="C34B6FE31AC942A5AAF86A2FEC7F3EE7"/>
  </w:style>
  <w:style w:type="paragraph" w:customStyle="1" w:styleId="56CD46412E36458EA5DE3CB5A03C447D">
    <w:name w:val="56CD46412E36458EA5DE3CB5A03C447D"/>
  </w:style>
  <w:style w:type="paragraph" w:customStyle="1" w:styleId="AC5DE0CDB55F420FBF212D94AAEAE591">
    <w:name w:val="AC5DE0CDB55F420FBF212D94AAEAE591"/>
  </w:style>
  <w:style w:type="paragraph" w:customStyle="1" w:styleId="A559BE9BECD141B5A275CC4F7F59E6D8">
    <w:name w:val="A559BE9BECD141B5A275CC4F7F59E6D8"/>
  </w:style>
  <w:style w:type="paragraph" w:customStyle="1" w:styleId="2CB0C7F3736048498953F028805D5847">
    <w:name w:val="2CB0C7F3736048498953F028805D5847"/>
  </w:style>
  <w:style w:type="paragraph" w:customStyle="1" w:styleId="441BEFA8113D45D2A00C8CD237F9AC45">
    <w:name w:val="441BEFA8113D45D2A00C8CD237F9AC45"/>
  </w:style>
  <w:style w:type="paragraph" w:customStyle="1" w:styleId="DF19A9A5792846C6BE604AFE3DE92B38">
    <w:name w:val="DF19A9A5792846C6BE604AFE3DE92B38"/>
  </w:style>
  <w:style w:type="paragraph" w:customStyle="1" w:styleId="5678768282724818BE49CAB708A7C58B">
    <w:name w:val="5678768282724818BE49CAB708A7C58B"/>
  </w:style>
  <w:style w:type="paragraph" w:customStyle="1" w:styleId="DF62F78CC84348C8BDC8F2120C2F525F">
    <w:name w:val="DF62F78CC84348C8BDC8F2120C2F525F"/>
  </w:style>
  <w:style w:type="paragraph" w:customStyle="1" w:styleId="C14235456D4C45CDBFE303B07721A3C0">
    <w:name w:val="C14235456D4C45CDBFE303B07721A3C0"/>
  </w:style>
  <w:style w:type="paragraph" w:customStyle="1" w:styleId="2CBDDB9C47A345189AA88412DA888590">
    <w:name w:val="2CBDDB9C47A345189AA88412DA888590"/>
  </w:style>
  <w:style w:type="paragraph" w:customStyle="1" w:styleId="9C5D2FC0C02D40C1831B2C72DCED637F">
    <w:name w:val="9C5D2FC0C02D40C1831B2C72DCED637F"/>
  </w:style>
  <w:style w:type="paragraph" w:customStyle="1" w:styleId="47EDBDA198B6456084DED743A2589A26">
    <w:name w:val="47EDBDA198B6456084DED743A2589A26"/>
  </w:style>
  <w:style w:type="paragraph" w:customStyle="1" w:styleId="5E0D472DECF34CD6AF60D210152141F0">
    <w:name w:val="5E0D472DECF34CD6AF60D210152141F0"/>
  </w:style>
  <w:style w:type="paragraph" w:customStyle="1" w:styleId="E13801D74BFE4585A156370A49371618">
    <w:name w:val="E13801D74BFE4585A156370A49371618"/>
  </w:style>
  <w:style w:type="paragraph" w:customStyle="1" w:styleId="6B02F645F513410EBAF4EB306421F38B">
    <w:name w:val="6B02F645F513410EBAF4EB306421F38B"/>
  </w:style>
  <w:style w:type="paragraph" w:customStyle="1" w:styleId="5F32D0FF0289496193EA5AFD789CCE63">
    <w:name w:val="5F32D0FF0289496193EA5AFD789CCE63"/>
  </w:style>
  <w:style w:type="paragraph" w:customStyle="1" w:styleId="936B9E0907C4426DB7E7104A11D08E13">
    <w:name w:val="936B9E0907C4426DB7E7104A11D08E13"/>
  </w:style>
  <w:style w:type="paragraph" w:customStyle="1" w:styleId="6BCF541AAE9347C7A8022A0A63418E19">
    <w:name w:val="6BCF541AAE9347C7A8022A0A63418E19"/>
  </w:style>
  <w:style w:type="paragraph" w:customStyle="1" w:styleId="7A4FC56F678F4FA9B1FC8CADF62FC5E2">
    <w:name w:val="7A4FC56F678F4FA9B1FC8CADF62FC5E2"/>
  </w:style>
  <w:style w:type="paragraph" w:customStyle="1" w:styleId="23984711C9D847EDA1529F4C7D23C3AB">
    <w:name w:val="23984711C9D847EDA1529F4C7D23C3AB"/>
  </w:style>
  <w:style w:type="paragraph" w:customStyle="1" w:styleId="34269BFE5A6C49ADB2566C8189FAAB82">
    <w:name w:val="34269BFE5A6C49ADB2566C8189FAAB82"/>
  </w:style>
  <w:style w:type="paragraph" w:customStyle="1" w:styleId="BCBF96AFEBAB41CBA0325CA10887646E">
    <w:name w:val="BCBF96AFEBAB41CBA0325CA10887646E"/>
  </w:style>
  <w:style w:type="paragraph" w:customStyle="1" w:styleId="DC94BF87DB4D40FB9FA00B93BDE93075">
    <w:name w:val="DC94BF87DB4D40FB9FA00B93BDE93075"/>
  </w:style>
  <w:style w:type="paragraph" w:customStyle="1" w:styleId="52D06C77E2B243CC88E8853918A065ED">
    <w:name w:val="52D06C77E2B243CC88E8853918A065ED"/>
  </w:style>
  <w:style w:type="paragraph" w:customStyle="1" w:styleId="804E6A7802DE4AD789EDBF2FD6A7463A">
    <w:name w:val="804E6A7802DE4AD789EDBF2FD6A7463A"/>
  </w:style>
  <w:style w:type="paragraph" w:customStyle="1" w:styleId="C8F15B6342154D6EAC54BA60C74606D9">
    <w:name w:val="C8F15B6342154D6EAC54BA60C74606D9"/>
  </w:style>
  <w:style w:type="paragraph" w:customStyle="1" w:styleId="526AC62AE4AE4BF78C5BE614FF5D1429">
    <w:name w:val="526AC62AE4AE4BF78C5BE614FF5D1429"/>
  </w:style>
  <w:style w:type="paragraph" w:customStyle="1" w:styleId="5429E1B06FEE487383A79708BBB1CCD4">
    <w:name w:val="5429E1B06FEE487383A79708BBB1CCD4"/>
  </w:style>
  <w:style w:type="paragraph" w:customStyle="1" w:styleId="DB2CE64C8218497D9E9B80FD66BD4924">
    <w:name w:val="DB2CE64C8218497D9E9B80FD66BD4924"/>
    <w:rsid w:val="003C3EC2"/>
  </w:style>
  <w:style w:type="paragraph" w:customStyle="1" w:styleId="1F3A0610226648DFB482FE27B31AAC0B">
    <w:name w:val="1F3A0610226648DFB482FE27B31AAC0B"/>
    <w:rsid w:val="003C3EC2"/>
  </w:style>
  <w:style w:type="paragraph" w:customStyle="1" w:styleId="C488EB82C7EE42B0A8E35AE9BB5A66D6">
    <w:name w:val="C488EB82C7EE42B0A8E35AE9BB5A66D6"/>
    <w:rsid w:val="003C3EC2"/>
  </w:style>
  <w:style w:type="paragraph" w:customStyle="1" w:styleId="8CEB4B37904B4FEDAD3E8C0E37D01CDB">
    <w:name w:val="8CEB4B37904B4FEDAD3E8C0E37D01CDB"/>
    <w:rsid w:val="003C3EC2"/>
  </w:style>
  <w:style w:type="paragraph" w:customStyle="1" w:styleId="06C10F2EEB1C453B93C4A820CD5BD9DD">
    <w:name w:val="06C10F2EEB1C453B93C4A820CD5BD9DD"/>
    <w:rsid w:val="003C3EC2"/>
  </w:style>
  <w:style w:type="paragraph" w:customStyle="1" w:styleId="85B074D022F04CF7A462564BB468205C">
    <w:name w:val="85B074D022F04CF7A462564BB468205C"/>
    <w:rsid w:val="003C3EC2"/>
  </w:style>
  <w:style w:type="paragraph" w:customStyle="1" w:styleId="4331572ECBFF4E7CA5E9346ABC30271C">
    <w:name w:val="4331572ECBFF4E7CA5E9346ABC30271C"/>
    <w:rsid w:val="00342BEB"/>
  </w:style>
  <w:style w:type="paragraph" w:customStyle="1" w:styleId="FC8AC232C17F493E85916D1BEDB70C23">
    <w:name w:val="FC8AC232C17F493E85916D1BEDB70C23"/>
    <w:rsid w:val="00342BEB"/>
  </w:style>
  <w:style w:type="paragraph" w:customStyle="1" w:styleId="D315F102B5124B91BBC412BBC2D52F8F">
    <w:name w:val="D315F102B5124B91BBC412BBC2D52F8F"/>
    <w:rsid w:val="00342BEB"/>
  </w:style>
  <w:style w:type="paragraph" w:customStyle="1" w:styleId="1BA1D63D590B431A9BD9375BB79CBA45">
    <w:name w:val="1BA1D63D590B431A9BD9375BB79CBA45"/>
    <w:rsid w:val="00342BEB"/>
  </w:style>
  <w:style w:type="paragraph" w:customStyle="1" w:styleId="5124FC47439C4083BE04BA1C3F39B0E7">
    <w:name w:val="5124FC47439C4083BE04BA1C3F39B0E7"/>
    <w:rsid w:val="00342BEB"/>
  </w:style>
  <w:style w:type="paragraph" w:customStyle="1" w:styleId="B374B7689C28417391E2196B08F83F43">
    <w:name w:val="B374B7689C28417391E2196B08F83F43"/>
    <w:rsid w:val="00342BEB"/>
  </w:style>
  <w:style w:type="paragraph" w:customStyle="1" w:styleId="A9BDBC39715E4DE3B9E0C8C5318FEDF4">
    <w:name w:val="A9BDBC39715E4DE3B9E0C8C5318FEDF4"/>
    <w:rsid w:val="00342BEB"/>
  </w:style>
  <w:style w:type="paragraph" w:customStyle="1" w:styleId="2BA29B1C2FC4437097E2D7BCFFDB51D7">
    <w:name w:val="2BA29B1C2FC4437097E2D7BCFFDB51D7"/>
    <w:rsid w:val="00342BEB"/>
  </w:style>
  <w:style w:type="paragraph" w:customStyle="1" w:styleId="87F812B77C414E20816B48AF49C399DF">
    <w:name w:val="87F812B77C414E20816B48AF49C399DF"/>
    <w:rsid w:val="00342BEB"/>
  </w:style>
  <w:style w:type="paragraph" w:customStyle="1" w:styleId="8D462EF844CD47FBAF98A2704548FF3B">
    <w:name w:val="8D462EF844CD47FBAF98A2704548FF3B"/>
    <w:rsid w:val="00342BEB"/>
  </w:style>
  <w:style w:type="paragraph" w:customStyle="1" w:styleId="AE0260A6D6BC4751B6BE3E3205084E7F">
    <w:name w:val="AE0260A6D6BC4751B6BE3E3205084E7F"/>
    <w:rsid w:val="00342BEB"/>
  </w:style>
  <w:style w:type="paragraph" w:customStyle="1" w:styleId="8165DBFE7E084929B95DEE576100692A">
    <w:name w:val="8165DBFE7E084929B95DEE576100692A"/>
    <w:rsid w:val="00342BEB"/>
  </w:style>
  <w:style w:type="paragraph" w:customStyle="1" w:styleId="7724323BF94E4F8AA7160ADA1DCE820F">
    <w:name w:val="7724323BF94E4F8AA7160ADA1DCE820F"/>
    <w:rsid w:val="00342B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b:Source>
    <b:Tag>Y5rnxfgZ4xD9jgTX</b:Tag>
    <b:SourceType>Book</b:SourceType>
    <b:Author>
      <b:Author>
        <b:NameList>
          <b:Person>
            <b:Last>Kočička</b:Last>
            <b:First>Pavel</b:First>
          </b:Person>
          <b:Person>
            <b:Last>Blažek</b:Last>
            <b:First>Filip</b:First>
          </b:Person>
        </b:NameList>
      </b:Author>
    </b:Author>
    <b:StandardNumber>ISBN 8072263854</b:StandardNumber>
    <b:Edition>Dotisk 2. vyd.</b:Edition>
    <b:Year>2007</b:Year>
    <b:City>Brno</b:City>
    <b:Publisher>Computer Press</b:Publisher>
    <b:Title>Praktická typografie</b:Title>
    <b:ShortTitle>Praktická typografie</b:ShortTitle>
    <b:Pages>xiv, 288 s.</b:Pages>
    <b:RefOrder>1</b:RefOrder>
  </b:Source>
  <b:Source>
    <b:Tag>q0ahZOac4r41aSvN</b:Tag>
    <b:SourceType>Misc</b:SourceType>
    <b:Author>
      <b:Author>
        <b:Corporate>ČSN ISO 2145 (010184)</b:Corporate>
      </b:Author>
    </b:Author>
    <b:NormNumber>ČSN ISO 2145 (010184)</b:NormNumber>
    <b:Year>1997</b:Year>
    <b:City>Praha</b:City>
    <b:Publisher>Český normalizační institut</b:Publisher>
    <b:Title>Dokumentace - Číslování oddílů a pododdílů psaných dokumentů</b:Title>
    <b:ShortTitle>Dokumentace - Číslování oddílů a pododdílů psaných dokumentů</b:ShortTitle>
    <b:RefOrder>2</b:RefOrder>
  </b:Source>
  <b:Source>
    <b:Tag>NaxkOG5DZBUe6kMZ</b:Tag>
    <b:SourceType>Book</b:SourceType>
    <b:Author>
      <b:Author>
        <b:NameList>
          <b:Person>
            <b:Last>Čapek</b:Last>
            <b:First>Karel</b:First>
          </b:Person>
        </b:NameList>
      </b:Author>
    </b:Author>
    <b:ISBN>15454558</b:ISBN>
    <b:Year>1934</b:Year>
    <b:Edition>1</b:Edition>
    <b:City>Praha</b:City>
    <b:Publisher>LN</b:Publisher>
    <b:Title>Anglické listy</b:Title>
    <b:ShortTitle>Anglické listy</b:ShortTitle>
    <b:RefOrder>3</b:RefOrder>
  </b:Source>
</b:Sources>
</file>

<file path=customXml/itemProps1.xml><?xml version="1.0" encoding="utf-8"?>
<ds:datastoreItem xmlns:ds="http://schemas.openxmlformats.org/officeDocument/2006/customXml" ds:itemID="{75A5D41B-92EA-4CCC-9C78-B46B9C3E0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diplomová práce</Template>
  <TotalTime>1</TotalTime>
  <Pages>83</Pages>
  <Words>19901</Words>
  <Characters>113838</Characters>
  <Application>Microsoft Office Word</Application>
  <DocSecurity>0</DocSecurity>
  <Lines>2147</Lines>
  <Paragraphs>300</Paragraphs>
  <ScaleCrop>false</ScaleCrop>
  <HeadingPairs>
    <vt:vector size="2" baseType="variant">
      <vt:variant>
        <vt:lpstr>Název</vt:lpstr>
      </vt:variant>
      <vt:variant>
        <vt:i4>1</vt:i4>
      </vt:variant>
    </vt:vector>
  </HeadingPairs>
  <TitlesOfParts>
    <vt:vector size="1" baseType="lpstr">
      <vt:lpstr>Zdanění hazardu</vt:lpstr>
    </vt:vector>
  </TitlesOfParts>
  <Manager>doc. JUDr. Ing. Michal Radvan, Ph.D.</Manager>
  <Company>MJ</Company>
  <LinksUpToDate>false</LinksUpToDate>
  <CharactersWithSpaces>133439</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Zdanění hazardu</dc:title>
  <dc:subject/>
  <dc:creator>Simona Marie Zdeňková</dc:creator>
  <cp:keywords/>
  <cp:lastModifiedBy>Helena Hynková</cp:lastModifiedBy>
  <cp:revision>2</cp:revision>
  <cp:lastPrinted>2020-06-30T21:18:00Z</cp:lastPrinted>
  <dcterms:created xsi:type="dcterms:W3CDTF">2020-06-30T21:24:00Z</dcterms:created>
  <dcterms:modified xsi:type="dcterms:W3CDTF">2020-06-30T21:24:00Z</dcterms:modified>
  <cp:category>2020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lpwstr>STARE</vt:lpwstr>
  </property>
</Properties>
</file>