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C79" w:rsidRDefault="00A61E00" w:rsidP="00FA7B84">
      <w:pPr>
        <w:pStyle w:val="Zkladntext"/>
        <w:spacing w:line="276" w:lineRule="auto"/>
        <w:jc w:val="center"/>
        <w:rPr>
          <w:spacing w:val="32"/>
          <w:sz w:val="32"/>
        </w:rPr>
      </w:pPr>
      <w:r>
        <w:rPr>
          <w:spacing w:val="32"/>
          <w:sz w:val="32"/>
        </w:rPr>
        <w:t>Masarykova univerzita</w:t>
      </w:r>
    </w:p>
    <w:p w:rsidR="00AE0C79" w:rsidRDefault="00A61E00" w:rsidP="00FA7B84">
      <w:pPr>
        <w:pStyle w:val="Diplomka-textodstavce"/>
        <w:spacing w:before="0" w:after="100" w:line="276" w:lineRule="auto"/>
        <w:jc w:val="center"/>
        <w:rPr>
          <w:bCs/>
          <w:sz w:val="32"/>
        </w:rPr>
      </w:pPr>
      <w:r>
        <w:rPr>
          <w:bCs/>
          <w:sz w:val="32"/>
        </w:rPr>
        <w:t>Ekonomicko</w:t>
      </w:r>
      <w:r>
        <w:rPr>
          <w:bCs/>
          <w:sz w:val="32"/>
        </w:rPr>
        <w:noBreakHyphen/>
        <w:t>správní fakulta</w:t>
      </w:r>
    </w:p>
    <w:p w:rsidR="00AE0C79" w:rsidRDefault="00A61E00" w:rsidP="00FA7B84">
      <w:pPr>
        <w:pStyle w:val="Diplomka-textodstavce"/>
        <w:spacing w:before="100" w:after="100" w:line="276" w:lineRule="auto"/>
        <w:jc w:val="center"/>
        <w:rPr>
          <w:b/>
        </w:rPr>
      </w:pPr>
      <w:r>
        <w:rPr>
          <w:b/>
        </w:rPr>
        <w:t>Studijní obor: Podniková ekonomika a management</w:t>
      </w:r>
    </w:p>
    <w:p w:rsidR="00AE0C79" w:rsidRDefault="00AE0C79" w:rsidP="00FA7B84">
      <w:pPr>
        <w:pStyle w:val="Zkladntext"/>
        <w:spacing w:line="276" w:lineRule="auto"/>
        <w:jc w:val="center"/>
      </w:pPr>
    </w:p>
    <w:p w:rsidR="00AE0C79" w:rsidRDefault="00A61E00" w:rsidP="00FA7B84">
      <w:pPr>
        <w:pStyle w:val="Zkladntext"/>
        <w:spacing w:line="276" w:lineRule="auto"/>
        <w:jc w:val="left"/>
      </w:pPr>
      <w:r>
        <w:rPr>
          <w:noProof/>
          <w:lang w:eastAsia="cs-CZ"/>
        </w:rPr>
        <w:drawing>
          <wp:anchor distT="0" distB="0" distL="114935" distR="114935" simplePos="0" relativeHeight="251663360" behindDoc="0" locked="0" layoutInCell="1" allowOverlap="1">
            <wp:simplePos x="0" y="0"/>
            <wp:positionH relativeFrom="column">
              <wp:posOffset>2063115</wp:posOffset>
            </wp:positionH>
            <wp:positionV relativeFrom="paragraph">
              <wp:posOffset>72390</wp:posOffset>
            </wp:positionV>
            <wp:extent cx="1437005" cy="1437005"/>
            <wp:effectExtent l="19050" t="0" r="0" b="0"/>
            <wp:wrapTopAndBottom/>
            <wp:docPr id="1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437005" cy="1437005"/>
                    </a:xfrm>
                    <a:prstGeom prst="rect">
                      <a:avLst/>
                    </a:prstGeom>
                    <a:solidFill>
                      <a:srgbClr val="FFFFFF"/>
                    </a:solidFill>
                    <a:ln w="9525">
                      <a:noFill/>
                      <a:miter lim="800000"/>
                      <a:headEnd/>
                      <a:tailEnd/>
                    </a:ln>
                  </pic:spPr>
                </pic:pic>
              </a:graphicData>
            </a:graphic>
          </wp:anchor>
        </w:drawing>
      </w:r>
      <w:r>
        <w:br/>
      </w:r>
    </w:p>
    <w:p w:rsidR="00AE0C79" w:rsidRDefault="00AE0C79" w:rsidP="00FA7B84">
      <w:pPr>
        <w:pStyle w:val="Zkladntext"/>
        <w:spacing w:line="276" w:lineRule="auto"/>
        <w:jc w:val="center"/>
      </w:pPr>
    </w:p>
    <w:p w:rsidR="00AE0C79" w:rsidRDefault="00A61E00" w:rsidP="00FA7B84">
      <w:pPr>
        <w:pStyle w:val="Zkladntext"/>
        <w:spacing w:before="240" w:line="276" w:lineRule="auto"/>
        <w:jc w:val="center"/>
        <w:rPr>
          <w:bCs/>
          <w:caps/>
          <w:sz w:val="40"/>
          <w:szCs w:val="40"/>
        </w:rPr>
      </w:pPr>
      <w:r>
        <w:rPr>
          <w:bCs/>
          <w:caps/>
          <w:sz w:val="40"/>
          <w:szCs w:val="40"/>
        </w:rPr>
        <w:t>FINANČNÍ MĚŘENÍ KONKURENCESCHOPNOSTI vYBRANÉHO PODNIKU</w:t>
      </w:r>
    </w:p>
    <w:p w:rsidR="00AE0C79" w:rsidRDefault="00A61E00" w:rsidP="00FA7B84">
      <w:pPr>
        <w:pStyle w:val="Zkladntext"/>
        <w:spacing w:before="240" w:line="276" w:lineRule="auto"/>
        <w:jc w:val="center"/>
        <w:rPr>
          <w:sz w:val="40"/>
          <w:szCs w:val="40"/>
        </w:rPr>
      </w:pPr>
      <w:r>
        <w:rPr>
          <w:sz w:val="40"/>
          <w:szCs w:val="40"/>
        </w:rPr>
        <w:t xml:space="preserve">The financial </w:t>
      </w:r>
      <w:proofErr w:type="spellStart"/>
      <w:r w:rsidR="00A03DA4">
        <w:rPr>
          <w:sz w:val="40"/>
          <w:szCs w:val="40"/>
        </w:rPr>
        <w:t>measuring</w:t>
      </w:r>
      <w:proofErr w:type="spellEnd"/>
      <w:r w:rsidR="00A03DA4">
        <w:rPr>
          <w:sz w:val="40"/>
          <w:szCs w:val="40"/>
        </w:rPr>
        <w:t xml:space="preserve"> </w:t>
      </w:r>
      <w:proofErr w:type="spellStart"/>
      <w:r w:rsidR="00A03DA4">
        <w:rPr>
          <w:sz w:val="40"/>
          <w:szCs w:val="40"/>
        </w:rPr>
        <w:t>of</w:t>
      </w:r>
      <w:proofErr w:type="spellEnd"/>
      <w:r w:rsidR="00A03DA4">
        <w:rPr>
          <w:sz w:val="40"/>
          <w:szCs w:val="40"/>
        </w:rPr>
        <w:t xml:space="preserve"> </w:t>
      </w:r>
      <w:proofErr w:type="spellStart"/>
      <w:r w:rsidR="00A03DA4">
        <w:rPr>
          <w:sz w:val="40"/>
          <w:szCs w:val="40"/>
        </w:rPr>
        <w:t>competitiveness</w:t>
      </w:r>
      <w:proofErr w:type="spellEnd"/>
      <w:r w:rsidR="00A03DA4">
        <w:rPr>
          <w:sz w:val="40"/>
          <w:szCs w:val="40"/>
        </w:rPr>
        <w:t xml:space="preserve"> </w:t>
      </w:r>
      <w:proofErr w:type="spellStart"/>
      <w:r w:rsidR="00A03DA4">
        <w:rPr>
          <w:sz w:val="40"/>
          <w:szCs w:val="40"/>
        </w:rPr>
        <w:t>ch</w:t>
      </w:r>
      <w:r>
        <w:rPr>
          <w:sz w:val="40"/>
          <w:szCs w:val="40"/>
        </w:rPr>
        <w:t>osen</w:t>
      </w:r>
      <w:proofErr w:type="spellEnd"/>
      <w:r>
        <w:rPr>
          <w:sz w:val="40"/>
          <w:szCs w:val="40"/>
        </w:rPr>
        <w:t xml:space="preserve"> </w:t>
      </w:r>
      <w:proofErr w:type="spellStart"/>
      <w:r>
        <w:rPr>
          <w:sz w:val="40"/>
          <w:szCs w:val="40"/>
        </w:rPr>
        <w:t>company</w:t>
      </w:r>
      <w:proofErr w:type="spellEnd"/>
    </w:p>
    <w:p w:rsidR="00AE0C79" w:rsidRDefault="00A61E00" w:rsidP="00FA7B84">
      <w:pPr>
        <w:spacing w:before="480" w:line="276" w:lineRule="auto"/>
        <w:jc w:val="center"/>
        <w:rPr>
          <w:bCs/>
          <w:sz w:val="32"/>
        </w:rPr>
      </w:pPr>
      <w:r>
        <w:rPr>
          <w:bCs/>
          <w:sz w:val="32"/>
        </w:rPr>
        <w:t>Bakalářská práce</w:t>
      </w:r>
    </w:p>
    <w:p w:rsidR="00AE0C79" w:rsidRDefault="00AE0C79" w:rsidP="00FA7B84">
      <w:pPr>
        <w:spacing w:before="480" w:line="276" w:lineRule="auto"/>
        <w:jc w:val="center"/>
        <w:rPr>
          <w:bCs/>
          <w:sz w:val="32"/>
        </w:rPr>
      </w:pPr>
    </w:p>
    <w:p w:rsidR="00AE0C79" w:rsidRDefault="00AE0C79" w:rsidP="00FA7B84">
      <w:pPr>
        <w:spacing w:before="480" w:line="276" w:lineRule="auto"/>
        <w:jc w:val="center"/>
        <w:rPr>
          <w:bCs/>
          <w:sz w:val="32"/>
        </w:rPr>
      </w:pPr>
    </w:p>
    <w:p w:rsidR="00AE0C79" w:rsidRDefault="00AE0C79" w:rsidP="00FA7B84">
      <w:pPr>
        <w:spacing w:before="480" w:line="276" w:lineRule="auto"/>
        <w:jc w:val="center"/>
        <w:rPr>
          <w:bCs/>
          <w:sz w:val="32"/>
        </w:rPr>
      </w:pPr>
    </w:p>
    <w:p w:rsidR="00AE0C79" w:rsidRDefault="00A61E00" w:rsidP="00FA7B84">
      <w:pPr>
        <w:spacing w:before="480" w:line="276" w:lineRule="auto"/>
        <w:jc w:val="left"/>
        <w:rPr>
          <w:bCs/>
          <w:sz w:val="32"/>
        </w:rPr>
      </w:pPr>
      <w:r>
        <w:rPr>
          <w:sz w:val="26"/>
        </w:rPr>
        <w:t>Vedoucí bakalářské práce:</w:t>
      </w:r>
      <w:r>
        <w:rPr>
          <w:sz w:val="26"/>
        </w:rPr>
        <w:tab/>
      </w:r>
      <w:r>
        <w:rPr>
          <w:sz w:val="26"/>
        </w:rPr>
        <w:tab/>
      </w:r>
      <w:r>
        <w:rPr>
          <w:sz w:val="26"/>
        </w:rPr>
        <w:tab/>
      </w:r>
      <w:r>
        <w:rPr>
          <w:sz w:val="26"/>
        </w:rPr>
        <w:tab/>
      </w:r>
      <w:r>
        <w:rPr>
          <w:sz w:val="26"/>
        </w:rPr>
        <w:tab/>
      </w:r>
      <w:r>
        <w:rPr>
          <w:sz w:val="26"/>
        </w:rPr>
        <w:tab/>
        <w:t>Autor:</w:t>
      </w:r>
    </w:p>
    <w:p w:rsidR="00AE0C79" w:rsidRDefault="00A61E00" w:rsidP="00FA7B84">
      <w:pPr>
        <w:pStyle w:val="Zkladntext"/>
        <w:spacing w:line="276" w:lineRule="auto"/>
        <w:jc w:val="left"/>
        <w:rPr>
          <w:caps/>
          <w:sz w:val="26"/>
        </w:rPr>
      </w:pPr>
      <w:r>
        <w:rPr>
          <w:sz w:val="26"/>
        </w:rPr>
        <w:t>doc. Ing. Petr Suchánek, Ph.D.</w:t>
      </w:r>
      <w:r>
        <w:rPr>
          <w:sz w:val="26"/>
        </w:rPr>
        <w:tab/>
      </w:r>
      <w:r>
        <w:rPr>
          <w:sz w:val="26"/>
        </w:rPr>
        <w:tab/>
      </w:r>
      <w:r>
        <w:rPr>
          <w:sz w:val="26"/>
        </w:rPr>
        <w:tab/>
      </w:r>
      <w:r>
        <w:rPr>
          <w:sz w:val="26"/>
        </w:rPr>
        <w:tab/>
      </w:r>
      <w:r>
        <w:rPr>
          <w:sz w:val="26"/>
        </w:rPr>
        <w:tab/>
        <w:t xml:space="preserve">Michal </w:t>
      </w:r>
      <w:r>
        <w:rPr>
          <w:caps/>
          <w:sz w:val="26"/>
        </w:rPr>
        <w:t>BOHÁČ</w:t>
      </w:r>
    </w:p>
    <w:p w:rsidR="00AE0C79" w:rsidRDefault="00AE0C79" w:rsidP="00FA7B84">
      <w:pPr>
        <w:pStyle w:val="Zkladntext"/>
        <w:spacing w:line="276" w:lineRule="auto"/>
        <w:jc w:val="left"/>
        <w:rPr>
          <w:caps/>
          <w:sz w:val="26"/>
        </w:rPr>
      </w:pPr>
    </w:p>
    <w:p w:rsidR="00AE0C79" w:rsidRDefault="00AE0C79" w:rsidP="00FA7B84">
      <w:pPr>
        <w:pStyle w:val="Zkladntext"/>
        <w:spacing w:line="276" w:lineRule="auto"/>
        <w:jc w:val="left"/>
        <w:rPr>
          <w:caps/>
          <w:sz w:val="26"/>
        </w:rPr>
      </w:pPr>
    </w:p>
    <w:p w:rsidR="00AE0C79" w:rsidRDefault="00A61E00" w:rsidP="00FA7B84">
      <w:pPr>
        <w:spacing w:line="276" w:lineRule="auto"/>
        <w:jc w:val="center"/>
        <w:rPr>
          <w:sz w:val="26"/>
        </w:rPr>
      </w:pPr>
      <w:r>
        <w:rPr>
          <w:sz w:val="26"/>
        </w:rPr>
        <w:t>Brno, 2012</w:t>
      </w:r>
    </w:p>
    <w:p w:rsidR="00AE0C79" w:rsidRDefault="00A61E00" w:rsidP="00FA7B84">
      <w:pPr>
        <w:spacing w:line="276" w:lineRule="auto"/>
        <w:jc w:val="left"/>
        <w:rPr>
          <w:sz w:val="26"/>
        </w:rPr>
      </w:pPr>
      <w:r>
        <w:rPr>
          <w:sz w:val="26"/>
        </w:rPr>
        <w:br w:type="page"/>
      </w:r>
    </w:p>
    <w:p w:rsidR="00AE0C79" w:rsidRDefault="00A61E00" w:rsidP="00FA7B84">
      <w:pPr>
        <w:jc w:val="center"/>
        <w:rPr>
          <w:b/>
          <w:bCs/>
        </w:rPr>
      </w:pPr>
      <w:r>
        <w:rPr>
          <w:b/>
          <w:bCs/>
        </w:rPr>
        <w:lastRenderedPageBreak/>
        <w:t xml:space="preserve">Masarykova univerzita </w:t>
      </w:r>
    </w:p>
    <w:p w:rsidR="00AE0C79" w:rsidRDefault="00A61E00" w:rsidP="00FA7B84">
      <w:pPr>
        <w:jc w:val="center"/>
        <w:rPr>
          <w:b/>
          <w:bCs/>
        </w:rPr>
      </w:pPr>
      <w:r>
        <w:rPr>
          <w:b/>
          <w:bCs/>
        </w:rPr>
        <w:t>Ekonomicko-správní fakulta</w:t>
      </w:r>
    </w:p>
    <w:p w:rsidR="00AE0C79" w:rsidRDefault="00AE0C79" w:rsidP="00FA7B84"/>
    <w:p w:rsidR="00AE0C79" w:rsidRDefault="00A61E00" w:rsidP="00FA7B84">
      <w:pPr>
        <w:rPr>
          <w:b/>
          <w:bCs/>
        </w:rPr>
      </w:pPr>
      <w:r>
        <w:rPr>
          <w:b/>
          <w:bCs/>
        </w:rPr>
        <w:t>Katedra podnikového hospodářství</w:t>
      </w:r>
    </w:p>
    <w:p w:rsidR="00AE0C79" w:rsidRDefault="00A61E00" w:rsidP="00FA7B84">
      <w:r>
        <w:rPr>
          <w:b/>
          <w:bCs/>
        </w:rPr>
        <w:t>Akademický rok 2011/2012</w:t>
      </w:r>
    </w:p>
    <w:p w:rsidR="00AE0C79" w:rsidRDefault="00AE0C79" w:rsidP="00FA7B84"/>
    <w:p w:rsidR="00AE0C79" w:rsidRDefault="00A61E00" w:rsidP="00FA7B84">
      <w:pPr>
        <w:jc w:val="center"/>
        <w:rPr>
          <w:b/>
          <w:sz w:val="40"/>
          <w:szCs w:val="40"/>
        </w:rPr>
      </w:pPr>
      <w:r>
        <w:rPr>
          <w:b/>
          <w:sz w:val="40"/>
          <w:szCs w:val="40"/>
        </w:rPr>
        <w:t>ZADÁNÍ  BAKALÁŘSKÉ  PRÁCE</w:t>
      </w:r>
    </w:p>
    <w:p w:rsidR="00AE0C79" w:rsidRDefault="00AE0C79" w:rsidP="00FA7B84"/>
    <w:p w:rsidR="00AE0C79" w:rsidRDefault="00A61E00" w:rsidP="00FA7B84">
      <w:pPr>
        <w:rPr>
          <w:b/>
          <w:bCs/>
        </w:rPr>
      </w:pPr>
      <w:r>
        <w:rPr>
          <w:b/>
          <w:bCs/>
        </w:rPr>
        <w:t>Pro:</w:t>
      </w:r>
      <w:r>
        <w:rPr>
          <w:b/>
          <w:bCs/>
        </w:rPr>
        <w:tab/>
      </w:r>
      <w:r>
        <w:rPr>
          <w:b/>
          <w:bCs/>
        </w:rPr>
        <w:tab/>
      </w:r>
      <w:r>
        <w:rPr>
          <w:b/>
          <w:bCs/>
        </w:rPr>
        <w:tab/>
        <w:t>BOHÁČ Michal</w:t>
      </w:r>
    </w:p>
    <w:p w:rsidR="00AE0C79" w:rsidRDefault="00A61E00" w:rsidP="00FA7B84">
      <w:pPr>
        <w:rPr>
          <w:b/>
          <w:bCs/>
        </w:rPr>
      </w:pPr>
      <w:r>
        <w:rPr>
          <w:b/>
          <w:bCs/>
        </w:rPr>
        <w:t>Obor:</w:t>
      </w:r>
      <w:r>
        <w:rPr>
          <w:b/>
          <w:bCs/>
        </w:rPr>
        <w:tab/>
      </w:r>
      <w:r>
        <w:rPr>
          <w:b/>
          <w:bCs/>
        </w:rPr>
        <w:tab/>
      </w:r>
      <w:r>
        <w:rPr>
          <w:b/>
          <w:bCs/>
        </w:rPr>
        <w:tab/>
        <w:t>Podniková ekonomika a management</w:t>
      </w:r>
    </w:p>
    <w:p w:rsidR="00AE0C79" w:rsidRDefault="00A61E00" w:rsidP="00FA7B84">
      <w:pPr>
        <w:ind w:left="2124" w:hanging="2124"/>
        <w:rPr>
          <w:b/>
          <w:bCs/>
        </w:rPr>
      </w:pPr>
      <w:r>
        <w:rPr>
          <w:b/>
          <w:bCs/>
        </w:rPr>
        <w:t xml:space="preserve">Název tématu: </w:t>
      </w:r>
      <w:r>
        <w:rPr>
          <w:b/>
          <w:bCs/>
        </w:rPr>
        <w:tab/>
        <w:t>FINANČNÍ MĚŘENÍ KONKURENCESCHOPNOSTI VYBRANÉHO PODNIKU</w:t>
      </w:r>
    </w:p>
    <w:p w:rsidR="00AE0C79" w:rsidRDefault="00A61E00" w:rsidP="00FA7B84">
      <w:pPr>
        <w:ind w:left="2124" w:hanging="2124"/>
        <w:rPr>
          <w:b/>
        </w:rPr>
      </w:pPr>
      <w:r>
        <w:tab/>
      </w:r>
      <w:r>
        <w:rPr>
          <w:b/>
        </w:rPr>
        <w:t xml:space="preserve">The financial </w:t>
      </w:r>
      <w:proofErr w:type="spellStart"/>
      <w:r>
        <w:rPr>
          <w:b/>
        </w:rPr>
        <w:t>m</w:t>
      </w:r>
      <w:r w:rsidR="00A03DA4">
        <w:rPr>
          <w:b/>
        </w:rPr>
        <w:t>easuring</w:t>
      </w:r>
      <w:proofErr w:type="spellEnd"/>
      <w:r w:rsidR="00A03DA4">
        <w:rPr>
          <w:b/>
        </w:rPr>
        <w:t xml:space="preserve"> </w:t>
      </w:r>
      <w:proofErr w:type="spellStart"/>
      <w:r w:rsidR="00A03DA4">
        <w:rPr>
          <w:b/>
        </w:rPr>
        <w:t>of</w:t>
      </w:r>
      <w:proofErr w:type="spellEnd"/>
      <w:r w:rsidR="00A03DA4">
        <w:rPr>
          <w:b/>
        </w:rPr>
        <w:t xml:space="preserve"> </w:t>
      </w:r>
      <w:proofErr w:type="spellStart"/>
      <w:r w:rsidR="00A03DA4">
        <w:rPr>
          <w:b/>
        </w:rPr>
        <w:t>competitiveness</w:t>
      </w:r>
      <w:proofErr w:type="spellEnd"/>
      <w:r w:rsidR="00A03DA4">
        <w:rPr>
          <w:b/>
        </w:rPr>
        <w:t xml:space="preserve"> </w:t>
      </w:r>
      <w:proofErr w:type="spellStart"/>
      <w:r w:rsidR="00A03DA4">
        <w:rPr>
          <w:b/>
        </w:rPr>
        <w:t>cho</w:t>
      </w:r>
      <w:r>
        <w:rPr>
          <w:b/>
        </w:rPr>
        <w:t>sen</w:t>
      </w:r>
      <w:proofErr w:type="spellEnd"/>
      <w:r>
        <w:rPr>
          <w:b/>
        </w:rPr>
        <w:t xml:space="preserve"> </w:t>
      </w:r>
      <w:proofErr w:type="spellStart"/>
      <w:r>
        <w:rPr>
          <w:b/>
        </w:rPr>
        <w:t>company</w:t>
      </w:r>
      <w:proofErr w:type="spellEnd"/>
    </w:p>
    <w:p w:rsidR="00AE0C79" w:rsidRDefault="00AE0C79" w:rsidP="00FA7B84">
      <w:pPr>
        <w:rPr>
          <w:sz w:val="28"/>
        </w:rPr>
      </w:pPr>
    </w:p>
    <w:p w:rsidR="00AE0C79" w:rsidRDefault="00A61E00" w:rsidP="00FA7B84">
      <w:pPr>
        <w:jc w:val="center"/>
        <w:rPr>
          <w:b/>
          <w:bCs/>
          <w:sz w:val="28"/>
        </w:rPr>
      </w:pPr>
      <w:r>
        <w:rPr>
          <w:b/>
          <w:bCs/>
          <w:sz w:val="28"/>
        </w:rPr>
        <w:t xml:space="preserve">Zásady pro vypracování </w:t>
      </w:r>
    </w:p>
    <w:p w:rsidR="00AE0C79" w:rsidRDefault="00AE0C79" w:rsidP="00FA7B84"/>
    <w:p w:rsidR="00AE0C79" w:rsidRDefault="00A61E00" w:rsidP="00FA7B84">
      <w:r>
        <w:rPr>
          <w:b/>
        </w:rPr>
        <w:t>Cíl práce:</w:t>
      </w:r>
      <w:r>
        <w:t xml:space="preserve">  </w:t>
      </w:r>
    </w:p>
    <w:p w:rsidR="00AE0C79" w:rsidRDefault="00A61E00" w:rsidP="00FA7B84">
      <w:r>
        <w:t xml:space="preserve">Posoudit konkurenční schopnost podniku z finančního hlediska.  </w:t>
      </w:r>
    </w:p>
    <w:p w:rsidR="00AE0C79" w:rsidRDefault="00A61E00" w:rsidP="00FA7B84">
      <w:r>
        <w:rPr>
          <w:b/>
        </w:rPr>
        <w:t>Postup práce:</w:t>
      </w:r>
      <w:r>
        <w:t xml:space="preserve"> </w:t>
      </w:r>
    </w:p>
    <w:p w:rsidR="00AE0C79" w:rsidRDefault="00A61E00" w:rsidP="00FA7B84">
      <w:pPr>
        <w:rPr>
          <w:b/>
        </w:rPr>
      </w:pPr>
      <w:r>
        <w:t xml:space="preserve">1. Úvod  - uvedení do problematiky a zdůvodnění výběru tématu práce  - vymezení hlavního cíle a dílčích cílů  2. Teoretická část  - vymezení základních pojmů a jejich definice  - vymezení různých přístupů ke konkurenceschopnosti s důrazem na finanční analýzu  - specifikace nástrojů finančního posuzování konkurenceschopnosti (s důrazem na nástroje autorem používané v praktické části práce)  3. Praktická část  - profil podniku (zařazení dle OKEČ, velikost vlastního kapitálu, počet zaměstnanců, právní forma, oblast působení ad.)  - finanční analýza konkurenceschopnosti podniku pomocí nástrojů definovaných v teoretické části práce  - výsledky finanční analýzy, zhodnocení stavu a úrovně konkurenceschopnosti podniku, důsledky této analýzy pro podnik, resp. pro konkurenceschopnost podniku  - doporučení autora ohledně řešení ev. problémových oblastí a zlepšení konkurenceschopnosti podniku  4. Závěr  - zhodnocení naplnění cíle a dílčích cílů práce  - uvedení stěžejních závěrů analýzy konkurenceschopnosti vybraného podniku (včetně doporučení k jejímu zlepšení)  </w:t>
      </w:r>
      <w:r>
        <w:rPr>
          <w:b/>
        </w:rPr>
        <w:t xml:space="preserve">Použité metody:  </w:t>
      </w:r>
    </w:p>
    <w:p w:rsidR="00AE0C79" w:rsidRDefault="00A61E00" w:rsidP="00FA7B84">
      <w:r>
        <w:t>Literární rešerše, analýza, syntéza</w:t>
      </w:r>
    </w:p>
    <w:p w:rsidR="00AE0C79" w:rsidRDefault="00A61E00" w:rsidP="00FA7B84">
      <w:pPr>
        <w:rPr>
          <w:i/>
        </w:rPr>
      </w:pPr>
      <w:r>
        <w:br w:type="page"/>
      </w:r>
      <w:r>
        <w:rPr>
          <w:b/>
          <w:bCs/>
        </w:rPr>
        <w:lastRenderedPageBreak/>
        <w:t>Rozsah grafických prací:</w:t>
      </w:r>
      <w:r>
        <w:tab/>
      </w:r>
      <w:r>
        <w:tab/>
      </w:r>
      <w:r>
        <w:tab/>
      </w:r>
      <w:r>
        <w:rPr>
          <w:i/>
        </w:rPr>
        <w:t>(Předpoklad cca 10 tabulek a grafů)</w:t>
      </w:r>
    </w:p>
    <w:p w:rsidR="00AE0C79" w:rsidRDefault="00AE0C79" w:rsidP="00FA7B84"/>
    <w:p w:rsidR="00AE0C79" w:rsidRDefault="00A61E00" w:rsidP="00FA7B84">
      <w:r>
        <w:rPr>
          <w:b/>
          <w:bCs/>
        </w:rPr>
        <w:t>Rozsah práce bez příloh:</w:t>
      </w:r>
      <w:r>
        <w:tab/>
      </w:r>
      <w:r>
        <w:tab/>
      </w:r>
      <w:r>
        <w:tab/>
        <w:t>35 – 40 stran</w:t>
      </w:r>
    </w:p>
    <w:p w:rsidR="00AE0C79" w:rsidRDefault="00AE0C79" w:rsidP="00FA7B84"/>
    <w:p w:rsidR="00AE0C79" w:rsidRDefault="00A61E00" w:rsidP="00FA7B84">
      <w:r>
        <w:rPr>
          <w:b/>
          <w:bCs/>
        </w:rPr>
        <w:t>Seznam odborné literatury:</w:t>
      </w:r>
    </w:p>
    <w:p w:rsidR="00AE0C79" w:rsidRDefault="00A61E00" w:rsidP="00FA7B84">
      <w:pPr>
        <w:numPr>
          <w:ilvl w:val="0"/>
          <w:numId w:val="19"/>
        </w:numPr>
        <w:spacing w:before="100" w:beforeAutospacing="1" w:after="48"/>
        <w:jc w:val="left"/>
      </w:pPr>
      <w:r>
        <w:t xml:space="preserve">BLAŽEK, Ladislav a kol. </w:t>
      </w:r>
      <w:r>
        <w:rPr>
          <w:i/>
          <w:iCs/>
        </w:rPr>
        <w:t>Konkurenční schopnost podniků. Analýza faktorů hospodářské úspěšnosti.</w:t>
      </w:r>
      <w:r>
        <w:t xml:space="preserve"> Brno: Masarykova univerzita, 2008. 211 s. 1. ISBN 978-80-210-4734-1. </w:t>
      </w:r>
    </w:p>
    <w:p w:rsidR="00AE0C79" w:rsidRDefault="00A61E00" w:rsidP="00FA7B84">
      <w:pPr>
        <w:numPr>
          <w:ilvl w:val="0"/>
          <w:numId w:val="19"/>
        </w:numPr>
        <w:spacing w:before="100" w:beforeAutospacing="1" w:after="48"/>
        <w:jc w:val="left"/>
      </w:pPr>
      <w:r>
        <w:t xml:space="preserve">MIKOLÁŠ, Zdeněk. </w:t>
      </w:r>
      <w:r>
        <w:rPr>
          <w:i/>
          <w:iCs/>
        </w:rPr>
        <w:t>Jak zvýšit konkurenceschopnost podniku: konkurenční potenciál a dynamika podnikání</w:t>
      </w:r>
      <w:r>
        <w:t xml:space="preserve">. 1. vyd. Praha: Grada, 2005. 198 s. ISBN 80-247-1277-6. </w:t>
      </w:r>
    </w:p>
    <w:p w:rsidR="00AE0C79" w:rsidRDefault="00A61E00" w:rsidP="00FA7B84">
      <w:pPr>
        <w:numPr>
          <w:ilvl w:val="0"/>
          <w:numId w:val="19"/>
        </w:numPr>
        <w:spacing w:before="100" w:beforeAutospacing="1" w:after="48"/>
        <w:jc w:val="left"/>
      </w:pPr>
      <w:r>
        <w:t xml:space="preserve">NENADÁL, Jaroslav. </w:t>
      </w:r>
      <w:r>
        <w:rPr>
          <w:i/>
          <w:iCs/>
        </w:rPr>
        <w:t>Měření v systémech managementu jakosti</w:t>
      </w:r>
      <w:r>
        <w:t xml:space="preserve">. 2. dopl. vyd.. Praha: Management Press, 2004. 335 s. ISBN 80-7261-110-0. </w:t>
      </w:r>
    </w:p>
    <w:p w:rsidR="00AE0C79" w:rsidRDefault="00A61E00" w:rsidP="00FA7B84">
      <w:pPr>
        <w:numPr>
          <w:ilvl w:val="0"/>
          <w:numId w:val="19"/>
        </w:numPr>
        <w:spacing w:before="100" w:beforeAutospacing="1" w:after="48"/>
        <w:jc w:val="left"/>
      </w:pPr>
      <w:r>
        <w:t xml:space="preserve">NENADÁL, Jaroslav. </w:t>
      </w:r>
      <w:r>
        <w:rPr>
          <w:i/>
          <w:iCs/>
        </w:rPr>
        <w:t>Moderní management jakosti :principy, postupy, metody</w:t>
      </w:r>
      <w:r>
        <w:t xml:space="preserve">. Vyd. 1. Praha: Management Press, 2008. 377 s. ISBN 978-80-7261-186. </w:t>
      </w:r>
    </w:p>
    <w:p w:rsidR="00AE0C79" w:rsidRDefault="00A61E00" w:rsidP="00FA7B84">
      <w:pPr>
        <w:numPr>
          <w:ilvl w:val="0"/>
          <w:numId w:val="19"/>
        </w:numPr>
        <w:spacing w:before="100" w:beforeAutospacing="1" w:after="48"/>
        <w:jc w:val="left"/>
      </w:pPr>
      <w:r>
        <w:t xml:space="preserve">SEDLÁČEK, Jaroslav. </w:t>
      </w:r>
      <w:r>
        <w:rPr>
          <w:i/>
          <w:iCs/>
        </w:rPr>
        <w:t>Finanční analýza podniku</w:t>
      </w:r>
      <w:r>
        <w:t xml:space="preserve">. Vyd. 1. Brno: Computer Press, 2007. v, 154 s. ISBN 978-80-251-1830. </w:t>
      </w:r>
    </w:p>
    <w:p w:rsidR="00AE0C79" w:rsidRDefault="00AE0C79" w:rsidP="00FA7B84"/>
    <w:p w:rsidR="00AE0C79" w:rsidRDefault="00A61E00" w:rsidP="00FA7B84">
      <w:pPr>
        <w:rPr>
          <w:b/>
          <w:bCs/>
        </w:rPr>
      </w:pPr>
      <w:r>
        <w:rPr>
          <w:b/>
          <w:bCs/>
        </w:rPr>
        <w:t xml:space="preserve">Vedoucí bakalářské práce: </w:t>
      </w:r>
      <w:r>
        <w:rPr>
          <w:b/>
          <w:bCs/>
        </w:rPr>
        <w:tab/>
      </w:r>
      <w:r>
        <w:rPr>
          <w:b/>
          <w:bCs/>
        </w:rPr>
        <w:tab/>
      </w:r>
      <w:r>
        <w:rPr>
          <w:b/>
          <w:bCs/>
        </w:rPr>
        <w:tab/>
      </w:r>
      <w:r>
        <w:rPr>
          <w:b/>
          <w:bCs/>
        </w:rPr>
        <w:tab/>
        <w:t>doc. Ing. Petr Suchánek, Ph.D.</w:t>
      </w:r>
      <w:r>
        <w:rPr>
          <w:b/>
          <w:bCs/>
        </w:rPr>
        <w:tab/>
      </w:r>
      <w:r>
        <w:rPr>
          <w:b/>
          <w:bCs/>
        </w:rPr>
        <w:tab/>
      </w:r>
    </w:p>
    <w:p w:rsidR="00AE0C79" w:rsidRDefault="00AE0C79" w:rsidP="00FA7B84"/>
    <w:p w:rsidR="00AE0C79" w:rsidRDefault="00AE0C79" w:rsidP="00FA7B84"/>
    <w:p w:rsidR="00AE0C79" w:rsidRDefault="00A61E00" w:rsidP="00FA7B84">
      <w:r>
        <w:rPr>
          <w:b/>
          <w:bCs/>
        </w:rPr>
        <w:t>Datum zadání bakalářské práce:</w:t>
      </w:r>
      <w:r>
        <w:tab/>
      </w:r>
      <w:r>
        <w:tab/>
      </w:r>
      <w:r>
        <w:tab/>
      </w:r>
      <w:r>
        <w:rPr>
          <w:b/>
          <w:bCs/>
        </w:rPr>
        <w:t>28. 11. 2011</w:t>
      </w:r>
    </w:p>
    <w:p w:rsidR="00AE0C79" w:rsidRDefault="00AE0C79" w:rsidP="00FA7B84"/>
    <w:p w:rsidR="00AE0C79" w:rsidRDefault="00A61E00" w:rsidP="00FA7B84">
      <w:r>
        <w:rPr>
          <w:b/>
          <w:bCs/>
        </w:rPr>
        <w:t>Termín odevzdání bakalářské práce a vložení do IS je uveden v platném harmonogramu akademického roku.</w:t>
      </w:r>
      <w:r>
        <w:t> </w:t>
      </w:r>
    </w:p>
    <w:p w:rsidR="00AE0C79" w:rsidRDefault="00AE0C79" w:rsidP="00FA7B84"/>
    <w:p w:rsidR="00AE0C79" w:rsidRDefault="00AE0C79" w:rsidP="00FA7B84"/>
    <w:p w:rsidR="00AE0C79" w:rsidRDefault="00AE0C79" w:rsidP="00FA7B84"/>
    <w:p w:rsidR="00AE0C79" w:rsidRDefault="00AE0C79" w:rsidP="00FA7B84"/>
    <w:p w:rsidR="00AE0C79" w:rsidRDefault="00A61E00" w:rsidP="00FA7B84">
      <w:r>
        <w:t xml:space="preserve">…………………………………… </w:t>
      </w:r>
      <w:r>
        <w:tab/>
      </w:r>
      <w:r>
        <w:tab/>
      </w:r>
      <w:r>
        <w:tab/>
        <w:t>…………………………………………</w:t>
      </w:r>
    </w:p>
    <w:p w:rsidR="00AE0C79" w:rsidRDefault="00A61E00" w:rsidP="00FA7B84">
      <w:pPr>
        <w:rPr>
          <w:b/>
        </w:rPr>
      </w:pPr>
      <w:r>
        <w:rPr>
          <w:b/>
        </w:rPr>
        <w:t xml:space="preserve">              vedoucí katedry</w:t>
      </w:r>
      <w:r>
        <w:rPr>
          <w:b/>
          <w:i/>
        </w:rPr>
        <w:tab/>
      </w:r>
      <w:r>
        <w:rPr>
          <w:b/>
          <w:i/>
        </w:rPr>
        <w:tab/>
      </w:r>
      <w:r>
        <w:rPr>
          <w:b/>
          <w:i/>
        </w:rPr>
        <w:tab/>
      </w:r>
      <w:r>
        <w:rPr>
          <w:b/>
          <w:i/>
        </w:rPr>
        <w:tab/>
      </w:r>
      <w:r>
        <w:rPr>
          <w:b/>
          <w:i/>
        </w:rPr>
        <w:tab/>
      </w:r>
      <w:r>
        <w:rPr>
          <w:b/>
        </w:rPr>
        <w:t xml:space="preserve">             děkan</w:t>
      </w:r>
    </w:p>
    <w:p w:rsidR="00AE0C79" w:rsidRDefault="00AE0C79" w:rsidP="00FA7B84"/>
    <w:p w:rsidR="00AE0C79" w:rsidRDefault="00AE0C79" w:rsidP="00FA7B84"/>
    <w:p w:rsidR="00AE0C79" w:rsidRDefault="00A61E00" w:rsidP="00FA7B84">
      <w:r>
        <w:t> Brně dne  28. 11. 2011</w:t>
      </w:r>
    </w:p>
    <w:p w:rsidR="00AE0C79" w:rsidRDefault="00A61E00" w:rsidP="00FA7B84">
      <w:pPr>
        <w:tabs>
          <w:tab w:val="left" w:pos="3600"/>
        </w:tabs>
        <w:spacing w:before="100" w:beforeAutospacing="1" w:after="48"/>
      </w:pPr>
      <w:r>
        <w:br w:type="page"/>
      </w:r>
      <w:bookmarkStart w:id="0" w:name="_Toc296638072"/>
      <w:bookmarkStart w:id="1" w:name="_Toc296639160"/>
      <w:bookmarkStart w:id="2" w:name="_Toc296791454"/>
      <w:bookmarkStart w:id="3" w:name="_Toc296797049"/>
      <w:r>
        <w:rPr>
          <w:i/>
          <w:spacing w:val="24"/>
        </w:rPr>
        <w:lastRenderedPageBreak/>
        <w:t>Jméno a příjmení autora:</w:t>
      </w:r>
      <w:bookmarkEnd w:id="0"/>
      <w:bookmarkEnd w:id="1"/>
      <w:bookmarkEnd w:id="2"/>
      <w:bookmarkEnd w:id="3"/>
      <w:r>
        <w:rPr>
          <w:bCs/>
          <w:iCs/>
          <w:spacing w:val="24"/>
        </w:rPr>
        <w:tab/>
      </w:r>
      <w:r>
        <w:t>Michal Boháč</w:t>
      </w:r>
    </w:p>
    <w:p w:rsidR="00AE0C79" w:rsidRDefault="00A61E00" w:rsidP="00FA7B84">
      <w:pPr>
        <w:pStyle w:val="Zkladntext"/>
        <w:tabs>
          <w:tab w:val="left" w:pos="3600"/>
        </w:tabs>
        <w:spacing w:line="276" w:lineRule="auto"/>
        <w:ind w:left="3600" w:hanging="3600"/>
        <w:rPr>
          <w:bCs/>
          <w:i/>
          <w:iCs/>
        </w:rPr>
      </w:pPr>
      <w:r>
        <w:rPr>
          <w:bCs/>
          <w:i/>
          <w:iCs/>
          <w:spacing w:val="24"/>
        </w:rPr>
        <w:t>Název bakalářské práce:</w:t>
      </w:r>
      <w:r>
        <w:rPr>
          <w:bCs/>
          <w:iCs/>
          <w:spacing w:val="24"/>
        </w:rPr>
        <w:tab/>
      </w:r>
      <w:r>
        <w:rPr>
          <w:bCs/>
          <w:iCs/>
        </w:rPr>
        <w:t>Finanční měření konkurenceschopnosti</w:t>
      </w:r>
      <w:r>
        <w:rPr>
          <w:bCs/>
          <w:i/>
          <w:iCs/>
        </w:rPr>
        <w:t xml:space="preserve"> </w:t>
      </w:r>
      <w:r>
        <w:rPr>
          <w:bCs/>
          <w:i/>
          <w:iCs/>
        </w:rPr>
        <w:tab/>
      </w:r>
    </w:p>
    <w:p w:rsidR="00AE0C79" w:rsidRDefault="00A61E00" w:rsidP="00FA7B84">
      <w:pPr>
        <w:pStyle w:val="Zkladntext"/>
        <w:tabs>
          <w:tab w:val="left" w:pos="3600"/>
        </w:tabs>
        <w:spacing w:line="276" w:lineRule="auto"/>
        <w:ind w:left="3600" w:hanging="3600"/>
        <w:rPr>
          <w:bCs/>
          <w:i/>
          <w:iCs/>
        </w:rPr>
      </w:pPr>
      <w:r>
        <w:rPr>
          <w:bCs/>
          <w:i/>
          <w:iCs/>
          <w:spacing w:val="24"/>
        </w:rPr>
        <w:t>Název práce v angličtině:</w:t>
      </w:r>
      <w:r>
        <w:rPr>
          <w:bCs/>
          <w:iCs/>
          <w:spacing w:val="24"/>
        </w:rPr>
        <w:tab/>
      </w:r>
      <w:r>
        <w:rPr>
          <w:bCs/>
          <w:iCs/>
        </w:rPr>
        <w:t>The financial measuring of competitiveness</w:t>
      </w:r>
    </w:p>
    <w:p w:rsidR="00AE0C79" w:rsidRDefault="00A61E00" w:rsidP="00FA7B84">
      <w:pPr>
        <w:pStyle w:val="Zkladntext"/>
        <w:tabs>
          <w:tab w:val="left" w:pos="3600"/>
        </w:tabs>
        <w:spacing w:line="276" w:lineRule="auto"/>
        <w:rPr>
          <w:bCs/>
          <w:iCs/>
        </w:rPr>
      </w:pPr>
      <w:r>
        <w:rPr>
          <w:bCs/>
          <w:i/>
          <w:iCs/>
          <w:spacing w:val="24"/>
        </w:rPr>
        <w:t>Katedra:</w:t>
      </w:r>
      <w:r>
        <w:rPr>
          <w:bCs/>
          <w:iCs/>
          <w:spacing w:val="24"/>
        </w:rPr>
        <w:tab/>
      </w:r>
      <w:r>
        <w:rPr>
          <w:bCs/>
          <w:iCs/>
        </w:rPr>
        <w:t>podnikového hospodářství</w:t>
      </w:r>
    </w:p>
    <w:p w:rsidR="00AE0C79" w:rsidRDefault="00A61E00" w:rsidP="00FA7B84">
      <w:pPr>
        <w:pStyle w:val="Zkladntext"/>
        <w:tabs>
          <w:tab w:val="left" w:pos="3600"/>
        </w:tabs>
        <w:spacing w:line="276" w:lineRule="auto"/>
        <w:rPr>
          <w:bCs/>
          <w:iCs/>
          <w:spacing w:val="24"/>
        </w:rPr>
      </w:pPr>
      <w:r>
        <w:rPr>
          <w:bCs/>
          <w:i/>
          <w:iCs/>
          <w:spacing w:val="24"/>
        </w:rPr>
        <w:t>Vedoucí bakalářské práce:</w:t>
      </w:r>
      <w:r>
        <w:rPr>
          <w:bCs/>
          <w:iCs/>
          <w:spacing w:val="24"/>
        </w:rPr>
        <w:tab/>
      </w:r>
      <w:r>
        <w:rPr>
          <w:szCs w:val="24"/>
          <w:lang w:eastAsia="cs-CZ"/>
        </w:rPr>
        <w:t>Doc. Ing. Petr Suchánek, Ph.D.</w:t>
      </w:r>
    </w:p>
    <w:p w:rsidR="00AE0C79" w:rsidRDefault="00A61E00" w:rsidP="00FA7B84">
      <w:pPr>
        <w:pStyle w:val="Zkladntext"/>
        <w:tabs>
          <w:tab w:val="left" w:pos="3600"/>
        </w:tabs>
        <w:spacing w:line="276" w:lineRule="auto"/>
        <w:rPr>
          <w:bCs/>
          <w:iCs/>
        </w:rPr>
      </w:pPr>
      <w:r>
        <w:rPr>
          <w:bCs/>
          <w:i/>
          <w:iCs/>
          <w:spacing w:val="24"/>
        </w:rPr>
        <w:t>Rok obhajoby:</w:t>
      </w:r>
      <w:r>
        <w:rPr>
          <w:bCs/>
          <w:iCs/>
        </w:rPr>
        <w:tab/>
        <w:t>2012</w:t>
      </w:r>
    </w:p>
    <w:p w:rsidR="00AE0C79" w:rsidRDefault="00AE0C79" w:rsidP="00FA7B84">
      <w:pPr>
        <w:pStyle w:val="Zkladntext"/>
        <w:spacing w:line="276" w:lineRule="auto"/>
        <w:rPr>
          <w:i/>
          <w:iCs/>
        </w:rPr>
      </w:pPr>
    </w:p>
    <w:p w:rsidR="00AE0C79" w:rsidRDefault="00A61E00" w:rsidP="00FA7B84">
      <w:pPr>
        <w:pStyle w:val="Titulek"/>
        <w:keepNext/>
        <w:spacing w:after="120" w:line="276" w:lineRule="auto"/>
      </w:pPr>
      <w:r>
        <w:rPr>
          <w:rFonts w:ascii="Arial Narrow" w:hAnsi="Arial Narrow"/>
          <w:bCs w:val="0"/>
          <w:sz w:val="28"/>
          <w:szCs w:val="20"/>
        </w:rPr>
        <w:t>Anotace</w:t>
      </w:r>
    </w:p>
    <w:p w:rsidR="00AE0C79" w:rsidRDefault="00A61E00" w:rsidP="00FA7B84">
      <w:pPr>
        <w:pStyle w:val="Zkladntext"/>
        <w:spacing w:line="276" w:lineRule="auto"/>
      </w:pPr>
      <w:r>
        <w:t>Hlavním úkolem bakalářské práce „Finanční měření konkurenceschopnosti vybraného podniku“ je zhodnotit konkurenceschopnost podniku. Tento úkol je plněn pomocí srovnání vybraného podniku s jeho konkurenty. Teoretická část se skládá z porovnání definicí konkurenceschopnosti od různých autorů, následován popisem, jak můžeme podnikovou konkurenceschopnost měřit. Hlavní část teoretické části je věnován vysvětlení smyslu a základních metod finanční analýzy. Praktická část aplikuje tyto teoretické metody na prostředí podniku a snaží se ohodnotit jeho finanční zdraví a konkurenceschopnost analyzováním výsledků finanční analýzy. Poslední část prezentuje nejdůležitější závěry finanční analýzy.</w:t>
      </w:r>
    </w:p>
    <w:p w:rsidR="00AE0C79" w:rsidRDefault="00A61E00" w:rsidP="00FA7B84">
      <w:pPr>
        <w:pStyle w:val="Titulek"/>
        <w:keepNext/>
        <w:spacing w:after="120" w:line="276" w:lineRule="auto"/>
        <w:rPr>
          <w:rFonts w:ascii="Arial Narrow" w:hAnsi="Arial Narrow"/>
          <w:bCs w:val="0"/>
          <w:sz w:val="28"/>
          <w:szCs w:val="20"/>
          <w:lang w:val="en-GB"/>
        </w:rPr>
      </w:pPr>
      <w:r>
        <w:rPr>
          <w:rFonts w:ascii="Arial Narrow" w:hAnsi="Arial Narrow"/>
          <w:bCs w:val="0"/>
          <w:sz w:val="28"/>
          <w:szCs w:val="20"/>
          <w:lang w:val="en-GB"/>
        </w:rPr>
        <w:t>Annotation</w:t>
      </w:r>
    </w:p>
    <w:p w:rsidR="00AE0C79" w:rsidRDefault="00A61E00" w:rsidP="00FA7B84">
      <w:pPr>
        <w:pStyle w:val="Zkladntext"/>
        <w:spacing w:line="276" w:lineRule="auto"/>
        <w:rPr>
          <w:lang w:val="en-GB"/>
        </w:rPr>
      </w:pPr>
      <w:r>
        <w:rPr>
          <w:lang w:val="en-GB"/>
        </w:rPr>
        <w:t>The main subject of the bachelor thesis “The financial measuring of competitiveness chosen company” is to evaluate company’s competitiveness. This ta</w:t>
      </w:r>
      <w:r w:rsidR="00A03DA4">
        <w:rPr>
          <w:lang w:val="en-GB"/>
        </w:rPr>
        <w:t>sk is fulfilled by comparing ch</w:t>
      </w:r>
      <w:r>
        <w:rPr>
          <w:lang w:val="en-GB"/>
        </w:rPr>
        <w:t>osen company with its competitors. Theoretical part consist</w:t>
      </w:r>
      <w:r w:rsidR="00F9395F">
        <w:rPr>
          <w:lang w:val="en-GB"/>
        </w:rPr>
        <w:t>s</w:t>
      </w:r>
      <w:r>
        <w:rPr>
          <w:lang w:val="en-GB"/>
        </w:rPr>
        <w:t xml:space="preserve"> of comparing the definitions of competitiveness by several authors followed by description of how we can meas</w:t>
      </w:r>
      <w:r w:rsidR="00F9395F">
        <w:rPr>
          <w:lang w:val="en-GB"/>
        </w:rPr>
        <w:t>ure company’s competitiveness. I</w:t>
      </w:r>
      <w:r>
        <w:rPr>
          <w:lang w:val="en-GB"/>
        </w:rPr>
        <w:t xml:space="preserve">ts main part is dedicated to explanation of the meaning and essential methods of financial analysis. Practical part applies those theoretical methods into company’s environment and tries to evaluate the financial health and competitiveness by analyzing the outcome of </w:t>
      </w:r>
      <w:r w:rsidR="00F9395F">
        <w:rPr>
          <w:lang w:val="en-GB"/>
        </w:rPr>
        <w:t xml:space="preserve">financial analysis. Last part </w:t>
      </w:r>
      <w:r>
        <w:rPr>
          <w:lang w:val="en-GB"/>
        </w:rPr>
        <w:t>presents the most important conclusions of financial analysis.</w:t>
      </w:r>
    </w:p>
    <w:p w:rsidR="00AE0C79" w:rsidRDefault="00A61E00" w:rsidP="00FA7B84">
      <w:pPr>
        <w:pStyle w:val="Titulek"/>
        <w:keepNext/>
        <w:spacing w:after="120" w:line="276" w:lineRule="auto"/>
      </w:pPr>
      <w:r>
        <w:rPr>
          <w:rFonts w:ascii="Arial Narrow" w:hAnsi="Arial Narrow"/>
          <w:bCs w:val="0"/>
          <w:sz w:val="28"/>
          <w:szCs w:val="20"/>
        </w:rPr>
        <w:t>Klíčová slova</w:t>
      </w:r>
    </w:p>
    <w:p w:rsidR="00AE0C79" w:rsidRDefault="00A61E00" w:rsidP="00FA7B84">
      <w:pPr>
        <w:pStyle w:val="Zkladntext"/>
        <w:spacing w:line="276" w:lineRule="auto"/>
        <w:rPr>
          <w:i/>
          <w:iCs/>
          <w:color w:val="FF0000"/>
        </w:rPr>
      </w:pPr>
      <w:r>
        <w:t xml:space="preserve">Konkurence, konkurenceschopnost, finanční analýza, </w:t>
      </w:r>
    </w:p>
    <w:p w:rsidR="00AE0C79" w:rsidRDefault="00A61E00" w:rsidP="00FA7B84">
      <w:pPr>
        <w:pStyle w:val="Titulek"/>
        <w:keepNext/>
        <w:spacing w:after="120" w:line="276" w:lineRule="auto"/>
        <w:rPr>
          <w:lang w:val="en-GB"/>
        </w:rPr>
      </w:pPr>
      <w:r>
        <w:rPr>
          <w:rFonts w:ascii="Arial Narrow" w:hAnsi="Arial Narrow"/>
          <w:bCs w:val="0"/>
          <w:sz w:val="28"/>
          <w:szCs w:val="20"/>
          <w:lang w:val="en-GB"/>
        </w:rPr>
        <w:t>Keywords</w:t>
      </w:r>
    </w:p>
    <w:p w:rsidR="00AE0C79" w:rsidRDefault="00A61E00" w:rsidP="00FA7B84">
      <w:pPr>
        <w:pStyle w:val="Zkladntext"/>
        <w:spacing w:line="276" w:lineRule="auto"/>
        <w:rPr>
          <w:lang w:val="en-US"/>
        </w:rPr>
      </w:pPr>
      <w:r>
        <w:rPr>
          <w:lang w:val="en-US"/>
        </w:rPr>
        <w:t xml:space="preserve">Competition, Competitiveness, financial analysis, </w:t>
      </w:r>
    </w:p>
    <w:p w:rsidR="00AE0C79" w:rsidRDefault="00AE0C79" w:rsidP="00FA7B84">
      <w:pPr>
        <w:pStyle w:val="Zkladntext"/>
        <w:spacing w:line="276" w:lineRule="auto"/>
        <w:rPr>
          <w:lang w:val="en-US"/>
        </w:rPr>
      </w:pPr>
    </w:p>
    <w:p w:rsidR="00AE0C79" w:rsidRDefault="00AE0C79" w:rsidP="00FA7B84">
      <w:pPr>
        <w:spacing w:line="276" w:lineRule="auto"/>
      </w:pPr>
    </w:p>
    <w:p w:rsidR="00AE0C79" w:rsidRDefault="00A61E00" w:rsidP="00FA7B84">
      <w:pPr>
        <w:pStyle w:val="Titulek"/>
        <w:spacing w:before="10200" w:line="276" w:lineRule="auto"/>
      </w:pPr>
      <w:r>
        <w:br w:type="page"/>
      </w:r>
      <w:r>
        <w:lastRenderedPageBreak/>
        <w:t>Prohlášení</w:t>
      </w:r>
    </w:p>
    <w:p w:rsidR="00AE0C79" w:rsidRDefault="00A61E00" w:rsidP="00FA7B84">
      <w:pPr>
        <w:pStyle w:val="Diplomka-textodstavce"/>
        <w:spacing w:line="276" w:lineRule="auto"/>
        <w:rPr>
          <w:iCs/>
        </w:rPr>
      </w:pPr>
      <w:r>
        <w:rPr>
          <w:iCs/>
        </w:rPr>
        <w:t xml:space="preserve">Prohlašuji, že jsem bakalářskou práci </w:t>
      </w:r>
      <w:r>
        <w:rPr>
          <w:i/>
        </w:rPr>
        <w:t>Finanční měření konkurenceschopnosti vybraného podniku</w:t>
      </w:r>
      <w:r>
        <w:rPr>
          <w:iCs/>
        </w:rPr>
        <w:t xml:space="preserve"> vypracoval samostatně pod vedením </w:t>
      </w:r>
      <w:r>
        <w:rPr>
          <w:szCs w:val="24"/>
          <w:lang w:eastAsia="cs-CZ"/>
        </w:rPr>
        <w:t>Doc. Ing. Petra Suchánka, Ph.D.</w:t>
      </w:r>
      <w:r>
        <w:rPr>
          <w:iCs/>
        </w:rPr>
        <w:t xml:space="preserve"> a uvedl </w:t>
      </w:r>
      <w:r>
        <w:t>v ní všechny použité literární a jiné odborné zdroje v souladu s právními předpisy, vnitřními předpisy Masarykovy univerzity a vnitřními akty řízení Masarykovy univerzity a Ekonomicko-správní fakulty MU.</w:t>
      </w:r>
    </w:p>
    <w:p w:rsidR="00AE0C79" w:rsidRDefault="00AE0C79" w:rsidP="00FA7B84">
      <w:pPr>
        <w:pStyle w:val="Diplomka-textodstavce"/>
        <w:spacing w:line="276" w:lineRule="auto"/>
      </w:pPr>
    </w:p>
    <w:p w:rsidR="00AE0C79" w:rsidRDefault="00A61E00" w:rsidP="00FA7B84">
      <w:pPr>
        <w:spacing w:line="276" w:lineRule="auto"/>
      </w:pPr>
      <w:bookmarkStart w:id="4" w:name="_Toc296638073"/>
      <w:bookmarkStart w:id="5" w:name="_Toc296639161"/>
      <w:bookmarkStart w:id="6" w:name="_Toc296791455"/>
      <w:bookmarkStart w:id="7" w:name="_Toc296797050"/>
      <w:r>
        <w:t>V Brně dne 18. května 20</w:t>
      </w:r>
      <w:bookmarkEnd w:id="4"/>
      <w:bookmarkEnd w:id="5"/>
      <w:r>
        <w:t>1</w:t>
      </w:r>
      <w:bookmarkEnd w:id="6"/>
      <w:bookmarkEnd w:id="7"/>
      <w:r>
        <w:t>2</w:t>
      </w:r>
    </w:p>
    <w:p w:rsidR="00AE0C79" w:rsidRDefault="00AE0C79" w:rsidP="00FA7B84">
      <w:pPr>
        <w:pStyle w:val="Diplomka-textodstavce"/>
        <w:spacing w:after="0" w:line="276" w:lineRule="auto"/>
        <w:outlineLvl w:val="0"/>
      </w:pPr>
    </w:p>
    <w:p w:rsidR="00AE0C79" w:rsidRDefault="00731DFF" w:rsidP="00FA7B84">
      <w:pPr>
        <w:pStyle w:val="Diplomka-textodstavce"/>
        <w:tabs>
          <w:tab w:val="left" w:pos="5387"/>
        </w:tabs>
        <w:spacing w:before="60" w:line="276" w:lineRule="auto"/>
        <w:rPr>
          <w:spacing w:val="24"/>
          <w:sz w:val="20"/>
        </w:rPr>
      </w:pPr>
      <w:r w:rsidRPr="00731DFF">
        <w:rPr>
          <w:noProof/>
          <w:sz w:val="20"/>
        </w:rPr>
        <w:pict>
          <v:line id="_x0000_s1026" style="position:absolute;left:0;text-align:left;z-index:251661312" from="228.8pt,1pt" to="435.8pt,1pt" o:allowincell="f"/>
        </w:pict>
      </w:r>
      <w:r w:rsidR="00A61E00">
        <w:tab/>
      </w:r>
      <w:r w:rsidR="00A61E00">
        <w:rPr>
          <w:spacing w:val="24"/>
          <w:sz w:val="20"/>
        </w:rPr>
        <w:t>vlastnoruční podpis autora</w:t>
      </w:r>
    </w:p>
    <w:p w:rsidR="00AE0C79" w:rsidRDefault="00A61E00" w:rsidP="00FA7B84">
      <w:pPr>
        <w:pStyle w:val="Titulek"/>
        <w:spacing w:before="10200" w:line="276" w:lineRule="auto"/>
      </w:pPr>
      <w:r>
        <w:rPr>
          <w:spacing w:val="24"/>
          <w:sz w:val="20"/>
        </w:rPr>
        <w:br w:type="page"/>
      </w:r>
      <w:r>
        <w:lastRenderedPageBreak/>
        <w:t>Poděkování</w:t>
      </w:r>
    </w:p>
    <w:p w:rsidR="00AE0C79" w:rsidRDefault="00A61E00" w:rsidP="00FA7B84">
      <w:pPr>
        <w:spacing w:after="120" w:line="276" w:lineRule="auto"/>
      </w:pPr>
      <w:r>
        <w:rPr>
          <w:iCs/>
        </w:rPr>
        <w:t>Na tomto místě bych rád poděkoval</w:t>
      </w:r>
      <w:r w:rsidR="00374664">
        <w:rPr>
          <w:iCs/>
        </w:rPr>
        <w:t xml:space="preserve"> všem, kteří se podíleli na tvorbě této bakalářské práce. Obzvláště pak vedoucímu mé bakalářské práce, panu</w:t>
      </w:r>
      <w:r>
        <w:rPr>
          <w:iCs/>
        </w:rPr>
        <w:t xml:space="preserve"> </w:t>
      </w:r>
      <w:r>
        <w:rPr>
          <w:szCs w:val="24"/>
          <w:lang w:eastAsia="cs-CZ"/>
        </w:rPr>
        <w:t>Doc. Ing. Petru Suchánkovi, Ph.D.</w:t>
      </w:r>
      <w:r>
        <w:rPr>
          <w:iCs/>
        </w:rPr>
        <w:t xml:space="preserve"> za cenné </w:t>
      </w:r>
      <w:r w:rsidR="00374664">
        <w:rPr>
          <w:iCs/>
        </w:rPr>
        <w:t>rady a připomínky</w:t>
      </w:r>
      <w:r>
        <w:rPr>
          <w:iCs/>
        </w:rPr>
        <w:t xml:space="preserve">, kterými </w:t>
      </w:r>
      <w:r w:rsidR="00374664">
        <w:rPr>
          <w:iCs/>
        </w:rPr>
        <w:t xml:space="preserve">významně </w:t>
      </w:r>
      <w:r>
        <w:rPr>
          <w:iCs/>
        </w:rPr>
        <w:t>přisp</w:t>
      </w:r>
      <w:r w:rsidR="00374664">
        <w:rPr>
          <w:iCs/>
        </w:rPr>
        <w:t xml:space="preserve">ěl k vypracování této </w:t>
      </w:r>
      <w:r>
        <w:rPr>
          <w:iCs/>
        </w:rPr>
        <w:t>práce.</w:t>
      </w:r>
    </w:p>
    <w:p w:rsidR="00AE0C79" w:rsidRDefault="00AE0C79" w:rsidP="00FA7B84">
      <w:pPr>
        <w:spacing w:line="276" w:lineRule="auto"/>
      </w:pPr>
    </w:p>
    <w:p w:rsidR="00041E07" w:rsidRDefault="00041E07" w:rsidP="00FA7B84">
      <w:pPr>
        <w:spacing w:line="276" w:lineRule="auto"/>
      </w:pPr>
    </w:p>
    <w:p w:rsidR="00AE0C79" w:rsidRDefault="00A61E00" w:rsidP="00FA7B84">
      <w:pPr>
        <w:pStyle w:val="Nadpis1"/>
        <w:numPr>
          <w:ilvl w:val="0"/>
          <w:numId w:val="0"/>
        </w:numPr>
        <w:spacing w:line="276" w:lineRule="auto"/>
      </w:pPr>
      <w:r>
        <w:br w:type="page"/>
      </w:r>
    </w:p>
    <w:p w:rsidR="00D6025A" w:rsidRDefault="00731DFF">
      <w:pPr>
        <w:pStyle w:val="Obsah1"/>
        <w:tabs>
          <w:tab w:val="right" w:leader="dot" w:pos="9060"/>
        </w:tabs>
        <w:rPr>
          <w:rFonts w:asciiTheme="minorHAnsi" w:eastAsiaTheme="minorEastAsia" w:hAnsiTheme="minorHAnsi"/>
          <w:b w:val="0"/>
          <w:noProof/>
          <w:sz w:val="22"/>
          <w:lang w:eastAsia="cs-CZ"/>
        </w:rPr>
      </w:pPr>
      <w:r w:rsidRPr="00731DFF">
        <w:rPr>
          <w:b w:val="0"/>
          <w:bCs/>
        </w:rPr>
        <w:lastRenderedPageBreak/>
        <w:fldChar w:fldCharType="begin"/>
      </w:r>
      <w:r w:rsidR="00A61E00">
        <w:rPr>
          <w:b w:val="0"/>
          <w:bCs/>
        </w:rPr>
        <w:instrText xml:space="preserve"> TOC \o "1-3" \h \z \u </w:instrText>
      </w:r>
      <w:r w:rsidRPr="00731DFF">
        <w:rPr>
          <w:b w:val="0"/>
          <w:bCs/>
        </w:rPr>
        <w:fldChar w:fldCharType="separate"/>
      </w:r>
      <w:hyperlink w:anchor="_Toc324932877" w:history="1">
        <w:r w:rsidR="00D6025A" w:rsidRPr="00A12507">
          <w:rPr>
            <w:rStyle w:val="Hypertextovodkaz"/>
            <w:noProof/>
          </w:rPr>
          <w:t>Úvod</w:t>
        </w:r>
        <w:r w:rsidR="00D6025A">
          <w:rPr>
            <w:noProof/>
            <w:webHidden/>
          </w:rPr>
          <w:tab/>
        </w:r>
        <w:r>
          <w:rPr>
            <w:noProof/>
            <w:webHidden/>
          </w:rPr>
          <w:fldChar w:fldCharType="begin"/>
        </w:r>
        <w:r w:rsidR="00D6025A">
          <w:rPr>
            <w:noProof/>
            <w:webHidden/>
          </w:rPr>
          <w:instrText xml:space="preserve"> PAGEREF _Toc324932877 \h </w:instrText>
        </w:r>
        <w:r>
          <w:rPr>
            <w:noProof/>
            <w:webHidden/>
          </w:rPr>
        </w:r>
        <w:r>
          <w:rPr>
            <w:noProof/>
            <w:webHidden/>
          </w:rPr>
          <w:fldChar w:fldCharType="separate"/>
        </w:r>
        <w:r w:rsidR="00D6025A">
          <w:rPr>
            <w:noProof/>
            <w:webHidden/>
          </w:rPr>
          <w:t>9</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878" w:history="1">
        <w:r w:rsidR="00D6025A" w:rsidRPr="00A12507">
          <w:rPr>
            <w:rStyle w:val="Hypertextovodkaz"/>
            <w:noProof/>
          </w:rPr>
          <w:t>Teoretická část</w:t>
        </w:r>
        <w:r w:rsidR="00D6025A">
          <w:rPr>
            <w:noProof/>
            <w:webHidden/>
          </w:rPr>
          <w:tab/>
        </w:r>
        <w:r>
          <w:rPr>
            <w:noProof/>
            <w:webHidden/>
          </w:rPr>
          <w:fldChar w:fldCharType="begin"/>
        </w:r>
        <w:r w:rsidR="00D6025A">
          <w:rPr>
            <w:noProof/>
            <w:webHidden/>
          </w:rPr>
          <w:instrText xml:space="preserve"> PAGEREF _Toc324932878 \h </w:instrText>
        </w:r>
        <w:r>
          <w:rPr>
            <w:noProof/>
            <w:webHidden/>
          </w:rPr>
        </w:r>
        <w:r>
          <w:rPr>
            <w:noProof/>
            <w:webHidden/>
          </w:rPr>
          <w:fldChar w:fldCharType="separate"/>
        </w:r>
        <w:r w:rsidR="00D6025A">
          <w:rPr>
            <w:noProof/>
            <w:webHidden/>
          </w:rPr>
          <w:t>10</w:t>
        </w:r>
        <w:r>
          <w:rPr>
            <w:noProof/>
            <w:webHidden/>
          </w:rPr>
          <w:fldChar w:fldCharType="end"/>
        </w:r>
      </w:hyperlink>
    </w:p>
    <w:p w:rsidR="00D6025A" w:rsidRDefault="00731DFF">
      <w:pPr>
        <w:pStyle w:val="Obsah1"/>
        <w:tabs>
          <w:tab w:val="left" w:pos="480"/>
          <w:tab w:val="right" w:leader="dot" w:pos="9060"/>
        </w:tabs>
        <w:rPr>
          <w:rFonts w:asciiTheme="minorHAnsi" w:eastAsiaTheme="minorEastAsia" w:hAnsiTheme="minorHAnsi"/>
          <w:b w:val="0"/>
          <w:noProof/>
          <w:sz w:val="22"/>
          <w:lang w:eastAsia="cs-CZ"/>
        </w:rPr>
      </w:pPr>
      <w:hyperlink w:anchor="_Toc324932879" w:history="1">
        <w:r w:rsidR="00D6025A" w:rsidRPr="00A12507">
          <w:rPr>
            <w:rStyle w:val="Hypertextovodkaz"/>
            <w:noProof/>
          </w:rPr>
          <w:t>1</w:t>
        </w:r>
        <w:r w:rsidR="00D6025A">
          <w:rPr>
            <w:rFonts w:asciiTheme="minorHAnsi" w:eastAsiaTheme="minorEastAsia" w:hAnsiTheme="minorHAnsi"/>
            <w:b w:val="0"/>
            <w:noProof/>
            <w:sz w:val="22"/>
            <w:lang w:eastAsia="cs-CZ"/>
          </w:rPr>
          <w:tab/>
        </w:r>
        <w:r w:rsidR="00D6025A" w:rsidRPr="00A12507">
          <w:rPr>
            <w:rStyle w:val="Hypertextovodkaz"/>
            <w:noProof/>
          </w:rPr>
          <w:t>Konkurenceschopnost</w:t>
        </w:r>
        <w:r w:rsidR="00D6025A">
          <w:rPr>
            <w:noProof/>
            <w:webHidden/>
          </w:rPr>
          <w:tab/>
        </w:r>
        <w:r>
          <w:rPr>
            <w:noProof/>
            <w:webHidden/>
          </w:rPr>
          <w:fldChar w:fldCharType="begin"/>
        </w:r>
        <w:r w:rsidR="00D6025A">
          <w:rPr>
            <w:noProof/>
            <w:webHidden/>
          </w:rPr>
          <w:instrText xml:space="preserve"> PAGEREF _Toc324932879 \h </w:instrText>
        </w:r>
        <w:r>
          <w:rPr>
            <w:noProof/>
            <w:webHidden/>
          </w:rPr>
        </w:r>
        <w:r>
          <w:rPr>
            <w:noProof/>
            <w:webHidden/>
          </w:rPr>
          <w:fldChar w:fldCharType="separate"/>
        </w:r>
        <w:r w:rsidR="00D6025A">
          <w:rPr>
            <w:noProof/>
            <w:webHidden/>
          </w:rPr>
          <w:t>10</w:t>
        </w:r>
        <w:r>
          <w:rPr>
            <w:noProof/>
            <w:webHidden/>
          </w:rPr>
          <w:fldChar w:fldCharType="end"/>
        </w:r>
      </w:hyperlink>
    </w:p>
    <w:p w:rsidR="00D6025A" w:rsidRDefault="00731DFF">
      <w:pPr>
        <w:pStyle w:val="Obsah1"/>
        <w:tabs>
          <w:tab w:val="left" w:pos="480"/>
          <w:tab w:val="right" w:leader="dot" w:pos="9060"/>
        </w:tabs>
        <w:rPr>
          <w:rFonts w:asciiTheme="minorHAnsi" w:eastAsiaTheme="minorEastAsia" w:hAnsiTheme="minorHAnsi"/>
          <w:b w:val="0"/>
          <w:noProof/>
          <w:sz w:val="22"/>
          <w:lang w:eastAsia="cs-CZ"/>
        </w:rPr>
      </w:pPr>
      <w:hyperlink w:anchor="_Toc324932880" w:history="1">
        <w:r w:rsidR="00D6025A" w:rsidRPr="00A12507">
          <w:rPr>
            <w:rStyle w:val="Hypertextovodkaz"/>
            <w:noProof/>
          </w:rPr>
          <w:t>2</w:t>
        </w:r>
        <w:r w:rsidR="00D6025A">
          <w:rPr>
            <w:rFonts w:asciiTheme="minorHAnsi" w:eastAsiaTheme="minorEastAsia" w:hAnsiTheme="minorHAnsi"/>
            <w:b w:val="0"/>
            <w:noProof/>
            <w:sz w:val="22"/>
            <w:lang w:eastAsia="cs-CZ"/>
          </w:rPr>
          <w:tab/>
        </w:r>
        <w:r w:rsidR="00D6025A" w:rsidRPr="00A12507">
          <w:rPr>
            <w:rStyle w:val="Hypertextovodkaz"/>
            <w:noProof/>
          </w:rPr>
          <w:t>Finanční analýza</w:t>
        </w:r>
        <w:r w:rsidR="00D6025A">
          <w:rPr>
            <w:noProof/>
            <w:webHidden/>
          </w:rPr>
          <w:tab/>
        </w:r>
        <w:r>
          <w:rPr>
            <w:noProof/>
            <w:webHidden/>
          </w:rPr>
          <w:fldChar w:fldCharType="begin"/>
        </w:r>
        <w:r w:rsidR="00D6025A">
          <w:rPr>
            <w:noProof/>
            <w:webHidden/>
          </w:rPr>
          <w:instrText xml:space="preserve"> PAGEREF _Toc324932880 \h </w:instrText>
        </w:r>
        <w:r>
          <w:rPr>
            <w:noProof/>
            <w:webHidden/>
          </w:rPr>
        </w:r>
        <w:r>
          <w:rPr>
            <w:noProof/>
            <w:webHidden/>
          </w:rPr>
          <w:fldChar w:fldCharType="separate"/>
        </w:r>
        <w:r w:rsidR="00D6025A">
          <w:rPr>
            <w:noProof/>
            <w:webHidden/>
          </w:rPr>
          <w:t>11</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881" w:history="1">
        <w:r w:rsidR="00D6025A" w:rsidRPr="00A12507">
          <w:rPr>
            <w:rStyle w:val="Hypertextovodkaz"/>
            <w:noProof/>
          </w:rPr>
          <w:t>2.1</w:t>
        </w:r>
        <w:r w:rsidR="00D6025A">
          <w:rPr>
            <w:rFonts w:asciiTheme="minorHAnsi" w:eastAsiaTheme="minorEastAsia" w:hAnsiTheme="minorHAnsi"/>
            <w:noProof/>
            <w:sz w:val="22"/>
            <w:lang w:eastAsia="cs-CZ"/>
          </w:rPr>
          <w:tab/>
        </w:r>
        <w:r w:rsidR="00D6025A" w:rsidRPr="00A12507">
          <w:rPr>
            <w:rStyle w:val="Hypertextovodkaz"/>
            <w:noProof/>
          </w:rPr>
          <w:t>Uživatelé finanční analýzy</w:t>
        </w:r>
        <w:r w:rsidR="00D6025A">
          <w:rPr>
            <w:noProof/>
            <w:webHidden/>
          </w:rPr>
          <w:tab/>
        </w:r>
        <w:r>
          <w:rPr>
            <w:noProof/>
            <w:webHidden/>
          </w:rPr>
          <w:fldChar w:fldCharType="begin"/>
        </w:r>
        <w:r w:rsidR="00D6025A">
          <w:rPr>
            <w:noProof/>
            <w:webHidden/>
          </w:rPr>
          <w:instrText xml:space="preserve"> PAGEREF _Toc324932881 \h </w:instrText>
        </w:r>
        <w:r>
          <w:rPr>
            <w:noProof/>
            <w:webHidden/>
          </w:rPr>
        </w:r>
        <w:r>
          <w:rPr>
            <w:noProof/>
            <w:webHidden/>
          </w:rPr>
          <w:fldChar w:fldCharType="separate"/>
        </w:r>
        <w:r w:rsidR="00D6025A">
          <w:rPr>
            <w:noProof/>
            <w:webHidden/>
          </w:rPr>
          <w:t>11</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882" w:history="1">
        <w:r w:rsidR="00D6025A" w:rsidRPr="00A12507">
          <w:rPr>
            <w:rStyle w:val="Hypertextovodkaz"/>
            <w:noProof/>
          </w:rPr>
          <w:t>2.2</w:t>
        </w:r>
        <w:r w:rsidR="00D6025A">
          <w:rPr>
            <w:rFonts w:asciiTheme="minorHAnsi" w:eastAsiaTheme="minorEastAsia" w:hAnsiTheme="minorHAnsi"/>
            <w:noProof/>
            <w:sz w:val="22"/>
            <w:lang w:eastAsia="cs-CZ"/>
          </w:rPr>
          <w:tab/>
        </w:r>
        <w:r w:rsidR="00D6025A" w:rsidRPr="00A12507">
          <w:rPr>
            <w:rStyle w:val="Hypertextovodkaz"/>
            <w:noProof/>
          </w:rPr>
          <w:t>Zdroje informací finanční analýzy</w:t>
        </w:r>
        <w:r w:rsidR="00D6025A">
          <w:rPr>
            <w:noProof/>
            <w:webHidden/>
          </w:rPr>
          <w:tab/>
        </w:r>
        <w:r>
          <w:rPr>
            <w:noProof/>
            <w:webHidden/>
          </w:rPr>
          <w:fldChar w:fldCharType="begin"/>
        </w:r>
        <w:r w:rsidR="00D6025A">
          <w:rPr>
            <w:noProof/>
            <w:webHidden/>
          </w:rPr>
          <w:instrText xml:space="preserve"> PAGEREF _Toc324932882 \h </w:instrText>
        </w:r>
        <w:r>
          <w:rPr>
            <w:noProof/>
            <w:webHidden/>
          </w:rPr>
        </w:r>
        <w:r>
          <w:rPr>
            <w:noProof/>
            <w:webHidden/>
          </w:rPr>
          <w:fldChar w:fldCharType="separate"/>
        </w:r>
        <w:r w:rsidR="00D6025A">
          <w:rPr>
            <w:noProof/>
            <w:webHidden/>
          </w:rPr>
          <w:t>12</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883" w:history="1">
        <w:r w:rsidR="00D6025A" w:rsidRPr="00A12507">
          <w:rPr>
            <w:rStyle w:val="Hypertextovodkaz"/>
            <w:noProof/>
          </w:rPr>
          <w:t>2.3</w:t>
        </w:r>
        <w:r w:rsidR="00D6025A">
          <w:rPr>
            <w:rFonts w:asciiTheme="minorHAnsi" w:eastAsiaTheme="minorEastAsia" w:hAnsiTheme="minorHAnsi"/>
            <w:noProof/>
            <w:sz w:val="22"/>
            <w:lang w:eastAsia="cs-CZ"/>
          </w:rPr>
          <w:tab/>
        </w:r>
        <w:r w:rsidR="00D6025A" w:rsidRPr="00A12507">
          <w:rPr>
            <w:rStyle w:val="Hypertextovodkaz"/>
            <w:noProof/>
          </w:rPr>
          <w:t>Metody finanční analýzy</w:t>
        </w:r>
        <w:r w:rsidR="00D6025A">
          <w:rPr>
            <w:noProof/>
            <w:webHidden/>
          </w:rPr>
          <w:tab/>
        </w:r>
        <w:r>
          <w:rPr>
            <w:noProof/>
            <w:webHidden/>
          </w:rPr>
          <w:fldChar w:fldCharType="begin"/>
        </w:r>
        <w:r w:rsidR="00D6025A">
          <w:rPr>
            <w:noProof/>
            <w:webHidden/>
          </w:rPr>
          <w:instrText xml:space="preserve"> PAGEREF _Toc324932883 \h </w:instrText>
        </w:r>
        <w:r>
          <w:rPr>
            <w:noProof/>
            <w:webHidden/>
          </w:rPr>
        </w:r>
        <w:r>
          <w:rPr>
            <w:noProof/>
            <w:webHidden/>
          </w:rPr>
          <w:fldChar w:fldCharType="separate"/>
        </w:r>
        <w:r w:rsidR="00D6025A">
          <w:rPr>
            <w:noProof/>
            <w:webHidden/>
          </w:rPr>
          <w:t>13</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884" w:history="1">
        <w:r w:rsidR="00D6025A" w:rsidRPr="00A12507">
          <w:rPr>
            <w:rStyle w:val="Hypertextovodkaz"/>
            <w:noProof/>
          </w:rPr>
          <w:t>2.4</w:t>
        </w:r>
        <w:r w:rsidR="00D6025A">
          <w:rPr>
            <w:rFonts w:asciiTheme="minorHAnsi" w:eastAsiaTheme="minorEastAsia" w:hAnsiTheme="minorHAnsi"/>
            <w:noProof/>
            <w:sz w:val="22"/>
            <w:lang w:eastAsia="cs-CZ"/>
          </w:rPr>
          <w:tab/>
        </w:r>
        <w:r w:rsidR="00D6025A" w:rsidRPr="00A12507">
          <w:rPr>
            <w:rStyle w:val="Hypertextovodkaz"/>
            <w:noProof/>
          </w:rPr>
          <w:t>Analýza absolutních ukazatelů</w:t>
        </w:r>
        <w:r w:rsidR="00D6025A">
          <w:rPr>
            <w:noProof/>
            <w:webHidden/>
          </w:rPr>
          <w:tab/>
        </w:r>
        <w:r>
          <w:rPr>
            <w:noProof/>
            <w:webHidden/>
          </w:rPr>
          <w:fldChar w:fldCharType="begin"/>
        </w:r>
        <w:r w:rsidR="00D6025A">
          <w:rPr>
            <w:noProof/>
            <w:webHidden/>
          </w:rPr>
          <w:instrText xml:space="preserve"> PAGEREF _Toc324932884 \h </w:instrText>
        </w:r>
        <w:r>
          <w:rPr>
            <w:noProof/>
            <w:webHidden/>
          </w:rPr>
        </w:r>
        <w:r>
          <w:rPr>
            <w:noProof/>
            <w:webHidden/>
          </w:rPr>
          <w:fldChar w:fldCharType="separate"/>
        </w:r>
        <w:r w:rsidR="00D6025A">
          <w:rPr>
            <w:noProof/>
            <w:webHidden/>
          </w:rPr>
          <w:t>13</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85" w:history="1">
        <w:r w:rsidR="00D6025A" w:rsidRPr="00A12507">
          <w:rPr>
            <w:rStyle w:val="Hypertextovodkaz"/>
            <w:noProof/>
          </w:rPr>
          <w:t>2.4.1</w:t>
        </w:r>
        <w:r w:rsidR="00D6025A">
          <w:rPr>
            <w:rFonts w:asciiTheme="minorHAnsi" w:eastAsiaTheme="minorEastAsia" w:hAnsiTheme="minorHAnsi"/>
            <w:i w:val="0"/>
            <w:noProof/>
            <w:sz w:val="22"/>
            <w:lang w:eastAsia="cs-CZ"/>
          </w:rPr>
          <w:tab/>
        </w:r>
        <w:r w:rsidR="00D6025A" w:rsidRPr="00A12507">
          <w:rPr>
            <w:rStyle w:val="Hypertextovodkaz"/>
            <w:noProof/>
          </w:rPr>
          <w:t>Horizontální analýza</w:t>
        </w:r>
        <w:r w:rsidR="00D6025A">
          <w:rPr>
            <w:noProof/>
            <w:webHidden/>
          </w:rPr>
          <w:tab/>
        </w:r>
        <w:r>
          <w:rPr>
            <w:noProof/>
            <w:webHidden/>
          </w:rPr>
          <w:fldChar w:fldCharType="begin"/>
        </w:r>
        <w:r w:rsidR="00D6025A">
          <w:rPr>
            <w:noProof/>
            <w:webHidden/>
          </w:rPr>
          <w:instrText xml:space="preserve"> PAGEREF _Toc324932885 \h </w:instrText>
        </w:r>
        <w:r>
          <w:rPr>
            <w:noProof/>
            <w:webHidden/>
          </w:rPr>
        </w:r>
        <w:r>
          <w:rPr>
            <w:noProof/>
            <w:webHidden/>
          </w:rPr>
          <w:fldChar w:fldCharType="separate"/>
        </w:r>
        <w:r w:rsidR="00D6025A">
          <w:rPr>
            <w:noProof/>
            <w:webHidden/>
          </w:rPr>
          <w:t>13</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86" w:history="1">
        <w:r w:rsidR="00D6025A" w:rsidRPr="00A12507">
          <w:rPr>
            <w:rStyle w:val="Hypertextovodkaz"/>
            <w:noProof/>
          </w:rPr>
          <w:t>2.4.2</w:t>
        </w:r>
        <w:r w:rsidR="00D6025A">
          <w:rPr>
            <w:rFonts w:asciiTheme="minorHAnsi" w:eastAsiaTheme="minorEastAsia" w:hAnsiTheme="minorHAnsi"/>
            <w:i w:val="0"/>
            <w:noProof/>
            <w:sz w:val="22"/>
            <w:lang w:eastAsia="cs-CZ"/>
          </w:rPr>
          <w:tab/>
        </w:r>
        <w:r w:rsidR="00D6025A" w:rsidRPr="00A12507">
          <w:rPr>
            <w:rStyle w:val="Hypertextovodkaz"/>
            <w:noProof/>
          </w:rPr>
          <w:t>Vertikální analýza</w:t>
        </w:r>
        <w:r w:rsidR="00D6025A">
          <w:rPr>
            <w:noProof/>
            <w:webHidden/>
          </w:rPr>
          <w:tab/>
        </w:r>
        <w:r>
          <w:rPr>
            <w:noProof/>
            <w:webHidden/>
          </w:rPr>
          <w:fldChar w:fldCharType="begin"/>
        </w:r>
        <w:r w:rsidR="00D6025A">
          <w:rPr>
            <w:noProof/>
            <w:webHidden/>
          </w:rPr>
          <w:instrText xml:space="preserve"> PAGEREF _Toc324932886 \h </w:instrText>
        </w:r>
        <w:r>
          <w:rPr>
            <w:noProof/>
            <w:webHidden/>
          </w:rPr>
        </w:r>
        <w:r>
          <w:rPr>
            <w:noProof/>
            <w:webHidden/>
          </w:rPr>
          <w:fldChar w:fldCharType="separate"/>
        </w:r>
        <w:r w:rsidR="00D6025A">
          <w:rPr>
            <w:noProof/>
            <w:webHidden/>
          </w:rPr>
          <w:t>14</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887" w:history="1">
        <w:r w:rsidR="00D6025A" w:rsidRPr="00A12507">
          <w:rPr>
            <w:rStyle w:val="Hypertextovodkaz"/>
            <w:noProof/>
          </w:rPr>
          <w:t>2.5</w:t>
        </w:r>
        <w:r w:rsidR="00D6025A">
          <w:rPr>
            <w:rFonts w:asciiTheme="minorHAnsi" w:eastAsiaTheme="minorEastAsia" w:hAnsiTheme="minorHAnsi"/>
            <w:noProof/>
            <w:sz w:val="22"/>
            <w:lang w:eastAsia="cs-CZ"/>
          </w:rPr>
          <w:tab/>
        </w:r>
        <w:r w:rsidR="00D6025A" w:rsidRPr="00A12507">
          <w:rPr>
            <w:rStyle w:val="Hypertextovodkaz"/>
            <w:noProof/>
          </w:rPr>
          <w:t>Analýza poměrových ukazatelů</w:t>
        </w:r>
        <w:r w:rsidR="00D6025A">
          <w:rPr>
            <w:noProof/>
            <w:webHidden/>
          </w:rPr>
          <w:tab/>
        </w:r>
        <w:r>
          <w:rPr>
            <w:noProof/>
            <w:webHidden/>
          </w:rPr>
          <w:fldChar w:fldCharType="begin"/>
        </w:r>
        <w:r w:rsidR="00D6025A">
          <w:rPr>
            <w:noProof/>
            <w:webHidden/>
          </w:rPr>
          <w:instrText xml:space="preserve"> PAGEREF _Toc324932887 \h </w:instrText>
        </w:r>
        <w:r>
          <w:rPr>
            <w:noProof/>
            <w:webHidden/>
          </w:rPr>
        </w:r>
        <w:r>
          <w:rPr>
            <w:noProof/>
            <w:webHidden/>
          </w:rPr>
          <w:fldChar w:fldCharType="separate"/>
        </w:r>
        <w:r w:rsidR="00D6025A">
          <w:rPr>
            <w:noProof/>
            <w:webHidden/>
          </w:rPr>
          <w:t>14</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88" w:history="1">
        <w:r w:rsidR="00D6025A" w:rsidRPr="00A12507">
          <w:rPr>
            <w:rStyle w:val="Hypertextovodkaz"/>
            <w:noProof/>
          </w:rPr>
          <w:t>2.5.1</w:t>
        </w:r>
        <w:r w:rsidR="00D6025A">
          <w:rPr>
            <w:rFonts w:asciiTheme="minorHAnsi" w:eastAsiaTheme="minorEastAsia" w:hAnsiTheme="minorHAnsi"/>
            <w:i w:val="0"/>
            <w:noProof/>
            <w:sz w:val="22"/>
            <w:lang w:eastAsia="cs-CZ"/>
          </w:rPr>
          <w:tab/>
        </w:r>
        <w:r w:rsidR="00D6025A" w:rsidRPr="00A12507">
          <w:rPr>
            <w:rStyle w:val="Hypertextovodkaz"/>
            <w:noProof/>
          </w:rPr>
          <w:t>Ukazatele rentability</w:t>
        </w:r>
        <w:r w:rsidR="00D6025A">
          <w:rPr>
            <w:noProof/>
            <w:webHidden/>
          </w:rPr>
          <w:tab/>
        </w:r>
        <w:r>
          <w:rPr>
            <w:noProof/>
            <w:webHidden/>
          </w:rPr>
          <w:fldChar w:fldCharType="begin"/>
        </w:r>
        <w:r w:rsidR="00D6025A">
          <w:rPr>
            <w:noProof/>
            <w:webHidden/>
          </w:rPr>
          <w:instrText xml:space="preserve"> PAGEREF _Toc324932888 \h </w:instrText>
        </w:r>
        <w:r>
          <w:rPr>
            <w:noProof/>
            <w:webHidden/>
          </w:rPr>
        </w:r>
        <w:r>
          <w:rPr>
            <w:noProof/>
            <w:webHidden/>
          </w:rPr>
          <w:fldChar w:fldCharType="separate"/>
        </w:r>
        <w:r w:rsidR="00D6025A">
          <w:rPr>
            <w:noProof/>
            <w:webHidden/>
          </w:rPr>
          <w:t>14</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89" w:history="1">
        <w:r w:rsidR="00D6025A" w:rsidRPr="00A12507">
          <w:rPr>
            <w:rStyle w:val="Hypertextovodkaz"/>
            <w:noProof/>
          </w:rPr>
          <w:t>2.5.2</w:t>
        </w:r>
        <w:r w:rsidR="00D6025A">
          <w:rPr>
            <w:rFonts w:asciiTheme="minorHAnsi" w:eastAsiaTheme="minorEastAsia" w:hAnsiTheme="minorHAnsi"/>
            <w:i w:val="0"/>
            <w:noProof/>
            <w:sz w:val="22"/>
            <w:lang w:eastAsia="cs-CZ"/>
          </w:rPr>
          <w:tab/>
        </w:r>
        <w:r w:rsidR="00D6025A" w:rsidRPr="00A12507">
          <w:rPr>
            <w:rStyle w:val="Hypertextovodkaz"/>
            <w:noProof/>
          </w:rPr>
          <w:t>Ukazatele aktivity</w:t>
        </w:r>
        <w:r w:rsidR="00D6025A">
          <w:rPr>
            <w:noProof/>
            <w:webHidden/>
          </w:rPr>
          <w:tab/>
        </w:r>
        <w:r>
          <w:rPr>
            <w:noProof/>
            <w:webHidden/>
          </w:rPr>
          <w:fldChar w:fldCharType="begin"/>
        </w:r>
        <w:r w:rsidR="00D6025A">
          <w:rPr>
            <w:noProof/>
            <w:webHidden/>
          </w:rPr>
          <w:instrText xml:space="preserve"> PAGEREF _Toc324932889 \h </w:instrText>
        </w:r>
        <w:r>
          <w:rPr>
            <w:noProof/>
            <w:webHidden/>
          </w:rPr>
        </w:r>
        <w:r>
          <w:rPr>
            <w:noProof/>
            <w:webHidden/>
          </w:rPr>
          <w:fldChar w:fldCharType="separate"/>
        </w:r>
        <w:r w:rsidR="00D6025A">
          <w:rPr>
            <w:noProof/>
            <w:webHidden/>
          </w:rPr>
          <w:t>16</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90" w:history="1">
        <w:r w:rsidR="00D6025A" w:rsidRPr="00A12507">
          <w:rPr>
            <w:rStyle w:val="Hypertextovodkaz"/>
            <w:noProof/>
          </w:rPr>
          <w:t>2.5.3</w:t>
        </w:r>
        <w:r w:rsidR="00D6025A">
          <w:rPr>
            <w:rFonts w:asciiTheme="minorHAnsi" w:eastAsiaTheme="minorEastAsia" w:hAnsiTheme="minorHAnsi"/>
            <w:i w:val="0"/>
            <w:noProof/>
            <w:sz w:val="22"/>
            <w:lang w:eastAsia="cs-CZ"/>
          </w:rPr>
          <w:tab/>
        </w:r>
        <w:r w:rsidR="00D6025A" w:rsidRPr="00A12507">
          <w:rPr>
            <w:rStyle w:val="Hypertextovodkaz"/>
            <w:noProof/>
          </w:rPr>
          <w:t>Ukazatele zadluženosti</w:t>
        </w:r>
        <w:r w:rsidR="00D6025A">
          <w:rPr>
            <w:noProof/>
            <w:webHidden/>
          </w:rPr>
          <w:tab/>
        </w:r>
        <w:r>
          <w:rPr>
            <w:noProof/>
            <w:webHidden/>
          </w:rPr>
          <w:fldChar w:fldCharType="begin"/>
        </w:r>
        <w:r w:rsidR="00D6025A">
          <w:rPr>
            <w:noProof/>
            <w:webHidden/>
          </w:rPr>
          <w:instrText xml:space="preserve"> PAGEREF _Toc324932890 \h </w:instrText>
        </w:r>
        <w:r>
          <w:rPr>
            <w:noProof/>
            <w:webHidden/>
          </w:rPr>
        </w:r>
        <w:r>
          <w:rPr>
            <w:noProof/>
            <w:webHidden/>
          </w:rPr>
          <w:fldChar w:fldCharType="separate"/>
        </w:r>
        <w:r w:rsidR="00D6025A">
          <w:rPr>
            <w:noProof/>
            <w:webHidden/>
          </w:rPr>
          <w:t>18</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91" w:history="1">
        <w:r w:rsidR="00D6025A" w:rsidRPr="00A12507">
          <w:rPr>
            <w:rStyle w:val="Hypertextovodkaz"/>
            <w:noProof/>
          </w:rPr>
          <w:t>2.5.4</w:t>
        </w:r>
        <w:r w:rsidR="00D6025A">
          <w:rPr>
            <w:rFonts w:asciiTheme="minorHAnsi" w:eastAsiaTheme="minorEastAsia" w:hAnsiTheme="minorHAnsi"/>
            <w:i w:val="0"/>
            <w:noProof/>
            <w:sz w:val="22"/>
            <w:lang w:eastAsia="cs-CZ"/>
          </w:rPr>
          <w:tab/>
        </w:r>
        <w:r w:rsidR="00D6025A" w:rsidRPr="00A12507">
          <w:rPr>
            <w:rStyle w:val="Hypertextovodkaz"/>
            <w:noProof/>
          </w:rPr>
          <w:t>Ukazatele likvidity</w:t>
        </w:r>
        <w:r w:rsidR="00D6025A">
          <w:rPr>
            <w:noProof/>
            <w:webHidden/>
          </w:rPr>
          <w:tab/>
        </w:r>
        <w:r>
          <w:rPr>
            <w:noProof/>
            <w:webHidden/>
          </w:rPr>
          <w:fldChar w:fldCharType="begin"/>
        </w:r>
        <w:r w:rsidR="00D6025A">
          <w:rPr>
            <w:noProof/>
            <w:webHidden/>
          </w:rPr>
          <w:instrText xml:space="preserve"> PAGEREF _Toc324932891 \h </w:instrText>
        </w:r>
        <w:r>
          <w:rPr>
            <w:noProof/>
            <w:webHidden/>
          </w:rPr>
        </w:r>
        <w:r>
          <w:rPr>
            <w:noProof/>
            <w:webHidden/>
          </w:rPr>
          <w:fldChar w:fldCharType="separate"/>
        </w:r>
        <w:r w:rsidR="00D6025A">
          <w:rPr>
            <w:noProof/>
            <w:webHidden/>
          </w:rPr>
          <w:t>19</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892" w:history="1">
        <w:r w:rsidR="00D6025A" w:rsidRPr="00A12507">
          <w:rPr>
            <w:rStyle w:val="Hypertextovodkaz"/>
            <w:noProof/>
          </w:rPr>
          <w:t>2.6</w:t>
        </w:r>
        <w:r w:rsidR="00D6025A">
          <w:rPr>
            <w:rFonts w:asciiTheme="minorHAnsi" w:eastAsiaTheme="minorEastAsia" w:hAnsiTheme="minorHAnsi"/>
            <w:noProof/>
            <w:sz w:val="22"/>
            <w:lang w:eastAsia="cs-CZ"/>
          </w:rPr>
          <w:tab/>
        </w:r>
        <w:r w:rsidR="00D6025A" w:rsidRPr="00A12507">
          <w:rPr>
            <w:rStyle w:val="Hypertextovodkaz"/>
            <w:noProof/>
          </w:rPr>
          <w:t>Bonitní a bankrotní modely</w:t>
        </w:r>
        <w:r w:rsidR="00D6025A">
          <w:rPr>
            <w:noProof/>
            <w:webHidden/>
          </w:rPr>
          <w:tab/>
        </w:r>
        <w:r>
          <w:rPr>
            <w:noProof/>
            <w:webHidden/>
          </w:rPr>
          <w:fldChar w:fldCharType="begin"/>
        </w:r>
        <w:r w:rsidR="00D6025A">
          <w:rPr>
            <w:noProof/>
            <w:webHidden/>
          </w:rPr>
          <w:instrText xml:space="preserve"> PAGEREF _Toc324932892 \h </w:instrText>
        </w:r>
        <w:r>
          <w:rPr>
            <w:noProof/>
            <w:webHidden/>
          </w:rPr>
        </w:r>
        <w:r>
          <w:rPr>
            <w:noProof/>
            <w:webHidden/>
          </w:rPr>
          <w:fldChar w:fldCharType="separate"/>
        </w:r>
        <w:r w:rsidR="00D6025A">
          <w:rPr>
            <w:noProof/>
            <w:webHidden/>
          </w:rPr>
          <w:t>20</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93" w:history="1">
        <w:r w:rsidR="00D6025A" w:rsidRPr="00A12507">
          <w:rPr>
            <w:rStyle w:val="Hypertextovodkaz"/>
            <w:noProof/>
          </w:rPr>
          <w:t>2.6.1</w:t>
        </w:r>
        <w:r w:rsidR="00D6025A">
          <w:rPr>
            <w:rFonts w:asciiTheme="minorHAnsi" w:eastAsiaTheme="minorEastAsia" w:hAnsiTheme="minorHAnsi"/>
            <w:i w:val="0"/>
            <w:noProof/>
            <w:sz w:val="22"/>
            <w:lang w:eastAsia="cs-CZ"/>
          </w:rPr>
          <w:tab/>
        </w:r>
        <w:r w:rsidR="00D6025A" w:rsidRPr="00A12507">
          <w:rPr>
            <w:rStyle w:val="Hypertextovodkaz"/>
            <w:noProof/>
          </w:rPr>
          <w:t>Kralicekův rychlý test</w:t>
        </w:r>
        <w:r w:rsidR="00D6025A">
          <w:rPr>
            <w:noProof/>
            <w:webHidden/>
          </w:rPr>
          <w:tab/>
        </w:r>
        <w:r>
          <w:rPr>
            <w:noProof/>
            <w:webHidden/>
          </w:rPr>
          <w:fldChar w:fldCharType="begin"/>
        </w:r>
        <w:r w:rsidR="00D6025A">
          <w:rPr>
            <w:noProof/>
            <w:webHidden/>
          </w:rPr>
          <w:instrText xml:space="preserve"> PAGEREF _Toc324932893 \h </w:instrText>
        </w:r>
        <w:r>
          <w:rPr>
            <w:noProof/>
            <w:webHidden/>
          </w:rPr>
        </w:r>
        <w:r>
          <w:rPr>
            <w:noProof/>
            <w:webHidden/>
          </w:rPr>
          <w:fldChar w:fldCharType="separate"/>
        </w:r>
        <w:r w:rsidR="00D6025A">
          <w:rPr>
            <w:noProof/>
            <w:webHidden/>
          </w:rPr>
          <w:t>21</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94" w:history="1">
        <w:r w:rsidR="00D6025A" w:rsidRPr="00A12507">
          <w:rPr>
            <w:rStyle w:val="Hypertextovodkaz"/>
            <w:noProof/>
          </w:rPr>
          <w:t>2.6.2</w:t>
        </w:r>
        <w:r w:rsidR="00D6025A">
          <w:rPr>
            <w:rFonts w:asciiTheme="minorHAnsi" w:eastAsiaTheme="minorEastAsia" w:hAnsiTheme="minorHAnsi"/>
            <w:i w:val="0"/>
            <w:noProof/>
            <w:sz w:val="22"/>
            <w:lang w:eastAsia="cs-CZ"/>
          </w:rPr>
          <w:tab/>
        </w:r>
        <w:r w:rsidR="00D6025A" w:rsidRPr="00A12507">
          <w:rPr>
            <w:rStyle w:val="Hypertextovodkaz"/>
            <w:noProof/>
          </w:rPr>
          <w:t>IN Index</w:t>
        </w:r>
        <w:r w:rsidR="00D6025A">
          <w:rPr>
            <w:noProof/>
            <w:webHidden/>
          </w:rPr>
          <w:tab/>
        </w:r>
        <w:r>
          <w:rPr>
            <w:noProof/>
            <w:webHidden/>
          </w:rPr>
          <w:fldChar w:fldCharType="begin"/>
        </w:r>
        <w:r w:rsidR="00D6025A">
          <w:rPr>
            <w:noProof/>
            <w:webHidden/>
          </w:rPr>
          <w:instrText xml:space="preserve"> PAGEREF _Toc324932894 \h </w:instrText>
        </w:r>
        <w:r>
          <w:rPr>
            <w:noProof/>
            <w:webHidden/>
          </w:rPr>
        </w:r>
        <w:r>
          <w:rPr>
            <w:noProof/>
            <w:webHidden/>
          </w:rPr>
          <w:fldChar w:fldCharType="separate"/>
        </w:r>
        <w:r w:rsidR="00D6025A">
          <w:rPr>
            <w:noProof/>
            <w:webHidden/>
          </w:rPr>
          <w:t>22</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895" w:history="1">
        <w:r w:rsidR="00D6025A" w:rsidRPr="00A12507">
          <w:rPr>
            <w:rStyle w:val="Hypertextovodkaz"/>
            <w:noProof/>
          </w:rPr>
          <w:t>Praktická část</w:t>
        </w:r>
        <w:r w:rsidR="00D6025A">
          <w:rPr>
            <w:noProof/>
            <w:webHidden/>
          </w:rPr>
          <w:tab/>
        </w:r>
        <w:r>
          <w:rPr>
            <w:noProof/>
            <w:webHidden/>
          </w:rPr>
          <w:fldChar w:fldCharType="begin"/>
        </w:r>
        <w:r w:rsidR="00D6025A">
          <w:rPr>
            <w:noProof/>
            <w:webHidden/>
          </w:rPr>
          <w:instrText xml:space="preserve"> PAGEREF _Toc324932895 \h </w:instrText>
        </w:r>
        <w:r>
          <w:rPr>
            <w:noProof/>
            <w:webHidden/>
          </w:rPr>
        </w:r>
        <w:r>
          <w:rPr>
            <w:noProof/>
            <w:webHidden/>
          </w:rPr>
          <w:fldChar w:fldCharType="separate"/>
        </w:r>
        <w:r w:rsidR="00D6025A">
          <w:rPr>
            <w:noProof/>
            <w:webHidden/>
          </w:rPr>
          <w:t>23</w:t>
        </w:r>
        <w:r>
          <w:rPr>
            <w:noProof/>
            <w:webHidden/>
          </w:rPr>
          <w:fldChar w:fldCharType="end"/>
        </w:r>
      </w:hyperlink>
    </w:p>
    <w:p w:rsidR="00D6025A" w:rsidRDefault="00731DFF">
      <w:pPr>
        <w:pStyle w:val="Obsah1"/>
        <w:tabs>
          <w:tab w:val="left" w:pos="480"/>
          <w:tab w:val="right" w:leader="dot" w:pos="9060"/>
        </w:tabs>
        <w:rPr>
          <w:rFonts w:asciiTheme="minorHAnsi" w:eastAsiaTheme="minorEastAsia" w:hAnsiTheme="minorHAnsi"/>
          <w:b w:val="0"/>
          <w:noProof/>
          <w:sz w:val="22"/>
          <w:lang w:eastAsia="cs-CZ"/>
        </w:rPr>
      </w:pPr>
      <w:hyperlink w:anchor="_Toc324932896" w:history="1">
        <w:r w:rsidR="00D6025A" w:rsidRPr="00A12507">
          <w:rPr>
            <w:rStyle w:val="Hypertextovodkaz"/>
            <w:noProof/>
          </w:rPr>
          <w:t>3</w:t>
        </w:r>
        <w:r w:rsidR="00D6025A">
          <w:rPr>
            <w:rFonts w:asciiTheme="minorHAnsi" w:eastAsiaTheme="minorEastAsia" w:hAnsiTheme="minorHAnsi"/>
            <w:b w:val="0"/>
            <w:noProof/>
            <w:sz w:val="22"/>
            <w:lang w:eastAsia="cs-CZ"/>
          </w:rPr>
          <w:tab/>
        </w:r>
        <w:r w:rsidR="00D6025A" w:rsidRPr="00A12507">
          <w:rPr>
            <w:rStyle w:val="Hypertextovodkaz"/>
            <w:noProof/>
          </w:rPr>
          <w:t>Základní informace o společnosti</w:t>
        </w:r>
        <w:r w:rsidR="00D6025A">
          <w:rPr>
            <w:noProof/>
            <w:webHidden/>
          </w:rPr>
          <w:tab/>
        </w:r>
        <w:r>
          <w:rPr>
            <w:noProof/>
            <w:webHidden/>
          </w:rPr>
          <w:fldChar w:fldCharType="begin"/>
        </w:r>
        <w:r w:rsidR="00D6025A">
          <w:rPr>
            <w:noProof/>
            <w:webHidden/>
          </w:rPr>
          <w:instrText xml:space="preserve"> PAGEREF _Toc324932896 \h </w:instrText>
        </w:r>
        <w:r>
          <w:rPr>
            <w:noProof/>
            <w:webHidden/>
          </w:rPr>
        </w:r>
        <w:r>
          <w:rPr>
            <w:noProof/>
            <w:webHidden/>
          </w:rPr>
          <w:fldChar w:fldCharType="separate"/>
        </w:r>
        <w:r w:rsidR="00D6025A">
          <w:rPr>
            <w:noProof/>
            <w:webHidden/>
          </w:rPr>
          <w:t>23</w:t>
        </w:r>
        <w:r>
          <w:rPr>
            <w:noProof/>
            <w:webHidden/>
          </w:rPr>
          <w:fldChar w:fldCharType="end"/>
        </w:r>
      </w:hyperlink>
    </w:p>
    <w:p w:rsidR="00D6025A" w:rsidRDefault="00731DFF">
      <w:pPr>
        <w:pStyle w:val="Obsah1"/>
        <w:tabs>
          <w:tab w:val="left" w:pos="480"/>
          <w:tab w:val="right" w:leader="dot" w:pos="9060"/>
        </w:tabs>
        <w:rPr>
          <w:rFonts w:asciiTheme="minorHAnsi" w:eastAsiaTheme="minorEastAsia" w:hAnsiTheme="minorHAnsi"/>
          <w:b w:val="0"/>
          <w:noProof/>
          <w:sz w:val="22"/>
          <w:lang w:eastAsia="cs-CZ"/>
        </w:rPr>
      </w:pPr>
      <w:hyperlink w:anchor="_Toc324932897" w:history="1">
        <w:r w:rsidR="00D6025A" w:rsidRPr="00A12507">
          <w:rPr>
            <w:rStyle w:val="Hypertextovodkaz"/>
            <w:noProof/>
          </w:rPr>
          <w:t>4</w:t>
        </w:r>
        <w:r w:rsidR="00D6025A">
          <w:rPr>
            <w:rFonts w:asciiTheme="minorHAnsi" w:eastAsiaTheme="minorEastAsia" w:hAnsiTheme="minorHAnsi"/>
            <w:b w:val="0"/>
            <w:noProof/>
            <w:sz w:val="22"/>
            <w:lang w:eastAsia="cs-CZ"/>
          </w:rPr>
          <w:tab/>
        </w:r>
        <w:r w:rsidR="00D6025A" w:rsidRPr="00A12507">
          <w:rPr>
            <w:rStyle w:val="Hypertextovodkaz"/>
            <w:noProof/>
          </w:rPr>
          <w:t>Finanční analýza společnosti Dentamed s.r.o.</w:t>
        </w:r>
        <w:r w:rsidR="00D6025A">
          <w:rPr>
            <w:noProof/>
            <w:webHidden/>
          </w:rPr>
          <w:tab/>
        </w:r>
        <w:r>
          <w:rPr>
            <w:noProof/>
            <w:webHidden/>
          </w:rPr>
          <w:fldChar w:fldCharType="begin"/>
        </w:r>
        <w:r w:rsidR="00D6025A">
          <w:rPr>
            <w:noProof/>
            <w:webHidden/>
          </w:rPr>
          <w:instrText xml:space="preserve"> PAGEREF _Toc324932897 \h </w:instrText>
        </w:r>
        <w:r>
          <w:rPr>
            <w:noProof/>
            <w:webHidden/>
          </w:rPr>
        </w:r>
        <w:r>
          <w:rPr>
            <w:noProof/>
            <w:webHidden/>
          </w:rPr>
          <w:fldChar w:fldCharType="separate"/>
        </w:r>
        <w:r w:rsidR="00D6025A">
          <w:rPr>
            <w:noProof/>
            <w:webHidden/>
          </w:rPr>
          <w:t>24</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898" w:history="1">
        <w:r w:rsidR="00D6025A" w:rsidRPr="00A12507">
          <w:rPr>
            <w:rStyle w:val="Hypertextovodkaz"/>
            <w:noProof/>
          </w:rPr>
          <w:t>4.1</w:t>
        </w:r>
        <w:r w:rsidR="00D6025A">
          <w:rPr>
            <w:rFonts w:asciiTheme="minorHAnsi" w:eastAsiaTheme="minorEastAsia" w:hAnsiTheme="minorHAnsi"/>
            <w:noProof/>
            <w:sz w:val="22"/>
            <w:lang w:eastAsia="cs-CZ"/>
          </w:rPr>
          <w:tab/>
        </w:r>
        <w:r w:rsidR="00D6025A" w:rsidRPr="00A12507">
          <w:rPr>
            <w:rStyle w:val="Hypertextovodkaz"/>
            <w:noProof/>
          </w:rPr>
          <w:t>Horizontální analýza rozvahy</w:t>
        </w:r>
        <w:r w:rsidR="00D6025A">
          <w:rPr>
            <w:noProof/>
            <w:webHidden/>
          </w:rPr>
          <w:tab/>
        </w:r>
        <w:r>
          <w:rPr>
            <w:noProof/>
            <w:webHidden/>
          </w:rPr>
          <w:fldChar w:fldCharType="begin"/>
        </w:r>
        <w:r w:rsidR="00D6025A">
          <w:rPr>
            <w:noProof/>
            <w:webHidden/>
          </w:rPr>
          <w:instrText xml:space="preserve"> PAGEREF _Toc324932898 \h </w:instrText>
        </w:r>
        <w:r>
          <w:rPr>
            <w:noProof/>
            <w:webHidden/>
          </w:rPr>
        </w:r>
        <w:r>
          <w:rPr>
            <w:noProof/>
            <w:webHidden/>
          </w:rPr>
          <w:fldChar w:fldCharType="separate"/>
        </w:r>
        <w:r w:rsidR="00D6025A">
          <w:rPr>
            <w:noProof/>
            <w:webHidden/>
          </w:rPr>
          <w:t>24</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899" w:history="1">
        <w:r w:rsidR="00D6025A" w:rsidRPr="00A12507">
          <w:rPr>
            <w:rStyle w:val="Hypertextovodkaz"/>
            <w:noProof/>
          </w:rPr>
          <w:t>4.1.1</w:t>
        </w:r>
        <w:r w:rsidR="00D6025A">
          <w:rPr>
            <w:rFonts w:asciiTheme="minorHAnsi" w:eastAsiaTheme="minorEastAsia" w:hAnsiTheme="minorHAnsi"/>
            <w:i w:val="0"/>
            <w:noProof/>
            <w:sz w:val="22"/>
            <w:lang w:eastAsia="cs-CZ"/>
          </w:rPr>
          <w:tab/>
        </w:r>
        <w:r w:rsidR="00D6025A" w:rsidRPr="00A12507">
          <w:rPr>
            <w:rStyle w:val="Hypertextovodkaz"/>
            <w:noProof/>
          </w:rPr>
          <w:t>Horizontální analýza aktiv</w:t>
        </w:r>
        <w:r w:rsidR="00D6025A">
          <w:rPr>
            <w:noProof/>
            <w:webHidden/>
          </w:rPr>
          <w:tab/>
        </w:r>
        <w:r>
          <w:rPr>
            <w:noProof/>
            <w:webHidden/>
          </w:rPr>
          <w:fldChar w:fldCharType="begin"/>
        </w:r>
        <w:r w:rsidR="00D6025A">
          <w:rPr>
            <w:noProof/>
            <w:webHidden/>
          </w:rPr>
          <w:instrText xml:space="preserve"> PAGEREF _Toc324932899 \h </w:instrText>
        </w:r>
        <w:r>
          <w:rPr>
            <w:noProof/>
            <w:webHidden/>
          </w:rPr>
        </w:r>
        <w:r>
          <w:rPr>
            <w:noProof/>
            <w:webHidden/>
          </w:rPr>
          <w:fldChar w:fldCharType="separate"/>
        </w:r>
        <w:r w:rsidR="00D6025A">
          <w:rPr>
            <w:noProof/>
            <w:webHidden/>
          </w:rPr>
          <w:t>24</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00" w:history="1">
        <w:r w:rsidR="00D6025A" w:rsidRPr="00A12507">
          <w:rPr>
            <w:rStyle w:val="Hypertextovodkaz"/>
            <w:noProof/>
          </w:rPr>
          <w:t>4.1.2</w:t>
        </w:r>
        <w:r w:rsidR="00D6025A">
          <w:rPr>
            <w:rFonts w:asciiTheme="minorHAnsi" w:eastAsiaTheme="minorEastAsia" w:hAnsiTheme="minorHAnsi"/>
            <w:i w:val="0"/>
            <w:noProof/>
            <w:sz w:val="22"/>
            <w:lang w:eastAsia="cs-CZ"/>
          </w:rPr>
          <w:tab/>
        </w:r>
        <w:r w:rsidR="00D6025A" w:rsidRPr="00A12507">
          <w:rPr>
            <w:rStyle w:val="Hypertextovodkaz"/>
            <w:noProof/>
          </w:rPr>
          <w:t>Horizontální analýza pasiv</w:t>
        </w:r>
        <w:r w:rsidR="00D6025A">
          <w:rPr>
            <w:noProof/>
            <w:webHidden/>
          </w:rPr>
          <w:tab/>
        </w:r>
        <w:r>
          <w:rPr>
            <w:noProof/>
            <w:webHidden/>
          </w:rPr>
          <w:fldChar w:fldCharType="begin"/>
        </w:r>
        <w:r w:rsidR="00D6025A">
          <w:rPr>
            <w:noProof/>
            <w:webHidden/>
          </w:rPr>
          <w:instrText xml:space="preserve"> PAGEREF _Toc324932900 \h </w:instrText>
        </w:r>
        <w:r>
          <w:rPr>
            <w:noProof/>
            <w:webHidden/>
          </w:rPr>
        </w:r>
        <w:r>
          <w:rPr>
            <w:noProof/>
            <w:webHidden/>
          </w:rPr>
          <w:fldChar w:fldCharType="separate"/>
        </w:r>
        <w:r w:rsidR="00D6025A">
          <w:rPr>
            <w:noProof/>
            <w:webHidden/>
          </w:rPr>
          <w:t>25</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901" w:history="1">
        <w:r w:rsidR="00D6025A" w:rsidRPr="00A12507">
          <w:rPr>
            <w:rStyle w:val="Hypertextovodkaz"/>
            <w:noProof/>
          </w:rPr>
          <w:t>4.2</w:t>
        </w:r>
        <w:r w:rsidR="00D6025A">
          <w:rPr>
            <w:rFonts w:asciiTheme="minorHAnsi" w:eastAsiaTheme="minorEastAsia" w:hAnsiTheme="minorHAnsi"/>
            <w:noProof/>
            <w:sz w:val="22"/>
            <w:lang w:eastAsia="cs-CZ"/>
          </w:rPr>
          <w:tab/>
        </w:r>
        <w:r w:rsidR="00D6025A" w:rsidRPr="00A12507">
          <w:rPr>
            <w:rStyle w:val="Hypertextovodkaz"/>
            <w:noProof/>
          </w:rPr>
          <w:t>Vertikální analýza rozvahy</w:t>
        </w:r>
        <w:r w:rsidR="00D6025A">
          <w:rPr>
            <w:noProof/>
            <w:webHidden/>
          </w:rPr>
          <w:tab/>
        </w:r>
        <w:r>
          <w:rPr>
            <w:noProof/>
            <w:webHidden/>
          </w:rPr>
          <w:fldChar w:fldCharType="begin"/>
        </w:r>
        <w:r w:rsidR="00D6025A">
          <w:rPr>
            <w:noProof/>
            <w:webHidden/>
          </w:rPr>
          <w:instrText xml:space="preserve"> PAGEREF _Toc324932901 \h </w:instrText>
        </w:r>
        <w:r>
          <w:rPr>
            <w:noProof/>
            <w:webHidden/>
          </w:rPr>
        </w:r>
        <w:r>
          <w:rPr>
            <w:noProof/>
            <w:webHidden/>
          </w:rPr>
          <w:fldChar w:fldCharType="separate"/>
        </w:r>
        <w:r w:rsidR="00D6025A">
          <w:rPr>
            <w:noProof/>
            <w:webHidden/>
          </w:rPr>
          <w:t>27</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02" w:history="1">
        <w:r w:rsidR="00D6025A" w:rsidRPr="00A12507">
          <w:rPr>
            <w:rStyle w:val="Hypertextovodkaz"/>
            <w:noProof/>
          </w:rPr>
          <w:t>4.2.1</w:t>
        </w:r>
        <w:r w:rsidR="00D6025A">
          <w:rPr>
            <w:rFonts w:asciiTheme="minorHAnsi" w:eastAsiaTheme="minorEastAsia" w:hAnsiTheme="minorHAnsi"/>
            <w:i w:val="0"/>
            <w:noProof/>
            <w:sz w:val="22"/>
            <w:lang w:eastAsia="cs-CZ"/>
          </w:rPr>
          <w:tab/>
        </w:r>
        <w:r w:rsidR="00D6025A" w:rsidRPr="00A12507">
          <w:rPr>
            <w:rStyle w:val="Hypertextovodkaz"/>
            <w:noProof/>
          </w:rPr>
          <w:t>Vertikální analýza aktiv</w:t>
        </w:r>
        <w:r w:rsidR="00D6025A">
          <w:rPr>
            <w:noProof/>
            <w:webHidden/>
          </w:rPr>
          <w:tab/>
        </w:r>
        <w:r>
          <w:rPr>
            <w:noProof/>
            <w:webHidden/>
          </w:rPr>
          <w:fldChar w:fldCharType="begin"/>
        </w:r>
        <w:r w:rsidR="00D6025A">
          <w:rPr>
            <w:noProof/>
            <w:webHidden/>
          </w:rPr>
          <w:instrText xml:space="preserve"> PAGEREF _Toc324932902 \h </w:instrText>
        </w:r>
        <w:r>
          <w:rPr>
            <w:noProof/>
            <w:webHidden/>
          </w:rPr>
        </w:r>
        <w:r>
          <w:rPr>
            <w:noProof/>
            <w:webHidden/>
          </w:rPr>
          <w:fldChar w:fldCharType="separate"/>
        </w:r>
        <w:r w:rsidR="00D6025A">
          <w:rPr>
            <w:noProof/>
            <w:webHidden/>
          </w:rPr>
          <w:t>27</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03" w:history="1">
        <w:r w:rsidR="00D6025A" w:rsidRPr="00A12507">
          <w:rPr>
            <w:rStyle w:val="Hypertextovodkaz"/>
            <w:noProof/>
          </w:rPr>
          <w:t>4.2.2</w:t>
        </w:r>
        <w:r w:rsidR="00D6025A">
          <w:rPr>
            <w:rFonts w:asciiTheme="minorHAnsi" w:eastAsiaTheme="minorEastAsia" w:hAnsiTheme="minorHAnsi"/>
            <w:i w:val="0"/>
            <w:noProof/>
            <w:sz w:val="22"/>
            <w:lang w:eastAsia="cs-CZ"/>
          </w:rPr>
          <w:tab/>
        </w:r>
        <w:r w:rsidR="00D6025A" w:rsidRPr="00A12507">
          <w:rPr>
            <w:rStyle w:val="Hypertextovodkaz"/>
            <w:noProof/>
          </w:rPr>
          <w:t>Vertikální analýza pasiv</w:t>
        </w:r>
        <w:r w:rsidR="00D6025A">
          <w:rPr>
            <w:noProof/>
            <w:webHidden/>
          </w:rPr>
          <w:tab/>
        </w:r>
        <w:r>
          <w:rPr>
            <w:noProof/>
            <w:webHidden/>
          </w:rPr>
          <w:fldChar w:fldCharType="begin"/>
        </w:r>
        <w:r w:rsidR="00D6025A">
          <w:rPr>
            <w:noProof/>
            <w:webHidden/>
          </w:rPr>
          <w:instrText xml:space="preserve"> PAGEREF _Toc324932903 \h </w:instrText>
        </w:r>
        <w:r>
          <w:rPr>
            <w:noProof/>
            <w:webHidden/>
          </w:rPr>
        </w:r>
        <w:r>
          <w:rPr>
            <w:noProof/>
            <w:webHidden/>
          </w:rPr>
          <w:fldChar w:fldCharType="separate"/>
        </w:r>
        <w:r w:rsidR="00D6025A">
          <w:rPr>
            <w:noProof/>
            <w:webHidden/>
          </w:rPr>
          <w:t>30</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904" w:history="1">
        <w:r w:rsidR="00D6025A" w:rsidRPr="00A12507">
          <w:rPr>
            <w:rStyle w:val="Hypertextovodkaz"/>
            <w:noProof/>
          </w:rPr>
          <w:t>4.3</w:t>
        </w:r>
        <w:r w:rsidR="00D6025A">
          <w:rPr>
            <w:rFonts w:asciiTheme="minorHAnsi" w:eastAsiaTheme="minorEastAsia" w:hAnsiTheme="minorHAnsi"/>
            <w:noProof/>
            <w:sz w:val="22"/>
            <w:lang w:eastAsia="cs-CZ"/>
          </w:rPr>
          <w:tab/>
        </w:r>
        <w:r w:rsidR="00D6025A" w:rsidRPr="00A12507">
          <w:rPr>
            <w:rStyle w:val="Hypertextovodkaz"/>
            <w:noProof/>
          </w:rPr>
          <w:t>Analýza výkazu zisků a ztrát</w:t>
        </w:r>
        <w:r w:rsidR="00D6025A">
          <w:rPr>
            <w:noProof/>
            <w:webHidden/>
          </w:rPr>
          <w:tab/>
        </w:r>
        <w:r>
          <w:rPr>
            <w:noProof/>
            <w:webHidden/>
          </w:rPr>
          <w:fldChar w:fldCharType="begin"/>
        </w:r>
        <w:r w:rsidR="00D6025A">
          <w:rPr>
            <w:noProof/>
            <w:webHidden/>
          </w:rPr>
          <w:instrText xml:space="preserve"> PAGEREF _Toc324932904 \h </w:instrText>
        </w:r>
        <w:r>
          <w:rPr>
            <w:noProof/>
            <w:webHidden/>
          </w:rPr>
        </w:r>
        <w:r>
          <w:rPr>
            <w:noProof/>
            <w:webHidden/>
          </w:rPr>
          <w:fldChar w:fldCharType="separate"/>
        </w:r>
        <w:r w:rsidR="00D6025A">
          <w:rPr>
            <w:noProof/>
            <w:webHidden/>
          </w:rPr>
          <w:t>32</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05" w:history="1">
        <w:r w:rsidR="00D6025A" w:rsidRPr="00A12507">
          <w:rPr>
            <w:rStyle w:val="Hypertextovodkaz"/>
            <w:noProof/>
          </w:rPr>
          <w:t>4.3.1</w:t>
        </w:r>
        <w:r w:rsidR="00D6025A">
          <w:rPr>
            <w:rFonts w:asciiTheme="minorHAnsi" w:eastAsiaTheme="minorEastAsia" w:hAnsiTheme="minorHAnsi"/>
            <w:i w:val="0"/>
            <w:noProof/>
            <w:sz w:val="22"/>
            <w:lang w:eastAsia="cs-CZ"/>
          </w:rPr>
          <w:tab/>
        </w:r>
        <w:r w:rsidR="00D6025A" w:rsidRPr="00A12507">
          <w:rPr>
            <w:rStyle w:val="Hypertextovodkaz"/>
            <w:noProof/>
          </w:rPr>
          <w:t>Horizontální analýza</w:t>
        </w:r>
        <w:r w:rsidR="00D6025A">
          <w:rPr>
            <w:noProof/>
            <w:webHidden/>
          </w:rPr>
          <w:tab/>
        </w:r>
        <w:r>
          <w:rPr>
            <w:noProof/>
            <w:webHidden/>
          </w:rPr>
          <w:fldChar w:fldCharType="begin"/>
        </w:r>
        <w:r w:rsidR="00D6025A">
          <w:rPr>
            <w:noProof/>
            <w:webHidden/>
          </w:rPr>
          <w:instrText xml:space="preserve"> PAGEREF _Toc324932905 \h </w:instrText>
        </w:r>
        <w:r>
          <w:rPr>
            <w:noProof/>
            <w:webHidden/>
          </w:rPr>
        </w:r>
        <w:r>
          <w:rPr>
            <w:noProof/>
            <w:webHidden/>
          </w:rPr>
          <w:fldChar w:fldCharType="separate"/>
        </w:r>
        <w:r w:rsidR="00D6025A">
          <w:rPr>
            <w:noProof/>
            <w:webHidden/>
          </w:rPr>
          <w:t>32</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06" w:history="1">
        <w:r w:rsidR="00D6025A" w:rsidRPr="00A12507">
          <w:rPr>
            <w:rStyle w:val="Hypertextovodkaz"/>
            <w:noProof/>
          </w:rPr>
          <w:t>4.3.2</w:t>
        </w:r>
        <w:r w:rsidR="00D6025A">
          <w:rPr>
            <w:rFonts w:asciiTheme="minorHAnsi" w:eastAsiaTheme="minorEastAsia" w:hAnsiTheme="minorHAnsi"/>
            <w:i w:val="0"/>
            <w:noProof/>
            <w:sz w:val="22"/>
            <w:lang w:eastAsia="cs-CZ"/>
          </w:rPr>
          <w:tab/>
        </w:r>
        <w:r w:rsidR="00D6025A" w:rsidRPr="00A12507">
          <w:rPr>
            <w:rStyle w:val="Hypertextovodkaz"/>
            <w:noProof/>
          </w:rPr>
          <w:t>Vertikální analýza</w:t>
        </w:r>
        <w:r w:rsidR="00D6025A">
          <w:rPr>
            <w:noProof/>
            <w:webHidden/>
          </w:rPr>
          <w:tab/>
        </w:r>
        <w:r>
          <w:rPr>
            <w:noProof/>
            <w:webHidden/>
          </w:rPr>
          <w:fldChar w:fldCharType="begin"/>
        </w:r>
        <w:r w:rsidR="00D6025A">
          <w:rPr>
            <w:noProof/>
            <w:webHidden/>
          </w:rPr>
          <w:instrText xml:space="preserve"> PAGEREF _Toc324932906 \h </w:instrText>
        </w:r>
        <w:r>
          <w:rPr>
            <w:noProof/>
            <w:webHidden/>
          </w:rPr>
        </w:r>
        <w:r>
          <w:rPr>
            <w:noProof/>
            <w:webHidden/>
          </w:rPr>
          <w:fldChar w:fldCharType="separate"/>
        </w:r>
        <w:r w:rsidR="00D6025A">
          <w:rPr>
            <w:noProof/>
            <w:webHidden/>
          </w:rPr>
          <w:t>34</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907" w:history="1">
        <w:r w:rsidR="00D6025A" w:rsidRPr="00A12507">
          <w:rPr>
            <w:rStyle w:val="Hypertextovodkaz"/>
            <w:noProof/>
          </w:rPr>
          <w:t>4.4</w:t>
        </w:r>
        <w:r w:rsidR="00D6025A">
          <w:rPr>
            <w:rFonts w:asciiTheme="minorHAnsi" w:eastAsiaTheme="minorEastAsia" w:hAnsiTheme="minorHAnsi"/>
            <w:noProof/>
            <w:sz w:val="22"/>
            <w:lang w:eastAsia="cs-CZ"/>
          </w:rPr>
          <w:tab/>
        </w:r>
        <w:r w:rsidR="00D6025A" w:rsidRPr="00A12507">
          <w:rPr>
            <w:rStyle w:val="Hypertextovodkaz"/>
            <w:noProof/>
          </w:rPr>
          <w:t>Analýza poměrových ukazatelů</w:t>
        </w:r>
        <w:r w:rsidR="00D6025A">
          <w:rPr>
            <w:noProof/>
            <w:webHidden/>
          </w:rPr>
          <w:tab/>
        </w:r>
        <w:r>
          <w:rPr>
            <w:noProof/>
            <w:webHidden/>
          </w:rPr>
          <w:fldChar w:fldCharType="begin"/>
        </w:r>
        <w:r w:rsidR="00D6025A">
          <w:rPr>
            <w:noProof/>
            <w:webHidden/>
          </w:rPr>
          <w:instrText xml:space="preserve"> PAGEREF _Toc324932907 \h </w:instrText>
        </w:r>
        <w:r>
          <w:rPr>
            <w:noProof/>
            <w:webHidden/>
          </w:rPr>
        </w:r>
        <w:r>
          <w:rPr>
            <w:noProof/>
            <w:webHidden/>
          </w:rPr>
          <w:fldChar w:fldCharType="separate"/>
        </w:r>
        <w:r w:rsidR="00D6025A">
          <w:rPr>
            <w:noProof/>
            <w:webHidden/>
          </w:rPr>
          <w:t>35</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08" w:history="1">
        <w:r w:rsidR="00D6025A" w:rsidRPr="00A12507">
          <w:rPr>
            <w:rStyle w:val="Hypertextovodkaz"/>
            <w:noProof/>
          </w:rPr>
          <w:t>4.4.1</w:t>
        </w:r>
        <w:r w:rsidR="00D6025A">
          <w:rPr>
            <w:rFonts w:asciiTheme="minorHAnsi" w:eastAsiaTheme="minorEastAsia" w:hAnsiTheme="minorHAnsi"/>
            <w:i w:val="0"/>
            <w:noProof/>
            <w:sz w:val="22"/>
            <w:lang w:eastAsia="cs-CZ"/>
          </w:rPr>
          <w:tab/>
        </w:r>
        <w:r w:rsidR="00D6025A" w:rsidRPr="00A12507">
          <w:rPr>
            <w:rStyle w:val="Hypertextovodkaz"/>
            <w:noProof/>
          </w:rPr>
          <w:t>Ukazatele rentability</w:t>
        </w:r>
        <w:r w:rsidR="00D6025A">
          <w:rPr>
            <w:noProof/>
            <w:webHidden/>
          </w:rPr>
          <w:tab/>
        </w:r>
        <w:r>
          <w:rPr>
            <w:noProof/>
            <w:webHidden/>
          </w:rPr>
          <w:fldChar w:fldCharType="begin"/>
        </w:r>
        <w:r w:rsidR="00D6025A">
          <w:rPr>
            <w:noProof/>
            <w:webHidden/>
          </w:rPr>
          <w:instrText xml:space="preserve"> PAGEREF _Toc324932908 \h </w:instrText>
        </w:r>
        <w:r>
          <w:rPr>
            <w:noProof/>
            <w:webHidden/>
          </w:rPr>
        </w:r>
        <w:r>
          <w:rPr>
            <w:noProof/>
            <w:webHidden/>
          </w:rPr>
          <w:fldChar w:fldCharType="separate"/>
        </w:r>
        <w:r w:rsidR="00D6025A">
          <w:rPr>
            <w:noProof/>
            <w:webHidden/>
          </w:rPr>
          <w:t>35</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09" w:history="1">
        <w:r w:rsidR="00D6025A" w:rsidRPr="00A12507">
          <w:rPr>
            <w:rStyle w:val="Hypertextovodkaz"/>
            <w:noProof/>
          </w:rPr>
          <w:t>4.4.2</w:t>
        </w:r>
        <w:r w:rsidR="00D6025A">
          <w:rPr>
            <w:rFonts w:asciiTheme="minorHAnsi" w:eastAsiaTheme="minorEastAsia" w:hAnsiTheme="minorHAnsi"/>
            <w:i w:val="0"/>
            <w:noProof/>
            <w:sz w:val="22"/>
            <w:lang w:eastAsia="cs-CZ"/>
          </w:rPr>
          <w:tab/>
        </w:r>
        <w:r w:rsidR="00D6025A" w:rsidRPr="00A12507">
          <w:rPr>
            <w:rStyle w:val="Hypertextovodkaz"/>
            <w:noProof/>
          </w:rPr>
          <w:t>Ukazatele aktivity</w:t>
        </w:r>
        <w:r w:rsidR="00D6025A">
          <w:rPr>
            <w:noProof/>
            <w:webHidden/>
          </w:rPr>
          <w:tab/>
        </w:r>
        <w:r>
          <w:rPr>
            <w:noProof/>
            <w:webHidden/>
          </w:rPr>
          <w:fldChar w:fldCharType="begin"/>
        </w:r>
        <w:r w:rsidR="00D6025A">
          <w:rPr>
            <w:noProof/>
            <w:webHidden/>
          </w:rPr>
          <w:instrText xml:space="preserve"> PAGEREF _Toc324932909 \h </w:instrText>
        </w:r>
        <w:r>
          <w:rPr>
            <w:noProof/>
            <w:webHidden/>
          </w:rPr>
        </w:r>
        <w:r>
          <w:rPr>
            <w:noProof/>
            <w:webHidden/>
          </w:rPr>
          <w:fldChar w:fldCharType="separate"/>
        </w:r>
        <w:r w:rsidR="00D6025A">
          <w:rPr>
            <w:noProof/>
            <w:webHidden/>
          </w:rPr>
          <w:t>36</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10" w:history="1">
        <w:r w:rsidR="00D6025A" w:rsidRPr="00A12507">
          <w:rPr>
            <w:rStyle w:val="Hypertextovodkaz"/>
            <w:noProof/>
          </w:rPr>
          <w:t>4.4.3</w:t>
        </w:r>
        <w:r w:rsidR="00D6025A">
          <w:rPr>
            <w:rFonts w:asciiTheme="minorHAnsi" w:eastAsiaTheme="minorEastAsia" w:hAnsiTheme="minorHAnsi"/>
            <w:i w:val="0"/>
            <w:noProof/>
            <w:sz w:val="22"/>
            <w:lang w:eastAsia="cs-CZ"/>
          </w:rPr>
          <w:tab/>
        </w:r>
        <w:r w:rsidR="00D6025A" w:rsidRPr="00A12507">
          <w:rPr>
            <w:rStyle w:val="Hypertextovodkaz"/>
            <w:noProof/>
          </w:rPr>
          <w:t>Ukazatele zadluženosti</w:t>
        </w:r>
        <w:r w:rsidR="00D6025A">
          <w:rPr>
            <w:noProof/>
            <w:webHidden/>
          </w:rPr>
          <w:tab/>
        </w:r>
        <w:r>
          <w:rPr>
            <w:noProof/>
            <w:webHidden/>
          </w:rPr>
          <w:fldChar w:fldCharType="begin"/>
        </w:r>
        <w:r w:rsidR="00D6025A">
          <w:rPr>
            <w:noProof/>
            <w:webHidden/>
          </w:rPr>
          <w:instrText xml:space="preserve"> PAGEREF _Toc324932910 \h </w:instrText>
        </w:r>
        <w:r>
          <w:rPr>
            <w:noProof/>
            <w:webHidden/>
          </w:rPr>
        </w:r>
        <w:r>
          <w:rPr>
            <w:noProof/>
            <w:webHidden/>
          </w:rPr>
          <w:fldChar w:fldCharType="separate"/>
        </w:r>
        <w:r w:rsidR="00D6025A">
          <w:rPr>
            <w:noProof/>
            <w:webHidden/>
          </w:rPr>
          <w:t>38</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11" w:history="1">
        <w:r w:rsidR="00D6025A" w:rsidRPr="00A12507">
          <w:rPr>
            <w:rStyle w:val="Hypertextovodkaz"/>
            <w:noProof/>
          </w:rPr>
          <w:t>4.4.4</w:t>
        </w:r>
        <w:r w:rsidR="00D6025A">
          <w:rPr>
            <w:rFonts w:asciiTheme="minorHAnsi" w:eastAsiaTheme="minorEastAsia" w:hAnsiTheme="minorHAnsi"/>
            <w:i w:val="0"/>
            <w:noProof/>
            <w:sz w:val="22"/>
            <w:lang w:eastAsia="cs-CZ"/>
          </w:rPr>
          <w:tab/>
        </w:r>
        <w:r w:rsidR="00D6025A" w:rsidRPr="00A12507">
          <w:rPr>
            <w:rStyle w:val="Hypertextovodkaz"/>
            <w:noProof/>
          </w:rPr>
          <w:t>Ukazatele likvidity</w:t>
        </w:r>
        <w:r w:rsidR="00D6025A">
          <w:rPr>
            <w:noProof/>
            <w:webHidden/>
          </w:rPr>
          <w:tab/>
        </w:r>
        <w:r>
          <w:rPr>
            <w:noProof/>
            <w:webHidden/>
          </w:rPr>
          <w:fldChar w:fldCharType="begin"/>
        </w:r>
        <w:r w:rsidR="00D6025A">
          <w:rPr>
            <w:noProof/>
            <w:webHidden/>
          </w:rPr>
          <w:instrText xml:space="preserve"> PAGEREF _Toc324932911 \h </w:instrText>
        </w:r>
        <w:r>
          <w:rPr>
            <w:noProof/>
            <w:webHidden/>
          </w:rPr>
        </w:r>
        <w:r>
          <w:rPr>
            <w:noProof/>
            <w:webHidden/>
          </w:rPr>
          <w:fldChar w:fldCharType="separate"/>
        </w:r>
        <w:r w:rsidR="00D6025A">
          <w:rPr>
            <w:noProof/>
            <w:webHidden/>
          </w:rPr>
          <w:t>39</w:t>
        </w:r>
        <w:r>
          <w:rPr>
            <w:noProof/>
            <w:webHidden/>
          </w:rPr>
          <w:fldChar w:fldCharType="end"/>
        </w:r>
      </w:hyperlink>
    </w:p>
    <w:p w:rsidR="00D6025A" w:rsidRDefault="00731DFF">
      <w:pPr>
        <w:pStyle w:val="Obsah2"/>
        <w:tabs>
          <w:tab w:val="left" w:pos="880"/>
          <w:tab w:val="right" w:leader="dot" w:pos="9060"/>
        </w:tabs>
        <w:rPr>
          <w:rFonts w:asciiTheme="minorHAnsi" w:eastAsiaTheme="minorEastAsia" w:hAnsiTheme="minorHAnsi"/>
          <w:noProof/>
          <w:sz w:val="22"/>
          <w:lang w:eastAsia="cs-CZ"/>
        </w:rPr>
      </w:pPr>
      <w:hyperlink w:anchor="_Toc324932912" w:history="1">
        <w:r w:rsidR="00D6025A" w:rsidRPr="00A12507">
          <w:rPr>
            <w:rStyle w:val="Hypertextovodkaz"/>
            <w:noProof/>
          </w:rPr>
          <w:t>4.5</w:t>
        </w:r>
        <w:r w:rsidR="00D6025A">
          <w:rPr>
            <w:rFonts w:asciiTheme="minorHAnsi" w:eastAsiaTheme="minorEastAsia" w:hAnsiTheme="minorHAnsi"/>
            <w:noProof/>
            <w:sz w:val="22"/>
            <w:lang w:eastAsia="cs-CZ"/>
          </w:rPr>
          <w:tab/>
        </w:r>
        <w:r w:rsidR="00D6025A" w:rsidRPr="00A12507">
          <w:rPr>
            <w:rStyle w:val="Hypertextovodkaz"/>
            <w:noProof/>
          </w:rPr>
          <w:t>Bonitní a bankrotní modely</w:t>
        </w:r>
        <w:r w:rsidR="00D6025A">
          <w:rPr>
            <w:noProof/>
            <w:webHidden/>
          </w:rPr>
          <w:tab/>
        </w:r>
        <w:r>
          <w:rPr>
            <w:noProof/>
            <w:webHidden/>
          </w:rPr>
          <w:fldChar w:fldCharType="begin"/>
        </w:r>
        <w:r w:rsidR="00D6025A">
          <w:rPr>
            <w:noProof/>
            <w:webHidden/>
          </w:rPr>
          <w:instrText xml:space="preserve"> PAGEREF _Toc324932912 \h </w:instrText>
        </w:r>
        <w:r>
          <w:rPr>
            <w:noProof/>
            <w:webHidden/>
          </w:rPr>
        </w:r>
        <w:r>
          <w:rPr>
            <w:noProof/>
            <w:webHidden/>
          </w:rPr>
          <w:fldChar w:fldCharType="separate"/>
        </w:r>
        <w:r w:rsidR="00D6025A">
          <w:rPr>
            <w:noProof/>
            <w:webHidden/>
          </w:rPr>
          <w:t>40</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13" w:history="1">
        <w:r w:rsidR="00D6025A" w:rsidRPr="00A12507">
          <w:rPr>
            <w:rStyle w:val="Hypertextovodkaz"/>
            <w:noProof/>
          </w:rPr>
          <w:t>4.5.1</w:t>
        </w:r>
        <w:r w:rsidR="00D6025A">
          <w:rPr>
            <w:rFonts w:asciiTheme="minorHAnsi" w:eastAsiaTheme="minorEastAsia" w:hAnsiTheme="minorHAnsi"/>
            <w:i w:val="0"/>
            <w:noProof/>
            <w:sz w:val="22"/>
            <w:lang w:eastAsia="cs-CZ"/>
          </w:rPr>
          <w:tab/>
        </w:r>
        <w:r w:rsidR="00D6025A" w:rsidRPr="00A12507">
          <w:rPr>
            <w:rStyle w:val="Hypertextovodkaz"/>
            <w:noProof/>
          </w:rPr>
          <w:t>Kralicekův Quick test</w:t>
        </w:r>
        <w:r w:rsidR="00D6025A">
          <w:rPr>
            <w:noProof/>
            <w:webHidden/>
          </w:rPr>
          <w:tab/>
        </w:r>
        <w:r>
          <w:rPr>
            <w:noProof/>
            <w:webHidden/>
          </w:rPr>
          <w:fldChar w:fldCharType="begin"/>
        </w:r>
        <w:r w:rsidR="00D6025A">
          <w:rPr>
            <w:noProof/>
            <w:webHidden/>
          </w:rPr>
          <w:instrText xml:space="preserve"> PAGEREF _Toc324932913 \h </w:instrText>
        </w:r>
        <w:r>
          <w:rPr>
            <w:noProof/>
            <w:webHidden/>
          </w:rPr>
        </w:r>
        <w:r>
          <w:rPr>
            <w:noProof/>
            <w:webHidden/>
          </w:rPr>
          <w:fldChar w:fldCharType="separate"/>
        </w:r>
        <w:r w:rsidR="00D6025A">
          <w:rPr>
            <w:noProof/>
            <w:webHidden/>
          </w:rPr>
          <w:t>40</w:t>
        </w:r>
        <w:r>
          <w:rPr>
            <w:noProof/>
            <w:webHidden/>
          </w:rPr>
          <w:fldChar w:fldCharType="end"/>
        </w:r>
      </w:hyperlink>
    </w:p>
    <w:p w:rsidR="00D6025A" w:rsidRDefault="00731DFF">
      <w:pPr>
        <w:pStyle w:val="Obsah3"/>
        <w:tabs>
          <w:tab w:val="left" w:pos="1320"/>
          <w:tab w:val="right" w:leader="dot" w:pos="9060"/>
        </w:tabs>
        <w:rPr>
          <w:rFonts w:asciiTheme="minorHAnsi" w:eastAsiaTheme="minorEastAsia" w:hAnsiTheme="minorHAnsi"/>
          <w:i w:val="0"/>
          <w:noProof/>
          <w:sz w:val="22"/>
          <w:lang w:eastAsia="cs-CZ"/>
        </w:rPr>
      </w:pPr>
      <w:hyperlink w:anchor="_Toc324932914" w:history="1">
        <w:r w:rsidR="00D6025A" w:rsidRPr="00A12507">
          <w:rPr>
            <w:rStyle w:val="Hypertextovodkaz"/>
            <w:noProof/>
          </w:rPr>
          <w:t>4.5.2</w:t>
        </w:r>
        <w:r w:rsidR="00D6025A">
          <w:rPr>
            <w:rFonts w:asciiTheme="minorHAnsi" w:eastAsiaTheme="minorEastAsia" w:hAnsiTheme="minorHAnsi"/>
            <w:i w:val="0"/>
            <w:noProof/>
            <w:sz w:val="22"/>
            <w:lang w:eastAsia="cs-CZ"/>
          </w:rPr>
          <w:tab/>
        </w:r>
        <w:r w:rsidR="00D6025A" w:rsidRPr="00A12507">
          <w:rPr>
            <w:rStyle w:val="Hypertextovodkaz"/>
            <w:noProof/>
          </w:rPr>
          <w:t>IN index</w:t>
        </w:r>
        <w:r w:rsidR="00D6025A">
          <w:rPr>
            <w:noProof/>
            <w:webHidden/>
          </w:rPr>
          <w:tab/>
        </w:r>
        <w:r>
          <w:rPr>
            <w:noProof/>
            <w:webHidden/>
          </w:rPr>
          <w:fldChar w:fldCharType="begin"/>
        </w:r>
        <w:r w:rsidR="00D6025A">
          <w:rPr>
            <w:noProof/>
            <w:webHidden/>
          </w:rPr>
          <w:instrText xml:space="preserve"> PAGEREF _Toc324932914 \h </w:instrText>
        </w:r>
        <w:r>
          <w:rPr>
            <w:noProof/>
            <w:webHidden/>
          </w:rPr>
        </w:r>
        <w:r>
          <w:rPr>
            <w:noProof/>
            <w:webHidden/>
          </w:rPr>
          <w:fldChar w:fldCharType="separate"/>
        </w:r>
        <w:r w:rsidR="00D6025A">
          <w:rPr>
            <w:noProof/>
            <w:webHidden/>
          </w:rPr>
          <w:t>41</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915" w:history="1">
        <w:r w:rsidR="00D6025A" w:rsidRPr="00A12507">
          <w:rPr>
            <w:rStyle w:val="Hypertextovodkaz"/>
            <w:noProof/>
          </w:rPr>
          <w:t>Závěr</w:t>
        </w:r>
        <w:r w:rsidR="00D6025A">
          <w:rPr>
            <w:noProof/>
            <w:webHidden/>
          </w:rPr>
          <w:tab/>
        </w:r>
        <w:r>
          <w:rPr>
            <w:noProof/>
            <w:webHidden/>
          </w:rPr>
          <w:fldChar w:fldCharType="begin"/>
        </w:r>
        <w:r w:rsidR="00D6025A">
          <w:rPr>
            <w:noProof/>
            <w:webHidden/>
          </w:rPr>
          <w:instrText xml:space="preserve"> PAGEREF _Toc324932915 \h </w:instrText>
        </w:r>
        <w:r>
          <w:rPr>
            <w:noProof/>
            <w:webHidden/>
          </w:rPr>
        </w:r>
        <w:r>
          <w:rPr>
            <w:noProof/>
            <w:webHidden/>
          </w:rPr>
          <w:fldChar w:fldCharType="separate"/>
        </w:r>
        <w:r w:rsidR="00D6025A">
          <w:rPr>
            <w:noProof/>
            <w:webHidden/>
          </w:rPr>
          <w:t>42</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916" w:history="1">
        <w:r w:rsidR="00D6025A" w:rsidRPr="00A12507">
          <w:rPr>
            <w:rStyle w:val="Hypertextovodkaz"/>
            <w:noProof/>
          </w:rPr>
          <w:t>Seznam použité literatury</w:t>
        </w:r>
        <w:r w:rsidR="00D6025A">
          <w:rPr>
            <w:noProof/>
            <w:webHidden/>
          </w:rPr>
          <w:tab/>
        </w:r>
        <w:r>
          <w:rPr>
            <w:noProof/>
            <w:webHidden/>
          </w:rPr>
          <w:fldChar w:fldCharType="begin"/>
        </w:r>
        <w:r w:rsidR="00D6025A">
          <w:rPr>
            <w:noProof/>
            <w:webHidden/>
          </w:rPr>
          <w:instrText xml:space="preserve"> PAGEREF _Toc324932916 \h </w:instrText>
        </w:r>
        <w:r>
          <w:rPr>
            <w:noProof/>
            <w:webHidden/>
          </w:rPr>
        </w:r>
        <w:r>
          <w:rPr>
            <w:noProof/>
            <w:webHidden/>
          </w:rPr>
          <w:fldChar w:fldCharType="separate"/>
        </w:r>
        <w:r w:rsidR="00D6025A">
          <w:rPr>
            <w:noProof/>
            <w:webHidden/>
          </w:rPr>
          <w:t>44</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917" w:history="1">
        <w:r w:rsidR="00D6025A" w:rsidRPr="00A12507">
          <w:rPr>
            <w:rStyle w:val="Hypertextovodkaz"/>
            <w:noProof/>
          </w:rPr>
          <w:t>Seznam tabulek</w:t>
        </w:r>
        <w:r w:rsidR="00D6025A">
          <w:rPr>
            <w:noProof/>
            <w:webHidden/>
          </w:rPr>
          <w:tab/>
        </w:r>
        <w:r>
          <w:rPr>
            <w:noProof/>
            <w:webHidden/>
          </w:rPr>
          <w:fldChar w:fldCharType="begin"/>
        </w:r>
        <w:r w:rsidR="00D6025A">
          <w:rPr>
            <w:noProof/>
            <w:webHidden/>
          </w:rPr>
          <w:instrText xml:space="preserve"> PAGEREF _Toc324932917 \h </w:instrText>
        </w:r>
        <w:r>
          <w:rPr>
            <w:noProof/>
            <w:webHidden/>
          </w:rPr>
        </w:r>
        <w:r>
          <w:rPr>
            <w:noProof/>
            <w:webHidden/>
          </w:rPr>
          <w:fldChar w:fldCharType="separate"/>
        </w:r>
        <w:r w:rsidR="00D6025A">
          <w:rPr>
            <w:noProof/>
            <w:webHidden/>
          </w:rPr>
          <w:t>45</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918" w:history="1">
        <w:r w:rsidR="00D6025A" w:rsidRPr="00A12507">
          <w:rPr>
            <w:rStyle w:val="Hypertextovodkaz"/>
            <w:noProof/>
          </w:rPr>
          <w:t>Seznam grafů</w:t>
        </w:r>
        <w:r w:rsidR="00D6025A">
          <w:rPr>
            <w:noProof/>
            <w:webHidden/>
          </w:rPr>
          <w:tab/>
        </w:r>
        <w:r>
          <w:rPr>
            <w:noProof/>
            <w:webHidden/>
          </w:rPr>
          <w:fldChar w:fldCharType="begin"/>
        </w:r>
        <w:r w:rsidR="00D6025A">
          <w:rPr>
            <w:noProof/>
            <w:webHidden/>
          </w:rPr>
          <w:instrText xml:space="preserve"> PAGEREF _Toc324932918 \h </w:instrText>
        </w:r>
        <w:r>
          <w:rPr>
            <w:noProof/>
            <w:webHidden/>
          </w:rPr>
        </w:r>
        <w:r>
          <w:rPr>
            <w:noProof/>
            <w:webHidden/>
          </w:rPr>
          <w:fldChar w:fldCharType="separate"/>
        </w:r>
        <w:r w:rsidR="00D6025A">
          <w:rPr>
            <w:noProof/>
            <w:webHidden/>
          </w:rPr>
          <w:t>45</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919" w:history="1">
        <w:r w:rsidR="00D6025A" w:rsidRPr="00A12507">
          <w:rPr>
            <w:rStyle w:val="Hypertextovodkaz"/>
            <w:noProof/>
          </w:rPr>
          <w:t>Seznam zkratek</w:t>
        </w:r>
        <w:r w:rsidR="00D6025A">
          <w:rPr>
            <w:noProof/>
            <w:webHidden/>
          </w:rPr>
          <w:tab/>
        </w:r>
        <w:r>
          <w:rPr>
            <w:noProof/>
            <w:webHidden/>
          </w:rPr>
          <w:fldChar w:fldCharType="begin"/>
        </w:r>
        <w:r w:rsidR="00D6025A">
          <w:rPr>
            <w:noProof/>
            <w:webHidden/>
          </w:rPr>
          <w:instrText xml:space="preserve"> PAGEREF _Toc324932919 \h </w:instrText>
        </w:r>
        <w:r>
          <w:rPr>
            <w:noProof/>
            <w:webHidden/>
          </w:rPr>
        </w:r>
        <w:r>
          <w:rPr>
            <w:noProof/>
            <w:webHidden/>
          </w:rPr>
          <w:fldChar w:fldCharType="separate"/>
        </w:r>
        <w:r w:rsidR="00D6025A">
          <w:rPr>
            <w:noProof/>
            <w:webHidden/>
          </w:rPr>
          <w:t>46</w:t>
        </w:r>
        <w:r>
          <w:rPr>
            <w:noProof/>
            <w:webHidden/>
          </w:rPr>
          <w:fldChar w:fldCharType="end"/>
        </w:r>
      </w:hyperlink>
    </w:p>
    <w:p w:rsidR="00D6025A" w:rsidRDefault="00731DFF">
      <w:pPr>
        <w:pStyle w:val="Obsah1"/>
        <w:tabs>
          <w:tab w:val="right" w:leader="dot" w:pos="9060"/>
        </w:tabs>
        <w:rPr>
          <w:rFonts w:asciiTheme="minorHAnsi" w:eastAsiaTheme="minorEastAsia" w:hAnsiTheme="minorHAnsi"/>
          <w:b w:val="0"/>
          <w:noProof/>
          <w:sz w:val="22"/>
          <w:lang w:eastAsia="cs-CZ"/>
        </w:rPr>
      </w:pPr>
      <w:hyperlink w:anchor="_Toc324932920" w:history="1">
        <w:r w:rsidR="00D6025A" w:rsidRPr="00A12507">
          <w:rPr>
            <w:rStyle w:val="Hypertextovodkaz"/>
            <w:noProof/>
          </w:rPr>
          <w:t>Seznam příloh</w:t>
        </w:r>
        <w:r w:rsidR="00D6025A">
          <w:rPr>
            <w:noProof/>
            <w:webHidden/>
          </w:rPr>
          <w:tab/>
        </w:r>
        <w:r>
          <w:rPr>
            <w:noProof/>
            <w:webHidden/>
          </w:rPr>
          <w:fldChar w:fldCharType="begin"/>
        </w:r>
        <w:r w:rsidR="00D6025A">
          <w:rPr>
            <w:noProof/>
            <w:webHidden/>
          </w:rPr>
          <w:instrText xml:space="preserve"> PAGEREF _Toc324932920 \h </w:instrText>
        </w:r>
        <w:r>
          <w:rPr>
            <w:noProof/>
            <w:webHidden/>
          </w:rPr>
        </w:r>
        <w:r>
          <w:rPr>
            <w:noProof/>
            <w:webHidden/>
          </w:rPr>
          <w:fldChar w:fldCharType="separate"/>
        </w:r>
        <w:r w:rsidR="00D6025A">
          <w:rPr>
            <w:noProof/>
            <w:webHidden/>
          </w:rPr>
          <w:t>47</w:t>
        </w:r>
        <w:r>
          <w:rPr>
            <w:noProof/>
            <w:webHidden/>
          </w:rPr>
          <w:fldChar w:fldCharType="end"/>
        </w:r>
      </w:hyperlink>
    </w:p>
    <w:p w:rsidR="00AE0C79" w:rsidRDefault="00731DFF" w:rsidP="00FA7B84">
      <w:pPr>
        <w:pStyle w:val="Nadpis1"/>
        <w:numPr>
          <w:ilvl w:val="0"/>
          <w:numId w:val="0"/>
        </w:numPr>
        <w:spacing w:line="276" w:lineRule="auto"/>
        <w:rPr>
          <w:b w:val="0"/>
          <w:bCs w:val="0"/>
        </w:rPr>
        <w:sectPr w:rsidR="00AE0C79">
          <w:footerReference w:type="default" r:id="rId9"/>
          <w:pgSz w:w="11906" w:h="16838"/>
          <w:pgMar w:top="1418" w:right="851" w:bottom="1134" w:left="1985" w:header="709" w:footer="709" w:gutter="0"/>
          <w:cols w:space="708"/>
          <w:docGrid w:linePitch="360"/>
        </w:sectPr>
      </w:pPr>
      <w:r>
        <w:rPr>
          <w:b w:val="0"/>
          <w:bCs w:val="0"/>
        </w:rPr>
        <w:fldChar w:fldCharType="end"/>
      </w:r>
    </w:p>
    <w:p w:rsidR="00AE0C79" w:rsidRDefault="00A61E00" w:rsidP="00FA7B84">
      <w:pPr>
        <w:pStyle w:val="Nadpis1"/>
        <w:numPr>
          <w:ilvl w:val="0"/>
          <w:numId w:val="0"/>
        </w:numPr>
        <w:spacing w:line="276" w:lineRule="auto"/>
        <w:rPr>
          <w:szCs w:val="24"/>
        </w:rPr>
      </w:pPr>
      <w:bookmarkStart w:id="8" w:name="_Toc324932877"/>
      <w:r>
        <w:rPr>
          <w:szCs w:val="24"/>
        </w:rPr>
        <w:lastRenderedPageBreak/>
        <w:t>Úvod</w:t>
      </w:r>
      <w:bookmarkEnd w:id="8"/>
    </w:p>
    <w:p w:rsidR="00AE0C79" w:rsidRDefault="00A61E00" w:rsidP="00FA7B84">
      <w:pPr>
        <w:spacing w:line="276" w:lineRule="auto"/>
      </w:pPr>
      <w:r>
        <w:t>V situaci, která nastala po listopadu 1989 u nás, se české firmy poprvé setkaly s čistě konkurenčním prostředím. Mnohé velké firmy najednou musely tvrdě bojovat o své místo na trhu nejen s konkurenčními českými firmami, ale později také se zahraniční konkurencí. Nyní, o mnoho let později můžeme říci, že české firmy jsou již na konkurenční boj zvyklé a konkurenceschopnost se u nás stala známým pojmem. Ale konkurenční boj nikdy nekončí a konkurenceschopnost je tak velmi sledovanou a žádanou vlastností podniku. V této práci se zaměřím na jednu z možností měření konkurenceschopnosti podniku - finanční analýzu.</w:t>
      </w:r>
    </w:p>
    <w:p w:rsidR="00AE0C79" w:rsidRDefault="00A61E00" w:rsidP="00FA7B84">
      <w:pPr>
        <w:spacing w:line="276" w:lineRule="auto"/>
      </w:pPr>
      <w:r>
        <w:t>Cílem této práce tedy je, posoudit konkurenceschopnost podniku z finančního hlediska. Hlavním nástrojem pro toto posouzení bude finanční analýza, která bude představena v teoretické části práce. Teoretická část se bude kromě finanční analýzy věnovat také pojmům konkurence a konkurenceschopnosti. Na úvod oba pojmy vysvětlím a nastíním možnosti, kterými se dá konkurenceschopnost podniku měřit. Zbytek teoretické části pak bude věnován finanční analýze. Nejprve stručně vysvětlím smysl a cíle finanční analýzy, dále uvedu, pro koho má smysl sledovat výsledky finanční analýzy a jaké zdroje jsou potřebné k jejímu vytvoření. Následovat bude nejobsáhlejší část teoretické části, která je věnována popisu vybraných metod finanční analýzy.</w:t>
      </w:r>
    </w:p>
    <w:p w:rsidR="00AE0C79" w:rsidRDefault="00A61E00" w:rsidP="00FA7B84">
      <w:pPr>
        <w:spacing w:line="276" w:lineRule="auto"/>
      </w:pPr>
      <w:r>
        <w:t>V úvodu praktické části nejprve stručně představím sledovaný podnik, a následně provedu její finanční analýzu za období 2003 – 2010 pomocí metod, které byly popsány v teoretické části. Nejprve provedu analýzu absolutních ukazatelů, ve které zjistím vývoj struktury výkazu zisků a ztrát, aktiv, pasiv v čase, tendence jejich změn a popíši události, které k těmto změnám vedly.</w:t>
      </w:r>
    </w:p>
    <w:p w:rsidR="00AE0C79" w:rsidRDefault="00A61E00" w:rsidP="00FA7B84">
      <w:pPr>
        <w:spacing w:line="276" w:lineRule="auto"/>
      </w:pPr>
      <w:r>
        <w:t>Poté provedu analýzu poměrových ukazatelů, ve které provedu výpočty ukazatelů rentability, zadluženosti, aktivity a likvidity. Také u těchto ukazatelů budu sledovat jejich vývoj za sledované období a také vzájemné souvislosti mezi ukazateli. Hodnoty těchto ukazatelů porovnám s výsledky 5 podniků nacházejícími se na stejném trhu a budu sledovat, ve kterých ukazatelích firma za konkurencí zaostává, a ve kterých naopak vykazuje lepší hodnoty.</w:t>
      </w:r>
    </w:p>
    <w:p w:rsidR="00AE0C79" w:rsidRDefault="00A61E00" w:rsidP="00FA7B84">
      <w:pPr>
        <w:spacing w:line="276" w:lineRule="auto"/>
      </w:pPr>
      <w:r>
        <w:t>Na závěr finanční analýzy provedu výpočet IN Indexu a Kralickova rychlého testu jakožto zástupce bonitních, respektive bankrotních modelů, shrnu základní poznatky celkové finanční analýzy a doporučím kroky vedoucí k odstranění zjištěných problémů.</w:t>
      </w:r>
    </w:p>
    <w:p w:rsidR="00AE0C79" w:rsidRDefault="00AE0C79" w:rsidP="00FA7B84">
      <w:pPr>
        <w:spacing w:line="276" w:lineRule="auto"/>
      </w:pPr>
    </w:p>
    <w:p w:rsidR="00AE0C79" w:rsidRDefault="00A61E00" w:rsidP="00FA7B84">
      <w:pPr>
        <w:spacing w:line="276" w:lineRule="auto"/>
        <w:rPr>
          <w:rFonts w:eastAsiaTheme="majorEastAsia" w:cstheme="majorBidi"/>
          <w:b/>
          <w:bCs/>
          <w:sz w:val="32"/>
          <w:szCs w:val="28"/>
        </w:rPr>
      </w:pPr>
      <w:r>
        <w:br w:type="page"/>
      </w:r>
    </w:p>
    <w:p w:rsidR="00AE0C79" w:rsidRDefault="00A61E00" w:rsidP="00FA7B84">
      <w:pPr>
        <w:pStyle w:val="Nadpis1"/>
        <w:numPr>
          <w:ilvl w:val="0"/>
          <w:numId w:val="0"/>
        </w:numPr>
        <w:spacing w:line="276" w:lineRule="auto"/>
      </w:pPr>
      <w:bookmarkStart w:id="9" w:name="_Toc324932878"/>
      <w:r>
        <w:lastRenderedPageBreak/>
        <w:t>Teoretická část</w:t>
      </w:r>
      <w:bookmarkEnd w:id="9"/>
    </w:p>
    <w:p w:rsidR="00AE0C79" w:rsidRDefault="00A61E00" w:rsidP="00FA7B84">
      <w:pPr>
        <w:pStyle w:val="Nadpis1"/>
        <w:spacing w:line="276" w:lineRule="auto"/>
      </w:pPr>
      <w:bookmarkStart w:id="10" w:name="_Toc324932879"/>
      <w:r>
        <w:t>Konkurenceschopnost</w:t>
      </w:r>
      <w:bookmarkEnd w:id="10"/>
    </w:p>
    <w:p w:rsidR="00AE0C79" w:rsidRDefault="00A61E00" w:rsidP="00FA7B84">
      <w:pPr>
        <w:spacing w:line="276" w:lineRule="auto"/>
      </w:pPr>
      <w:r>
        <w:t>V literatuře je možné nalézt různé definice konkurenceschopnosti, můžeme se dokonce setkat s mikroekonomickým i makroekonomickým pojetím konkurenceschopnosti. Pro potřeby této práce se budu nadále věnovat pouze mikroekonomickému pojetí konkurenceschopnosti a jejího měření. Konkurenceschopnost můžeme jinak vyjádřit také jako schopnost konkurence, proto je nezbytné si nejprve vysvětlit, co konkurence vlastně znamená.</w:t>
      </w:r>
    </w:p>
    <w:p w:rsidR="00AE0C79" w:rsidRDefault="00A61E00" w:rsidP="00FA7B84">
      <w:pPr>
        <w:pStyle w:val="Bezmezer"/>
        <w:spacing w:line="276" w:lineRule="auto"/>
      </w:pPr>
      <w:r>
        <w:t>Jeden z nejznámějších ekonomů, Adam Smith, ve svém díle Bohatsví národů uvádí</w:t>
      </w:r>
      <w:r>
        <w:rPr>
          <w:rStyle w:val="CitaceChar"/>
        </w:rPr>
        <w:t>:„Není to laskavost řezníka, sládka nebo pekaře, které vděčíme za svůj oběd, ale je to jejich ohled na jejich vlastní zájem. Nespoléháme se na jejich lidskost, ale na jejich sebelásku a nikdy jim nezdůrazňujeme naše potřeby, ale jejich výhody.“</w:t>
      </w:r>
      <w:r>
        <w:rPr>
          <w:rStyle w:val="Znakapoznpodarou"/>
          <w:i/>
          <w:iCs/>
          <w:color w:val="000000" w:themeColor="text1"/>
        </w:rPr>
        <w:footnoteReference w:id="1"/>
      </w:r>
      <w:r>
        <w:rPr>
          <w:rStyle w:val="CitaceChar"/>
        </w:rPr>
        <w:t xml:space="preserve"> </w:t>
      </w:r>
      <w:r>
        <w:t xml:space="preserve">Smith, který je považován za otce moderní ekonomie, v tomto díle poprvé zmínil tzv. neviditelnou ruku trhu, která přivádí trh do rovnováhy. Jak vyplývá z předchozí citace, jeho myšlenkou bylo, že sledováním vlastních zájmů přinášíme maximální užitek nejen sobě, ale také společnosti jako celku. Konkurenci tedy můžeme chápat střet těchto zájmů. Tuto myšlenku dále popisuje také Fuchs, který říká, že </w:t>
      </w:r>
      <w:r>
        <w:rPr>
          <w:rStyle w:val="CitaceChar"/>
        </w:rPr>
        <w:t>„Konkurencí se rozumí proces střetávání různých, zpravidla protikladných zájmů tržních subjektů. Proces konkurence je od trhu neoddělitelný a je předpokladem fungování trhu.“</w:t>
      </w:r>
      <w:r>
        <w:t xml:space="preserve"> </w:t>
      </w:r>
    </w:p>
    <w:p w:rsidR="00AE0C79" w:rsidRDefault="00AE0C79" w:rsidP="00FA7B84">
      <w:pPr>
        <w:pStyle w:val="Bezmezer"/>
        <w:spacing w:line="276" w:lineRule="auto"/>
        <w:rPr>
          <w:rStyle w:val="CitaceChar"/>
          <w:i w:val="0"/>
          <w:iCs w:val="0"/>
          <w:color w:val="auto"/>
        </w:rPr>
      </w:pPr>
    </w:p>
    <w:p w:rsidR="00AE0C79" w:rsidRDefault="00A61E00" w:rsidP="00FA7B84">
      <w:pPr>
        <w:pStyle w:val="Bezmezer"/>
        <w:spacing w:line="276" w:lineRule="auto"/>
        <w:rPr>
          <w:rStyle w:val="CitaceChar"/>
        </w:rPr>
      </w:pPr>
      <w:r>
        <w:t xml:space="preserve">Na základě těchto, a také mnoha dalších definic pak Blažek definuje konkurenceschopnost jako </w:t>
      </w:r>
      <w:r>
        <w:rPr>
          <w:rStyle w:val="CitaceChar"/>
        </w:rPr>
        <w:t>„potenciál (schopnost) podniku uspět v hospodářské soutěži s jinými podniky“</w:t>
      </w:r>
      <w:r>
        <w:t>.</w:t>
      </w:r>
      <w:r>
        <w:rPr>
          <w:rStyle w:val="Znakapoznpodarou"/>
        </w:rPr>
        <w:footnoteReference w:id="2"/>
      </w:r>
      <w:r>
        <w:t xml:space="preserve"> Jirásek, který konkurenceschopnost označuje jako konkurenčnost, tuto definici dále rozvádí a říká, že </w:t>
      </w:r>
      <w:r>
        <w:rPr>
          <w:rStyle w:val="CitaceChar"/>
        </w:rPr>
        <w:t>„Konkurenčnost má dvě spojité stránky: jednak schopnost vést ofenzivní nápor na konkurenty, jednak schopnost čelit náporu konkurentů.“</w:t>
      </w:r>
      <w:r>
        <w:rPr>
          <w:rStyle w:val="Znakapoznpodarou"/>
        </w:rPr>
        <w:footnoteReference w:id="3"/>
      </w:r>
    </w:p>
    <w:p w:rsidR="00AE0C79" w:rsidRDefault="00AE0C79" w:rsidP="00FA7B84">
      <w:pPr>
        <w:pStyle w:val="Bezmezer"/>
        <w:spacing w:line="276" w:lineRule="auto"/>
        <w:rPr>
          <w:rStyle w:val="CitaceChar"/>
        </w:rPr>
      </w:pPr>
    </w:p>
    <w:p w:rsidR="00A67595" w:rsidRDefault="00A61E00" w:rsidP="00FA7B84">
      <w:pPr>
        <w:pStyle w:val="Bezmezer"/>
        <w:spacing w:line="276" w:lineRule="auto"/>
      </w:pPr>
      <w:r>
        <w:t xml:space="preserve">Na problém ovšem narazíme, pokud se budeme snažit konkurenceschopnost změřit. Konkurenceschopnost je spíše abstraktní pojem, který není možno jednoznačně vyjádřit a zhodnotit. Jaké máme tedy možnosti při hodnocení konkurenceschopnosti? Blažek ve své předchozí definici pokračuje a říká, že </w:t>
      </w:r>
      <w:r>
        <w:rPr>
          <w:rStyle w:val="CitaceChar"/>
        </w:rPr>
        <w:t>„Výsledkem této soutěže je úspěšnost (či neúspěšnost) podniku vyjádřená jeho hospodářskými výsledky a měřená finančními ukazateli“.</w:t>
      </w:r>
      <w:r>
        <w:rPr>
          <w:rStyle w:val="Znakapoznpodarou"/>
        </w:rPr>
        <w:footnoteReference w:id="4"/>
      </w:r>
      <w:r>
        <w:t xml:space="preserve"> Z toho vyplývá, že konkurenceschopnost se dá částečně změřit finančními ukazateli a finanční analýza je tedy důležitým nástrojem při měření konkurenceschopnosti. Kromě finanční analýzy existují ještě další metody posuzování konkurenceschopnosti podniku, jako jsou SWOT analýza a Porterův model konkurenčních sil, těmi se ovšem v této práci zabývat nebudu a zaměřím se na posouzení konkurenceschopnosti podniku pomocí finanční analýzy.</w:t>
      </w:r>
    </w:p>
    <w:p w:rsidR="00AE0C79" w:rsidRDefault="00A61E00" w:rsidP="00FA7B84">
      <w:pPr>
        <w:pStyle w:val="Bezmezer"/>
        <w:spacing w:line="276" w:lineRule="auto"/>
        <w:rPr>
          <w:i/>
          <w:iCs/>
          <w:color w:val="000000" w:themeColor="text1"/>
        </w:rPr>
      </w:pPr>
      <w:r>
        <w:br w:type="page"/>
      </w:r>
    </w:p>
    <w:p w:rsidR="00AE0C79" w:rsidRDefault="00A61E00" w:rsidP="00FA7B84">
      <w:pPr>
        <w:pStyle w:val="Nadpis1"/>
        <w:numPr>
          <w:ilvl w:val="0"/>
          <w:numId w:val="2"/>
        </w:numPr>
        <w:spacing w:line="276" w:lineRule="auto"/>
      </w:pPr>
      <w:bookmarkStart w:id="11" w:name="_Toc324932880"/>
      <w:r>
        <w:lastRenderedPageBreak/>
        <w:t>Finanční analýza</w:t>
      </w:r>
      <w:bookmarkEnd w:id="11"/>
    </w:p>
    <w:p w:rsidR="00AE0C79" w:rsidRDefault="00A61E00" w:rsidP="00FA7B84">
      <w:pPr>
        <w:spacing w:line="276" w:lineRule="auto"/>
      </w:pPr>
      <w:r>
        <w:t>Finanční analýza podnikových financí je jednou z metod rozhodování finančního řízení. V jeho rámci plní velmi důležitou roli poskytování zpětné vazby mezi předpokládaným efektem řídících rozhodnutí a skutečností.</w:t>
      </w:r>
      <w:r>
        <w:rPr>
          <w:rStyle w:val="Znakapoznpodarou"/>
        </w:rPr>
        <w:footnoteReference w:id="5"/>
      </w:r>
    </w:p>
    <w:p w:rsidR="00AE0C79" w:rsidRDefault="00A61E00" w:rsidP="00FA7B84">
      <w:pPr>
        <w:spacing w:line="276" w:lineRule="auto"/>
      </w:pPr>
      <w:r>
        <w:t xml:space="preserve">Hlavním úkolem finanční analýzy podle Kovanicové je </w:t>
      </w:r>
      <w:r>
        <w:rPr>
          <w:rStyle w:val="CitaceChar"/>
        </w:rPr>
        <w:t>„vytěžit z výkazů a dalších zdrojů informaci, posoudit zdraví podniku a jeho slabiny a připravit podklady pro potřebná řídící rozhodnutí“.</w:t>
      </w:r>
      <w:r>
        <w:rPr>
          <w:rStyle w:val="Znakapoznpodarou"/>
          <w:i/>
          <w:iCs/>
          <w:color w:val="000000" w:themeColor="text1"/>
        </w:rPr>
        <w:footnoteReference w:id="6"/>
      </w:r>
    </w:p>
    <w:p w:rsidR="00AE0C79" w:rsidRDefault="00A61E00" w:rsidP="00FA7B84">
      <w:pPr>
        <w:spacing w:line="276" w:lineRule="auto"/>
        <w:rPr>
          <w:rStyle w:val="CitaceChar"/>
        </w:rPr>
      </w:pPr>
      <w:r>
        <w:t>Marek finanční analýzu vysvětluje jako</w:t>
      </w:r>
      <w:r>
        <w:rPr>
          <w:rStyle w:val="CitaceChar"/>
        </w:rPr>
        <w:t xml:space="preserve"> „proces vyšetřování a vyvozování závěrů z výsledků finančního hospodaření minulých nebo budoucích období určité osoby včetně zjišťování jeho slabých a silných stránek, testování jednotlivých finančních parametrů a ověřování jejich skutečné vypovídací schopnosti“.</w:t>
      </w:r>
      <w:r>
        <w:rPr>
          <w:rStyle w:val="Znakapoznpodarou"/>
          <w:i/>
          <w:iCs/>
          <w:color w:val="000000" w:themeColor="text1"/>
        </w:rPr>
        <w:footnoteReference w:id="7"/>
      </w:r>
    </w:p>
    <w:p w:rsidR="00AE0C79" w:rsidRDefault="00A61E00" w:rsidP="00FA7B84">
      <w:pPr>
        <w:spacing w:line="276" w:lineRule="auto"/>
        <w:rPr>
          <w:rStyle w:val="CitaceChar"/>
        </w:rPr>
      </w:pPr>
      <w:r>
        <w:t xml:space="preserve">Finanční analýza tedy není jen pouhý výpočet několika ukazatelů, které nám pomáhají hodnotit finanční situaci firmy. Zahrnuje také analýzu těchto ukazatelů, poznání příčin jejich změn a také návrhy vedoucí ke zlepšení finanční situace firmy. Proto je k důkladné finanční analýze potřeba znalost vnitřního i vnějšího okolí firmy. Musíme vědět, na jakém trhu se firma nachází a jaká jsou jeho specifika, jakým životním cyklem zrovna podnik prochází a jaké volí strategie. </w:t>
      </w:r>
    </w:p>
    <w:p w:rsidR="00AE0C79" w:rsidRDefault="00A61E00" w:rsidP="00FA7B84">
      <w:pPr>
        <w:pStyle w:val="Nadpis2"/>
        <w:spacing w:line="276" w:lineRule="auto"/>
      </w:pPr>
      <w:bookmarkStart w:id="12" w:name="_Toc324932881"/>
      <w:r>
        <w:t>Uživatelé finanční analýzy</w:t>
      </w:r>
      <w:bookmarkEnd w:id="12"/>
    </w:p>
    <w:p w:rsidR="00AE0C79" w:rsidRDefault="00A61E00" w:rsidP="00FA7B84">
      <w:pPr>
        <w:spacing w:line="276" w:lineRule="auto"/>
      </w:pPr>
      <w:r>
        <w:t>Finanční analýza přináší data důležitá pro velké množství subjektů. Přináší důležité informace pro všechny, kdo přichází do styku s podnikem. Důležitou roli hrají také pro vlastní vedení společnosti. Mezi hlavní skupiny uživatelů finanční analýzy podle Grünwalda řadíme manažery, investory, banky a ostatní věřitele, obchodní partnery, zaměstnance, konkurenty a stát a jeho další orgány.</w:t>
      </w:r>
    </w:p>
    <w:p w:rsidR="00AE0C79" w:rsidRDefault="00A61E00" w:rsidP="00FA7B84">
      <w:pPr>
        <w:pStyle w:val="Nadpis5"/>
        <w:spacing w:line="276" w:lineRule="auto"/>
      </w:pPr>
      <w:r>
        <w:t>Manažeři</w:t>
      </w:r>
    </w:p>
    <w:p w:rsidR="00AE0C79" w:rsidRDefault="00A61E00" w:rsidP="00FA7B84">
      <w:pPr>
        <w:spacing w:line="276" w:lineRule="auto"/>
      </w:pPr>
      <w:r>
        <w:t xml:space="preserve">Důležitost znalosti finančního stavu podniku je kritická informace pro manažerské rozhodování. Finanční analýza poskytuje manažerům zpětnou vazbu k jejich minulým rozhodnutím a poskytuje podklady k budoucímu rozhodování. Nalezení slabé stránky pomocí finanční analýzy umožňuje přijetí takových opatření a strategií, které tento nedostatek v podnikovém hospodaření odstraní. </w:t>
      </w:r>
      <w:r>
        <w:rPr>
          <w:rStyle w:val="Znakapoznpodarou"/>
        </w:rPr>
        <w:footnoteReference w:id="8"/>
      </w:r>
    </w:p>
    <w:p w:rsidR="00AE0C79" w:rsidRDefault="00A61E00" w:rsidP="00FA7B84">
      <w:pPr>
        <w:pStyle w:val="Nadpis5"/>
        <w:spacing w:line="276" w:lineRule="auto"/>
      </w:pPr>
      <w:r>
        <w:t>Investoři</w:t>
      </w:r>
    </w:p>
    <w:p w:rsidR="00AE0C79" w:rsidRDefault="00A61E00" w:rsidP="00FA7B84">
      <w:pPr>
        <w:spacing w:line="276" w:lineRule="auto"/>
      </w:pPr>
      <w:r>
        <w:t xml:space="preserve">Důležitost informací poskytaných finanční analýzou pro stávající věřitele je především v kontrole hospodaření podniku. Investoři, kteří vložili svůj majetek do podniku tak </w:t>
      </w:r>
      <w:r>
        <w:lastRenderedPageBreak/>
        <w:t>kontrolují, jak firma s jejich majetkem hospodaří. Pro investory, kteří hledají podniky ke vhodné investici, pak poskytuje finanční analýza informace ohledně míry výnosnosti a míry rizika. Podle těchto měr se investoři rozhodují, kam vloží své peníze.</w:t>
      </w:r>
      <w:r>
        <w:rPr>
          <w:rStyle w:val="Znakapoznpodarou"/>
        </w:rPr>
        <w:footnoteReference w:id="9"/>
      </w:r>
    </w:p>
    <w:p w:rsidR="00AE0C79" w:rsidRDefault="00A61E00" w:rsidP="00FA7B84">
      <w:pPr>
        <w:pStyle w:val="Nadpis5"/>
        <w:spacing w:line="276" w:lineRule="auto"/>
      </w:pPr>
      <w:r>
        <w:t>Banky a jiné věřitelé</w:t>
      </w:r>
    </w:p>
    <w:p w:rsidR="00AE0C79" w:rsidRDefault="00A61E00" w:rsidP="00FA7B84">
      <w:pPr>
        <w:spacing w:line="276" w:lineRule="auto"/>
      </w:pPr>
      <w:r>
        <w:t>Pro banky a ostatní věřitele přináší finanční analýza kritickou informaci o rizikovosti jejich půjčky. Čím vyšší je pro věřitele riziko, tím vyšší úrok bude vyžadovat. Některé banky také váží na finanční ukazatele svou úrokovou sazbu a např. zvýšení zadluženosti nad určitou mez přinese zvýšení úrokové sazby stávajících půjček. Při rozhodování o poskytnutí úvěru se posuzuje bonita dlužníka, pomocí které se zjišťuje, zda má podnik dostatečné prostředky na splacení úvěru a úroků.</w:t>
      </w:r>
      <w:r>
        <w:rPr>
          <w:rStyle w:val="Znakapoznpodarou"/>
        </w:rPr>
        <w:footnoteReference w:id="10"/>
      </w:r>
    </w:p>
    <w:p w:rsidR="00AE0C79" w:rsidRDefault="00A61E00" w:rsidP="00FA7B84">
      <w:pPr>
        <w:pStyle w:val="Nadpis5"/>
        <w:spacing w:line="276" w:lineRule="auto"/>
      </w:pPr>
      <w:r>
        <w:t>Obchodní partneři</w:t>
      </w:r>
    </w:p>
    <w:p w:rsidR="00AE0C79" w:rsidRDefault="00A61E00" w:rsidP="00FA7B84">
      <w:pPr>
        <w:spacing w:line="276" w:lineRule="auto"/>
      </w:pPr>
      <w:r>
        <w:t>Klíčovou informaci pro dodavatele je, zda podnik bude schopen hradit své závazky včas a v plné výši. Odběratele bude naopak zajímat, zda je podnik schopen zajistit trvalé a spolehlivé dodávky.</w:t>
      </w:r>
      <w:r>
        <w:rPr>
          <w:rStyle w:val="Znakapoznpodarou"/>
        </w:rPr>
        <w:footnoteReference w:id="11"/>
      </w:r>
    </w:p>
    <w:p w:rsidR="00AE0C79" w:rsidRDefault="00A61E00" w:rsidP="00FA7B84">
      <w:pPr>
        <w:pStyle w:val="Nadpis5"/>
        <w:spacing w:line="276" w:lineRule="auto"/>
      </w:pPr>
      <w:r>
        <w:t>Konkurenti</w:t>
      </w:r>
    </w:p>
    <w:p w:rsidR="00AE0C79" w:rsidRDefault="00A61E00" w:rsidP="00FA7B84">
      <w:pPr>
        <w:spacing w:line="276" w:lineRule="auto"/>
      </w:pPr>
      <w:r>
        <w:t>Data z finanční analýzy poskytují konkurenčním firmám informace o vývoji ostatních firem na stejném trhu. Díky tomu mohou porovnat svou finanční situaci s ostatními podniky v podobných podmínkách.</w:t>
      </w:r>
      <w:r>
        <w:rPr>
          <w:rStyle w:val="Znakapoznpodarou"/>
        </w:rPr>
        <w:footnoteReference w:id="12"/>
      </w:r>
    </w:p>
    <w:p w:rsidR="00AE0C79" w:rsidRDefault="00A61E00" w:rsidP="00FA7B84">
      <w:pPr>
        <w:pStyle w:val="Nadpis5"/>
        <w:spacing w:line="276" w:lineRule="auto"/>
      </w:pPr>
      <w:r>
        <w:t>Zaměstnanci</w:t>
      </w:r>
    </w:p>
    <w:p w:rsidR="00AE0C79" w:rsidRDefault="00A61E00" w:rsidP="00FA7B84">
      <w:pPr>
        <w:spacing w:line="276" w:lineRule="auto"/>
      </w:pPr>
      <w:r>
        <w:t>Zaměstnanci mají pochopitelně zájem na prosperitě svého zaměstnavatele. Zajímají se především o mzdové podmínky a jistotu zaměstnání.</w:t>
      </w:r>
      <w:r>
        <w:rPr>
          <w:rStyle w:val="Znakapoznpodarou"/>
        </w:rPr>
        <w:footnoteReference w:id="13"/>
      </w:r>
    </w:p>
    <w:p w:rsidR="00AE0C79" w:rsidRDefault="00A61E00" w:rsidP="00FA7B84">
      <w:pPr>
        <w:pStyle w:val="Nadpis5"/>
        <w:spacing w:line="276" w:lineRule="auto"/>
      </w:pPr>
      <w:r>
        <w:t>Stát a jeho orgány</w:t>
      </w:r>
    </w:p>
    <w:p w:rsidR="00AE0C79" w:rsidRDefault="00A61E00" w:rsidP="00FA7B84">
      <w:pPr>
        <w:spacing w:line="276" w:lineRule="auto"/>
      </w:pPr>
      <w:r>
        <w:t>Data finanční analýzy přináší důležité informace také pro stát a jeho orgány. Poskytují statistiky finančního stavu podniků v jednotlivých sférách podnikání, umožňují připravovat analýzy dopadu daňového zatížení podniků a další simulace dopadů politických rozhodnutí na podnikovou sféru. Data mohou také sloužit k daňové kontrole a kontrole při přidělování dotací či finančních výpomocí.</w:t>
      </w:r>
      <w:r>
        <w:rPr>
          <w:rStyle w:val="Znakapoznpodarou"/>
        </w:rPr>
        <w:footnoteReference w:id="14"/>
      </w:r>
    </w:p>
    <w:p w:rsidR="00AE0C79" w:rsidRDefault="00A61E00" w:rsidP="00FA7B84">
      <w:pPr>
        <w:pStyle w:val="Nadpis2"/>
        <w:spacing w:line="276" w:lineRule="auto"/>
      </w:pPr>
      <w:bookmarkStart w:id="13" w:name="_Toc324932882"/>
      <w:r>
        <w:t>Zdroje informací finanční analýzy</w:t>
      </w:r>
      <w:bookmarkEnd w:id="13"/>
    </w:p>
    <w:p w:rsidR="00AE0C79" w:rsidRDefault="00A61E00" w:rsidP="00FA7B84">
      <w:pPr>
        <w:spacing w:line="276" w:lineRule="auto"/>
      </w:pPr>
      <w:r>
        <w:t xml:space="preserve">K provedení finanční analýzy potřebujeme poměrně velké množství informací. Největší množství informací pro finanční analýzu poskytuje finanční účetnictví, další informace pak získáváme z výročních zpráv podniku a od manažerů. Základními podklady, bez kterých nelze finanční analýzu provést jsou rozvaha, výkaz zisků a ztrát a případně i výkaz cash flow. Tyto účetní výkazy poskytují nejzákladnější data. Pro vytvoření hodnotné finanční analýzy ovšem pouze data nestačí, proto přichází na řadu další zdroje informací, jako například </w:t>
      </w:r>
      <w:r>
        <w:lastRenderedPageBreak/>
        <w:t xml:space="preserve">příloha výroční zprávy podniku nebo samotní zaměstnanci a manažeři podniku, které nám pomohou vysvětlit příčiny změn a pohyby v podniku. </w:t>
      </w:r>
    </w:p>
    <w:p w:rsidR="00AE0C79" w:rsidRDefault="00A61E00" w:rsidP="00FA7B84">
      <w:pPr>
        <w:spacing w:line="276" w:lineRule="auto"/>
      </w:pPr>
      <w:r>
        <w:t>Ve své práci jsem nejvíce využíval výročních zpráv (finančních výkazů a přílohy), které lze nalézt například na portálu justice.cz</w:t>
      </w:r>
      <w:r>
        <w:rPr>
          <w:rStyle w:val="Znakapoznpodarou"/>
        </w:rPr>
        <w:footnoteReference w:id="15"/>
      </w:r>
      <w:r>
        <w:t xml:space="preserve"> </w:t>
      </w:r>
    </w:p>
    <w:p w:rsidR="00AE0C79" w:rsidRDefault="00A61E00" w:rsidP="00FA7B84">
      <w:pPr>
        <w:pStyle w:val="Nadpis2"/>
        <w:numPr>
          <w:ilvl w:val="1"/>
          <w:numId w:val="2"/>
        </w:numPr>
        <w:spacing w:line="276" w:lineRule="auto"/>
      </w:pPr>
      <w:bookmarkStart w:id="14" w:name="_Toc324932883"/>
      <w:r>
        <w:t>Metody finanční analýzy</w:t>
      </w:r>
      <w:bookmarkEnd w:id="14"/>
    </w:p>
    <w:p w:rsidR="00AE0C79" w:rsidRDefault="00A61E00" w:rsidP="00FA7B84">
      <w:pPr>
        <w:spacing w:line="276" w:lineRule="auto"/>
      </w:pPr>
      <w:r>
        <w:t>Finanční analýza obsahuje poměrně širokou škálu nástrojů, které se snaží různými přístupy zhodnotit finanční situaci podniku. Od těch nejjednodušších analýz absolutních ukazatelů, až po složité statistické metody hodnocení. Ve své práci jsem se soustředil na základní a nejčastěji užívané metody finanční analýzy, které představují spolehlivé zdroje informací a jsou nezbytné pro vytvoření hodnotné finanční analýzy. Dále se tedy budu zabývat těmito metodami:</w:t>
      </w:r>
    </w:p>
    <w:p w:rsidR="00AE0C79" w:rsidRDefault="00A61E00" w:rsidP="00FA7B84">
      <w:pPr>
        <w:pStyle w:val="Odstavecseseznamem"/>
        <w:numPr>
          <w:ilvl w:val="0"/>
          <w:numId w:val="17"/>
        </w:numPr>
        <w:spacing w:line="276" w:lineRule="auto"/>
      </w:pPr>
      <w:r>
        <w:t>Analýza absolutních ukazatelů</w:t>
      </w:r>
    </w:p>
    <w:p w:rsidR="00AE0C79" w:rsidRDefault="00A61E00" w:rsidP="00FA7B84">
      <w:pPr>
        <w:pStyle w:val="Odstavecseseznamem"/>
        <w:numPr>
          <w:ilvl w:val="0"/>
          <w:numId w:val="17"/>
        </w:numPr>
        <w:spacing w:line="276" w:lineRule="auto"/>
      </w:pPr>
      <w:r>
        <w:t>Analýza poměrových ukazatelů</w:t>
      </w:r>
    </w:p>
    <w:p w:rsidR="00AE0C79" w:rsidRDefault="00A61E00" w:rsidP="00FA7B84">
      <w:pPr>
        <w:pStyle w:val="Odstavecseseznamem"/>
        <w:numPr>
          <w:ilvl w:val="0"/>
          <w:numId w:val="17"/>
        </w:numPr>
        <w:spacing w:line="276" w:lineRule="auto"/>
      </w:pPr>
      <w:r>
        <w:t>Bonitní a bankrotní modely</w:t>
      </w:r>
    </w:p>
    <w:p w:rsidR="00AE0C79" w:rsidRDefault="00A61E00" w:rsidP="00FA7B84">
      <w:pPr>
        <w:pStyle w:val="Nadpis2"/>
        <w:spacing w:line="276" w:lineRule="auto"/>
      </w:pPr>
      <w:r>
        <w:t xml:space="preserve"> </w:t>
      </w:r>
      <w:bookmarkStart w:id="15" w:name="_Toc324932884"/>
      <w:r>
        <w:t>Analýza absolutních ukazatelů</w:t>
      </w:r>
      <w:bookmarkEnd w:id="15"/>
    </w:p>
    <w:p w:rsidR="00AE0C79" w:rsidRDefault="00A61E00" w:rsidP="00FA7B84">
      <w:pPr>
        <w:spacing w:line="276" w:lineRule="auto"/>
      </w:pPr>
      <w:r>
        <w:t>Při provádění této analýzy využíváme přímo data z účetních výkazů podniku. Sledujeme jak změny jejich absolutní hodnoty, tak jejich procentní změny v čase. Absolutní ukazatele jsou velmi citlivé na velikost podniku a nedají se tedy použít ke srovnávání různých podniků. Sledují pouze jeden jev (např. změnu hodnoty aktiv a pasiv) a nedávají jej do souvislosti s dalšími jevy.</w:t>
      </w:r>
      <w:r>
        <w:rPr>
          <w:rStyle w:val="Znakapoznpodarou"/>
        </w:rPr>
        <w:footnoteReference w:id="16"/>
      </w:r>
      <w:r>
        <w:t xml:space="preserve"> Zpravidla se provádějí dva způsoby analýzy absolutních ukazatelů:</w:t>
      </w:r>
    </w:p>
    <w:p w:rsidR="00AE0C79" w:rsidRDefault="00A61E00" w:rsidP="00FA7B84">
      <w:pPr>
        <w:pStyle w:val="Odstavecseseznamem"/>
        <w:numPr>
          <w:ilvl w:val="0"/>
          <w:numId w:val="16"/>
        </w:numPr>
        <w:spacing w:line="276" w:lineRule="auto"/>
      </w:pPr>
      <w:r>
        <w:t>Horizontální analýza</w:t>
      </w:r>
    </w:p>
    <w:p w:rsidR="00AE0C79" w:rsidRDefault="00A61E00" w:rsidP="00FA7B84">
      <w:pPr>
        <w:pStyle w:val="Odstavecseseznamem"/>
        <w:numPr>
          <w:ilvl w:val="0"/>
          <w:numId w:val="16"/>
        </w:numPr>
        <w:spacing w:line="276" w:lineRule="auto"/>
      </w:pPr>
      <w:r>
        <w:t>Vertikální analýza</w:t>
      </w:r>
    </w:p>
    <w:p w:rsidR="00AE0C79" w:rsidRDefault="00A61E00" w:rsidP="00FA7B84">
      <w:pPr>
        <w:pStyle w:val="Nadpis3"/>
        <w:numPr>
          <w:ilvl w:val="2"/>
          <w:numId w:val="22"/>
        </w:numPr>
        <w:spacing w:line="276" w:lineRule="auto"/>
      </w:pPr>
      <w:bookmarkStart w:id="16" w:name="_Toc324932885"/>
      <w:r>
        <w:t>Horizontální analýza</w:t>
      </w:r>
      <w:bookmarkEnd w:id="16"/>
    </w:p>
    <w:p w:rsidR="00AE0C79" w:rsidRDefault="00A61E00" w:rsidP="00FA7B84">
      <w:pPr>
        <w:spacing w:line="276" w:lineRule="auto"/>
      </w:pPr>
      <w:r>
        <w:t xml:space="preserve">Horizontální analýza rozvahy, popřípadě i výkazu zisku a ztrát, sleduje změny jednotlivých položek těchto výkazů v čase. Provedení analýzy vyžaduje data nejméně ze dvou, nejlépe však z pěti a více účetních období. Samotné změny položek rozvahy pak můžeme sledovat jako jejich absolutní změnu v Kč, nebo jako procentní změnu. Z časového hlediska sledujeme meziroční změny, ale vzhledem k dlouhodobé analýze je vhodnější sledovat kumulativní změny položek ve vztahu ke společnému výchozímu období. </w:t>
      </w:r>
      <w:r>
        <w:rPr>
          <w:rStyle w:val="Znakapoznpodarou"/>
        </w:rPr>
        <w:footnoteReference w:id="17"/>
      </w:r>
      <w:r>
        <w:t xml:space="preserve"> Horizontální analýza nejen ukazuje změny jednotlivých položek v čase, ale snaží se popsat i příčiny těchto změn. Jako zdroj informací o těchto příčinách většinou slouží výroční zpráva podniku. </w:t>
      </w:r>
    </w:p>
    <w:p w:rsidR="00AE0C79" w:rsidRDefault="00A61E00" w:rsidP="00FA7B84">
      <w:pPr>
        <w:pStyle w:val="Nadpis3"/>
        <w:spacing w:line="276" w:lineRule="auto"/>
      </w:pPr>
      <w:bookmarkStart w:id="17" w:name="_Toc324932886"/>
      <w:r>
        <w:lastRenderedPageBreak/>
        <w:t>Vertikální analýza</w:t>
      </w:r>
      <w:bookmarkEnd w:id="17"/>
    </w:p>
    <w:p w:rsidR="00AE0C79" w:rsidRDefault="00A61E00" w:rsidP="00FA7B84">
      <w:pPr>
        <w:spacing w:line="276" w:lineRule="auto"/>
      </w:pPr>
      <w:r>
        <w:t>Zatímco horizontální analýza nám umožňuje sledovat změny jednotlivých položek v čase, vertikální analýza sleduje časový vývoj a změny struktury výkazů. Počítá se jako podíl jednotlivých položek výkazů k jejich základně, tou bývá u rozvahy celková bilanční suma a u výkazu zisku a ztrát celkové výnosy a náklady. Vertikální analýza nám umožňuje porovnávání struktury podniku s dalšími podniky.</w:t>
      </w:r>
      <w:r>
        <w:rPr>
          <w:rStyle w:val="Znakapoznpodarou"/>
        </w:rPr>
        <w:footnoteReference w:id="18"/>
      </w:r>
      <w:r>
        <w:t xml:space="preserve"> </w:t>
      </w:r>
    </w:p>
    <w:p w:rsidR="00AE0C79" w:rsidRDefault="00A61E00" w:rsidP="00FA7B84">
      <w:pPr>
        <w:spacing w:line="276" w:lineRule="auto"/>
      </w:pPr>
      <w:r>
        <w:t xml:space="preserve">Struktura aktiv nás informuje o tom, jak společnost investovala svůj kapitál. Obecně můžeme říci, že dlouhodobější aktiva jsou výnosnější, ovšem vedení společnosti musí v otázce poměru mezi dlouhodobými a krátkodobými aktivy zohlednit předmět podnikání podniku a jeho potřebu likvidity. Struktura pasiv informuje zase o tom, čím je tento kapitál tvořen. Zde platí, že levnější je financování cizími a krátkodobými zdroji. S dobou splatnosti zdroje zpravidla roste i cena jeho financování. </w:t>
      </w:r>
      <w:r>
        <w:rPr>
          <w:rStyle w:val="Znakapoznpodarou"/>
        </w:rPr>
        <w:footnoteReference w:id="19"/>
      </w:r>
    </w:p>
    <w:p w:rsidR="00AE0C79" w:rsidRDefault="00A61E00" w:rsidP="00FA7B84">
      <w:pPr>
        <w:pStyle w:val="Nadpis2"/>
        <w:spacing w:line="276" w:lineRule="auto"/>
      </w:pPr>
      <w:r>
        <w:t xml:space="preserve"> </w:t>
      </w:r>
      <w:bookmarkStart w:id="18" w:name="_Toc324932887"/>
      <w:r>
        <w:t>Analýza poměrových ukazatelů</w:t>
      </w:r>
      <w:bookmarkEnd w:id="18"/>
    </w:p>
    <w:p w:rsidR="00AE0C79" w:rsidRDefault="00A61E00" w:rsidP="00FA7B84">
      <w:pPr>
        <w:spacing w:line="276" w:lineRule="auto"/>
      </w:pPr>
      <w:r>
        <w:t>Jak napovídá jejich název, poměrové ukazatele jsou konstruovány jako poměry dvou a více položek účetních výkazů, které tímto dávají do souvislosti a snaží se určit přijatelné hodnoty těchto poměrů. Poměrové ukazatele jsou nejčastěji používanou a velmi oblíbenou metodou finanční analýzy. Jejich obliba vychází především z jednoduchosti a snadné dostupnosti dat potřebných k jejich výpočtu.</w:t>
      </w:r>
      <w:r>
        <w:rPr>
          <w:rStyle w:val="Znakapoznpodarou"/>
        </w:rPr>
        <w:footnoteReference w:id="20"/>
      </w:r>
      <w:r>
        <w:t xml:space="preserve"> Právě díky této snadné dostupnosti dat jsou také často využívány k mezipodnikovému srovnávání, které tak mohou jednoduše provádět i samotné podniky. V této práci se budu dále zabývat těmito základními typy poměrových ukazatelů:</w:t>
      </w:r>
    </w:p>
    <w:p w:rsidR="00AE0C79" w:rsidRDefault="00A61E00" w:rsidP="00FA7B84">
      <w:pPr>
        <w:pStyle w:val="Odstavecseseznamem"/>
        <w:numPr>
          <w:ilvl w:val="0"/>
          <w:numId w:val="18"/>
        </w:numPr>
        <w:spacing w:line="276" w:lineRule="auto"/>
      </w:pPr>
      <w:r>
        <w:t>Ukazatele rentability</w:t>
      </w:r>
    </w:p>
    <w:p w:rsidR="00AE0C79" w:rsidRDefault="00A61E00" w:rsidP="00FA7B84">
      <w:pPr>
        <w:pStyle w:val="Odstavecseseznamem"/>
        <w:numPr>
          <w:ilvl w:val="0"/>
          <w:numId w:val="18"/>
        </w:numPr>
        <w:spacing w:line="276" w:lineRule="auto"/>
      </w:pPr>
      <w:r>
        <w:t>Ukazatele aktivity</w:t>
      </w:r>
    </w:p>
    <w:p w:rsidR="00AE0C79" w:rsidRDefault="00A61E00" w:rsidP="00FA7B84">
      <w:pPr>
        <w:pStyle w:val="Odstavecseseznamem"/>
        <w:numPr>
          <w:ilvl w:val="0"/>
          <w:numId w:val="18"/>
        </w:numPr>
        <w:spacing w:line="276" w:lineRule="auto"/>
      </w:pPr>
      <w:r>
        <w:t xml:space="preserve">Ukazatele zadluženosti </w:t>
      </w:r>
    </w:p>
    <w:p w:rsidR="00AE0C79" w:rsidRDefault="00A61E00" w:rsidP="00FA7B84">
      <w:pPr>
        <w:pStyle w:val="Odstavecseseznamem"/>
        <w:numPr>
          <w:ilvl w:val="0"/>
          <w:numId w:val="18"/>
        </w:numPr>
        <w:spacing w:line="276" w:lineRule="auto"/>
      </w:pPr>
      <w:r>
        <w:t>Ukazatele likvidity</w:t>
      </w:r>
    </w:p>
    <w:p w:rsidR="00AE0C79" w:rsidRDefault="00A61E00" w:rsidP="00FA7B84">
      <w:pPr>
        <w:pStyle w:val="Nadpis3"/>
        <w:spacing w:line="276" w:lineRule="auto"/>
      </w:pPr>
      <w:bookmarkStart w:id="19" w:name="_Toc324932888"/>
      <w:r>
        <w:t>Ukazatele rentability</w:t>
      </w:r>
      <w:bookmarkEnd w:id="19"/>
    </w:p>
    <w:p w:rsidR="00AE0C79" w:rsidRDefault="00A61E00" w:rsidP="00FA7B84">
      <w:pPr>
        <w:spacing w:line="276" w:lineRule="auto"/>
      </w:pPr>
      <w:r>
        <w:t xml:space="preserve">Rentabilita, kterou můžeme definovat jako výnosnost či ziskovost, je ukazatelem schopnosti podniku vytvářet zisk z vloženého kapitálu. Proto tyto ukazatele patří mezi nejoblíbenější a nejsledovanější ukazatele úspěšnosti podniku. Monitorují totiž nejzákladnější a nejžádanější schopnost podniku- schopnost vytvářet zisk. Ukazatele rentability tedy poměřují zisk s kapitálem, potřebným k jeho dosažení. Zisk i vložený kapitál lze však definovat různými způsoby. Proto se můžeme setkat s nejrůznějšími modifikacemi těchto ukazatelů, které dávají do souvislostí různé typy zisku a vloženého kapitálu. </w:t>
      </w:r>
    </w:p>
    <w:p w:rsidR="00AE0C79" w:rsidRDefault="00A61E00" w:rsidP="00FA7B84">
      <w:pPr>
        <w:spacing w:line="276" w:lineRule="auto"/>
      </w:pPr>
      <w:r>
        <w:lastRenderedPageBreak/>
        <w:t>Při výpočtech budu používat dva typy zisku, čistý zisk (v literatuře označován jako earning after tax, tedy zkráceně EAT) a EBIT (earning before interest and tax), který vypočítáme jako zisk před zdaněním + nákladové úroky.</w:t>
      </w:r>
    </w:p>
    <w:p w:rsidR="00AE0C79" w:rsidRDefault="00A61E00" w:rsidP="00FA7B84">
      <w:pPr>
        <w:pStyle w:val="Nadpis5"/>
        <w:spacing w:line="276" w:lineRule="auto"/>
      </w:pPr>
      <w:r>
        <w:t>ROE (Ukazatel rentability vlastního kapitálu)</w:t>
      </w:r>
    </w:p>
    <w:p w:rsidR="00AE0C79" w:rsidRDefault="00A61E00" w:rsidP="00FA7B84">
      <w:pPr>
        <w:spacing w:line="276" w:lineRule="auto"/>
      </w:pPr>
      <w:r>
        <w:t xml:space="preserve">Ukazatel rentability vlastního kapitálu (return on common equity), je nejpoužívanějším ze skupiny ukazatelů rentability. Vypočítáme jej jako poměr čistého zisku a vlastního kapitálu. Hodnota tohoto ukazatele je kritická především vlastníky společnosti, pro které představuje míru zhodnocení jimi vloženého kapitálu. </w:t>
      </w:r>
      <w:r>
        <w:rPr>
          <w:rStyle w:val="Znakapoznpodarou"/>
        </w:rPr>
        <w:footnoteReference w:id="21"/>
      </w:r>
    </w:p>
    <w:p w:rsidR="00AE0C79" w:rsidRDefault="00A61E00" w:rsidP="00FA7B84">
      <w:pPr>
        <w:spacing w:line="276" w:lineRule="auto"/>
      </w:pPr>
      <m:oMathPara>
        <m:oMath>
          <m:r>
            <m:rPr>
              <m:sty m:val="p"/>
            </m:rPr>
            <w:rPr>
              <w:rFonts w:ascii="Cambria Math"/>
            </w:rPr>
            <m:t>ROE=</m:t>
          </m:r>
          <m:f>
            <m:fPr>
              <m:ctrlPr>
                <w:rPr>
                  <w:rFonts w:ascii="Cambria Math" w:hAnsi="Cambria Math"/>
                </w:rPr>
              </m:ctrlPr>
            </m:fPr>
            <m:num>
              <m:r>
                <m:rPr>
                  <m:sty m:val="p"/>
                </m:rPr>
                <w:rPr>
                  <w:rFonts w:ascii="Cambria Math"/>
                </w:rPr>
                <m:t>č</m:t>
              </m:r>
              <m:r>
                <m:rPr>
                  <m:sty m:val="p"/>
                </m:rPr>
                <w:rPr>
                  <w:rFonts w:ascii="Cambria Math"/>
                </w:rPr>
                <m:t>ist</m:t>
              </m:r>
              <m:r>
                <m:rPr>
                  <m:sty m:val="p"/>
                </m:rPr>
                <w:rPr>
                  <w:rFonts w:ascii="Cambria Math"/>
                </w:rPr>
                <m:t>ý</m:t>
              </m:r>
              <m:r>
                <m:rPr>
                  <m:sty m:val="p"/>
                </m:rPr>
                <w:rPr>
                  <w:rFonts w:ascii="Cambria Math"/>
                </w:rPr>
                <m:t xml:space="preserve"> zisk</m:t>
              </m:r>
            </m:num>
            <m:den>
              <m:r>
                <m:rPr>
                  <m:sty m:val="p"/>
                </m:rPr>
                <w:rPr>
                  <w:rFonts w:ascii="Cambria Math"/>
                </w:rPr>
                <m:t>vlastn</m:t>
              </m:r>
              <m:r>
                <m:rPr>
                  <m:sty m:val="p"/>
                </m:rPr>
                <w:rPr>
                  <w:rFonts w:ascii="Cambria Math"/>
                </w:rPr>
                <m:t>í</m:t>
              </m:r>
              <m:r>
                <m:rPr>
                  <m:sty m:val="p"/>
                </m:rPr>
                <w:rPr>
                  <w:rFonts w:ascii="Cambria Math"/>
                </w:rPr>
                <m:t xml:space="preserve"> kapit</m:t>
              </m:r>
              <m:r>
                <m:rPr>
                  <m:sty m:val="p"/>
                </m:rPr>
                <w:rPr>
                  <w:rFonts w:ascii="Cambria Math"/>
                </w:rPr>
                <m:t>á</m:t>
              </m:r>
              <m:r>
                <m:rPr>
                  <m:sty m:val="p"/>
                </m:rPr>
                <w:rPr>
                  <w:rFonts w:ascii="Cambria Math"/>
                </w:rPr>
                <m:t>l</m:t>
              </m:r>
            </m:den>
          </m:f>
        </m:oMath>
      </m:oMathPara>
    </w:p>
    <w:p w:rsidR="00AE0C79" w:rsidRDefault="00A61E00" w:rsidP="00FA7B84">
      <w:pPr>
        <w:spacing w:line="276" w:lineRule="auto"/>
      </w:pPr>
      <w:r>
        <w:t>Vyšší hodnota ukazatele představuje vyšší výnos z vloženého kapitálu. V zájmu vlastníků je samozřejmě co nejvyšší hodnota tohoto ukazatele. Obecně platí, že hodnota ROE by měla být vyšší než náklady příležitosti investora. Tedy vyšší než výnosová míra, kterou by investor získal jinou alokací svého kapitálu. Nejčastěji se pro toto srovnání užívá hodnota investice bez rizika ve formě míry výnosu ze státních cenných papírů. Racionálně uvažující investor vyžaduje od rizikovější investice vyšší míru zhodnocení, proto by hodnota ukazatele ROE měla být vždy vyšší než je míra výnosu ze státních cenných papírů (v případě ČR by se zřejmě jednalo o výnosnost státních pětiletých dluhopisů).</w:t>
      </w:r>
      <w:r>
        <w:rPr>
          <w:rStyle w:val="Znakapoznpodarou"/>
        </w:rPr>
        <w:footnoteReference w:id="22"/>
      </w:r>
      <w:r>
        <w:t xml:space="preserve"> </w:t>
      </w:r>
    </w:p>
    <w:p w:rsidR="00AE0C79" w:rsidRDefault="00A61E00" w:rsidP="00FA7B84">
      <w:pPr>
        <w:spacing w:line="276" w:lineRule="auto"/>
      </w:pPr>
      <w:r>
        <w:t xml:space="preserve">Jinou možností, jak zjistit minimální přijatelnou hodnotu ROE je průměrná úroková míra, kterou vypočítáme jako poměr nákladových úroků a celkového souhrnu úročených dluhů. </w:t>
      </w:r>
      <w:r>
        <w:rPr>
          <w:rStyle w:val="Znakapoznpodarou"/>
        </w:rPr>
        <w:footnoteReference w:id="23"/>
      </w:r>
    </w:p>
    <w:p w:rsidR="00AE0C79" w:rsidRDefault="00A61E00" w:rsidP="00FA7B84">
      <w:pPr>
        <w:spacing w:line="276" w:lineRule="auto"/>
        <w:rPr>
          <w:rFonts w:eastAsiaTheme="minorEastAsia"/>
        </w:rPr>
      </w:pPr>
      <m:oMathPara>
        <m:oMath>
          <m:r>
            <m:rPr>
              <m:sty m:val="p"/>
            </m:rPr>
            <w:rPr>
              <w:rFonts w:ascii="Cambria Math"/>
            </w:rPr>
            <m:t>pr</m:t>
          </m:r>
          <m:r>
            <m:rPr>
              <m:sty m:val="p"/>
            </m:rPr>
            <m:t>ů</m:t>
          </m:r>
          <m:r>
            <m:rPr>
              <m:sty m:val="p"/>
            </m:rPr>
            <w:rPr>
              <w:rFonts w:ascii="Cambria Math"/>
            </w:rPr>
            <m:t>m</m:t>
          </m:r>
          <m:r>
            <m:rPr>
              <m:sty m:val="p"/>
            </m:rPr>
            <m:t>ě</m:t>
          </m:r>
          <m:r>
            <m:rPr>
              <m:sty m:val="p"/>
            </m:rPr>
            <w:rPr>
              <w:rFonts w:ascii="Cambria Math"/>
            </w:rPr>
            <m:t>rn</m:t>
          </m:r>
          <m:r>
            <m:rPr>
              <m:sty m:val="p"/>
            </m:rPr>
            <m:t>á</m:t>
          </m:r>
          <m:r>
            <m:rPr>
              <m:sty m:val="p"/>
            </m:rPr>
            <w:rPr>
              <w:rFonts w:ascii="Cambria Math"/>
            </w:rPr>
            <m:t xml:space="preserve"> </m:t>
          </m:r>
          <m:r>
            <m:rPr>
              <m:sty m:val="p"/>
            </m:rPr>
            <m:t>ú</m:t>
          </m:r>
          <m:r>
            <m:rPr>
              <m:sty m:val="p"/>
            </m:rPr>
            <w:rPr>
              <w:rFonts w:ascii="Cambria Math"/>
            </w:rPr>
            <m:t>rokov</m:t>
          </m:r>
          <m:r>
            <m:rPr>
              <m:sty m:val="p"/>
            </m:rPr>
            <m:t>á</m:t>
          </m:r>
          <m:r>
            <m:rPr>
              <m:sty m:val="p"/>
            </m:rPr>
            <w:rPr>
              <w:rFonts w:ascii="Cambria Math"/>
            </w:rPr>
            <m:t xml:space="preserve"> m</m:t>
          </m:r>
          <m:r>
            <m:rPr>
              <m:sty m:val="p"/>
            </m:rPr>
            <m:t>í</m:t>
          </m:r>
          <m:r>
            <m:rPr>
              <m:sty m:val="p"/>
            </m:rPr>
            <w:rPr>
              <w:rFonts w:ascii="Cambria Math"/>
            </w:rPr>
            <m:t>ra=</m:t>
          </m:r>
          <m:f>
            <m:fPr>
              <m:ctrlPr>
                <w:rPr>
                  <w:rFonts w:ascii="Cambria Math" w:hAnsi="Cambria Math"/>
                </w:rPr>
              </m:ctrlPr>
            </m:fPr>
            <m:num>
              <m:r>
                <m:rPr>
                  <m:sty m:val="p"/>
                </m:rPr>
                <w:rPr>
                  <w:rFonts w:ascii="Cambria Math"/>
                </w:rPr>
                <m:t>n</m:t>
              </m:r>
              <m:r>
                <m:rPr>
                  <m:sty m:val="p"/>
                </m:rPr>
                <m:t>á</m:t>
              </m:r>
              <m:r>
                <m:rPr>
                  <m:sty m:val="p"/>
                </m:rPr>
                <w:rPr>
                  <w:rFonts w:ascii="Cambria Math"/>
                </w:rPr>
                <m:t>kladov</m:t>
              </m:r>
              <m:r>
                <m:rPr>
                  <m:sty m:val="p"/>
                </m:rPr>
                <m:t>é</m:t>
              </m:r>
              <m:r>
                <m:rPr>
                  <m:sty m:val="p"/>
                </m:rPr>
                <w:rPr>
                  <w:rFonts w:ascii="Cambria Math"/>
                </w:rPr>
                <m:t xml:space="preserve"> </m:t>
              </m:r>
              <m:r>
                <m:rPr>
                  <m:sty m:val="p"/>
                </m:rPr>
                <m:t>ú</m:t>
              </m:r>
              <m:r>
                <m:rPr>
                  <m:sty m:val="p"/>
                </m:rPr>
                <w:rPr>
                  <w:rFonts w:ascii="Cambria Math"/>
                </w:rPr>
                <m:t>roky</m:t>
              </m:r>
            </m:num>
            <m:den>
              <m:r>
                <m:rPr>
                  <m:sty m:val="p"/>
                </m:rPr>
                <m:t>ú</m:t>
              </m:r>
              <m:r>
                <m:rPr>
                  <m:sty m:val="p"/>
                </m:rPr>
                <w:rPr>
                  <w:rFonts w:ascii="Cambria Math"/>
                </w:rPr>
                <m:t>ro</m:t>
              </m:r>
              <m:r>
                <m:rPr>
                  <m:sty m:val="p"/>
                </m:rPr>
                <m:t>č</m:t>
              </m:r>
              <m:r>
                <m:rPr>
                  <m:sty m:val="p"/>
                </m:rPr>
                <w:rPr>
                  <w:rFonts w:ascii="Cambria Math"/>
                </w:rPr>
                <m:t>en</m:t>
              </m:r>
              <m:r>
                <m:rPr>
                  <m:sty m:val="p"/>
                </m:rPr>
                <m:t>é</m:t>
              </m:r>
              <m:r>
                <m:rPr>
                  <m:sty m:val="p"/>
                </m:rPr>
                <w:rPr>
                  <w:rFonts w:ascii="Cambria Math"/>
                </w:rPr>
                <m:t xml:space="preserve"> dluhy</m:t>
              </m:r>
            </m:den>
          </m:f>
        </m:oMath>
      </m:oMathPara>
    </w:p>
    <w:p w:rsidR="00AE0C79" w:rsidRDefault="00A61E00" w:rsidP="00FA7B84">
      <w:pPr>
        <w:spacing w:line="276" w:lineRule="auto"/>
        <w:rPr>
          <w:rFonts w:eastAsiaTheme="minorEastAsia"/>
        </w:rPr>
      </w:pPr>
      <w:r>
        <w:rPr>
          <w:rFonts w:eastAsiaTheme="minorEastAsia"/>
        </w:rPr>
        <w:t>V čitateli vzorce pro výpočet rentability vlastního kapitálu se uvádí čistý zisk po zdanění, je tomu tak především proto, že vlastníky podniku zajímá nejvíce čistý výnos, který mezi ně může být rozdělen na podílech.</w:t>
      </w:r>
      <w:r>
        <w:rPr>
          <w:rStyle w:val="Znakapoznpodarou"/>
          <w:rFonts w:eastAsiaTheme="minorEastAsia"/>
        </w:rPr>
        <w:footnoteReference w:id="24"/>
      </w:r>
    </w:p>
    <w:p w:rsidR="00AE0C79" w:rsidRDefault="00A61E00" w:rsidP="00FA7B84">
      <w:pPr>
        <w:pStyle w:val="Nadpis5"/>
        <w:spacing w:line="276" w:lineRule="auto"/>
        <w:rPr>
          <w:rFonts w:eastAsiaTheme="minorEastAsia"/>
        </w:rPr>
      </w:pPr>
      <w:r>
        <w:rPr>
          <w:rFonts w:eastAsiaTheme="minorEastAsia"/>
        </w:rPr>
        <w:t>ROA (Ukazatel rentability aktiv)</w:t>
      </w:r>
    </w:p>
    <w:p w:rsidR="00AE0C79" w:rsidRDefault="00A61E00" w:rsidP="00FA7B84">
      <w:pPr>
        <w:spacing w:line="276" w:lineRule="auto"/>
      </w:pPr>
      <w:r>
        <w:t>Ukazatel rentability aktiv (return on assets) porovnává zisk s celkovými aktivy podniku, bez ohledu na zdroje jejich financování. Hodnota ROA tak nezávisí na struktuře kapitálu, ale jen na jeho efektivní alokaci. To nám umožňuje porovnávat podniky s rozdílnou strukturou cizích zdrojů a vlastního kapitálu.</w:t>
      </w:r>
      <w:r>
        <w:rPr>
          <w:rStyle w:val="Znakapoznpodarou"/>
        </w:rPr>
        <w:footnoteReference w:id="25"/>
      </w:r>
      <w:r>
        <w:t xml:space="preserve"> Poměřuje tak celkový vložený kapitál se ziskem, který byl dosažen jeho produktivním využitím.</w:t>
      </w:r>
    </w:p>
    <w:p w:rsidR="00AE0C79" w:rsidRDefault="00A61E00" w:rsidP="00FA7B84">
      <w:pPr>
        <w:spacing w:line="276" w:lineRule="auto"/>
        <w:rPr>
          <w:rFonts w:eastAsiaTheme="minorEastAsia"/>
        </w:rPr>
      </w:pPr>
      <m:oMathPara>
        <m:oMath>
          <m:r>
            <m:rPr>
              <m:sty m:val="p"/>
            </m:rPr>
            <w:rPr>
              <w:rFonts w:ascii="Cambria Math"/>
            </w:rPr>
            <w:lastRenderedPageBreak/>
            <m:t>ROA=</m:t>
          </m:r>
          <m:f>
            <m:fPr>
              <m:ctrlPr>
                <w:rPr>
                  <w:rFonts w:ascii="Cambria Math" w:hAnsi="Cambria Math"/>
                </w:rPr>
              </m:ctrlPr>
            </m:fPr>
            <m:num>
              <m:r>
                <m:rPr>
                  <m:sty m:val="p"/>
                </m:rPr>
                <w:rPr>
                  <w:rFonts w:ascii="Cambria Math"/>
                </w:rPr>
                <m:t>EBIT</m:t>
              </m:r>
            </m:num>
            <m:den>
              <m:r>
                <m:rPr>
                  <m:sty m:val="p"/>
                </m:rPr>
                <w:rPr>
                  <w:rFonts w:ascii="Cambria Math"/>
                </w:rPr>
                <m:t>aktiva</m:t>
              </m:r>
            </m:den>
          </m:f>
        </m:oMath>
      </m:oMathPara>
    </w:p>
    <w:p w:rsidR="00AE0C79" w:rsidRDefault="00A61E00" w:rsidP="00FA7B84">
      <w:pPr>
        <w:spacing w:line="276" w:lineRule="auto"/>
        <w:rPr>
          <w:rFonts w:eastAsiaTheme="minorEastAsia"/>
        </w:rPr>
      </w:pPr>
      <w:r>
        <w:rPr>
          <w:rFonts w:eastAsiaTheme="minorEastAsia"/>
        </w:rPr>
        <w:t>Pro zjištění minimální přijatelné hodnoty ROA můžeme, stejně jako u ukazatele ROE, použít průměrnou úrokovou míru.</w:t>
      </w:r>
      <w:r>
        <w:rPr>
          <w:rStyle w:val="Znakapoznpodarou"/>
          <w:rFonts w:eastAsiaTheme="minorEastAsia"/>
        </w:rPr>
        <w:footnoteReference w:id="26"/>
      </w:r>
    </w:p>
    <w:p w:rsidR="00AE0C79" w:rsidRDefault="00A61E00" w:rsidP="00FA7B84">
      <w:pPr>
        <w:pStyle w:val="Nadpis5"/>
        <w:spacing w:line="276" w:lineRule="auto"/>
        <w:rPr>
          <w:rFonts w:eastAsiaTheme="minorEastAsia"/>
        </w:rPr>
      </w:pPr>
      <w:r>
        <w:rPr>
          <w:rFonts w:eastAsiaTheme="minorEastAsia"/>
        </w:rPr>
        <w:t>ROCE (Ukazatel rentability dlouhodobě investovaného kapitálu)</w:t>
      </w:r>
    </w:p>
    <w:p w:rsidR="00AE0C79" w:rsidRDefault="00A61E00" w:rsidP="00FA7B84">
      <w:pPr>
        <w:spacing w:line="276" w:lineRule="auto"/>
      </w:pPr>
      <w:r>
        <w:t>Ukazatel rentability dlouhodobě investovaného kapitálu (return on capital employed), má podobné vypovídací schopnosti jako ukazatel ROA. Na rozdíl od ROA se ale zaměřuje pouze na dlouhodobé zdroje a vylučuju ze vzorce krátkodobé (neúročené) cizí zdroje a ostatní pasiva.</w:t>
      </w:r>
      <w:r>
        <w:rPr>
          <w:rStyle w:val="Znakapoznpodarou"/>
        </w:rPr>
        <w:footnoteReference w:id="27"/>
      </w:r>
      <w:r>
        <w:t xml:space="preserve"> ROCE je důležitým ukazatele především pro investory, pro které představuje míru zhodnocení jejich dlouhodobých investic do podniku. Čím vyšší míru ROCE podnik vykazuje, tím je pro investory atraktivnější.</w:t>
      </w:r>
      <w:r>
        <w:rPr>
          <w:rStyle w:val="Znakapoznpodarou"/>
        </w:rPr>
        <w:footnoteReference w:id="28"/>
      </w:r>
    </w:p>
    <w:p w:rsidR="00AE0C79" w:rsidRDefault="00A61E00" w:rsidP="00FA7B84">
      <w:pPr>
        <w:spacing w:line="276" w:lineRule="auto"/>
        <w:rPr>
          <w:rFonts w:eastAsiaTheme="minorEastAsia"/>
        </w:rPr>
      </w:pPr>
      <m:oMathPara>
        <m:oMath>
          <m:r>
            <m:rPr>
              <m:sty m:val="p"/>
            </m:rPr>
            <w:rPr>
              <w:rFonts w:ascii="Cambria Math"/>
            </w:rPr>
            <m:t>ROCE=</m:t>
          </m:r>
          <m:f>
            <m:fPr>
              <m:ctrlPr>
                <w:rPr>
                  <w:rFonts w:ascii="Cambria Math" w:hAnsi="Cambria Math"/>
                </w:rPr>
              </m:ctrlPr>
            </m:fPr>
            <m:num>
              <m:r>
                <m:rPr>
                  <m:sty m:val="p"/>
                </m:rPr>
                <w:rPr>
                  <w:rFonts w:ascii="Cambria Math"/>
                </w:rPr>
                <m:t>č</m:t>
              </m:r>
              <m:r>
                <m:rPr>
                  <m:sty m:val="p"/>
                </m:rPr>
                <w:rPr>
                  <w:rFonts w:ascii="Cambria Math"/>
                </w:rPr>
                <m:t>ist</m:t>
              </m:r>
              <m:r>
                <m:rPr>
                  <m:sty m:val="p"/>
                </m:rPr>
                <w:rPr>
                  <w:rFonts w:ascii="Cambria Math"/>
                </w:rPr>
                <m:t>ý</m:t>
              </m:r>
              <m:r>
                <m:rPr>
                  <m:sty m:val="p"/>
                </m:rPr>
                <w:rPr>
                  <w:rFonts w:ascii="Cambria Math"/>
                </w:rPr>
                <m:t xml:space="preserve"> zisk</m:t>
              </m:r>
            </m:num>
            <m:den>
              <m:r>
                <m:rPr>
                  <m:sty m:val="p"/>
                </m:rPr>
                <w:rPr>
                  <w:rFonts w:ascii="Cambria Math"/>
                </w:rPr>
                <m:t>vlastn</m:t>
              </m:r>
              <m:r>
                <m:rPr>
                  <m:sty m:val="p"/>
                </m:rPr>
                <w:rPr>
                  <w:rFonts w:ascii="Cambria Math"/>
                </w:rPr>
                <m:t>í</m:t>
              </m:r>
              <m:r>
                <m:rPr>
                  <m:sty m:val="p"/>
                </m:rPr>
                <w:rPr>
                  <w:rFonts w:ascii="Cambria Math"/>
                </w:rPr>
                <m:t xml:space="preserve"> kapit</m:t>
              </m:r>
              <m:r>
                <m:rPr>
                  <m:sty m:val="p"/>
                </m:rPr>
                <w:rPr>
                  <w:rFonts w:ascii="Cambria Math"/>
                </w:rPr>
                <m:t>á</m:t>
              </m:r>
              <m:r>
                <m:rPr>
                  <m:sty m:val="p"/>
                </m:rPr>
                <w:rPr>
                  <w:rFonts w:ascii="Cambria Math"/>
                </w:rPr>
                <m:t>l+dlouhodob</m:t>
              </m:r>
              <m:r>
                <m:rPr>
                  <m:sty m:val="p"/>
                </m:rPr>
                <w:rPr>
                  <w:rFonts w:ascii="Cambria Math"/>
                </w:rPr>
                <m:t>é</m:t>
              </m:r>
              <m:r>
                <m:rPr>
                  <m:sty m:val="p"/>
                </m:rPr>
                <w:rPr>
                  <w:rFonts w:ascii="Cambria Math"/>
                </w:rPr>
                <m:t xml:space="preserve"> z</m:t>
              </m:r>
              <m:r>
                <m:rPr>
                  <m:sty m:val="p"/>
                </m:rPr>
                <w:rPr>
                  <w:rFonts w:ascii="Cambria Math"/>
                </w:rPr>
                <m:t>á</m:t>
              </m:r>
              <m:r>
                <m:rPr>
                  <m:sty m:val="p"/>
                </m:rPr>
                <w:rPr>
                  <w:rFonts w:ascii="Cambria Math"/>
                </w:rPr>
                <m:t>vazky</m:t>
              </m:r>
            </m:den>
          </m:f>
        </m:oMath>
      </m:oMathPara>
    </w:p>
    <w:p w:rsidR="00AE0C79" w:rsidRDefault="00A61E00" w:rsidP="00FA7B84">
      <w:pPr>
        <w:pStyle w:val="Nadpis5"/>
        <w:spacing w:line="276" w:lineRule="auto"/>
        <w:rPr>
          <w:rFonts w:eastAsiaTheme="minorEastAsia"/>
        </w:rPr>
      </w:pPr>
      <w:r>
        <w:rPr>
          <w:rFonts w:eastAsiaTheme="minorEastAsia"/>
        </w:rPr>
        <w:t>ROS (ukazatel rentability tržeb)</w:t>
      </w:r>
    </w:p>
    <w:p w:rsidR="00AE0C79" w:rsidRDefault="00A61E00" w:rsidP="00FA7B84">
      <w:pPr>
        <w:spacing w:line="276" w:lineRule="auto"/>
      </w:pPr>
      <w:r>
        <w:t>Ukazatel rentability tržeb (return on sales), dává do spojitosti zisk po zdanění s velikostí tržeb. Jeho hodnota říká, jak velká hodnota zisku byla dosažena za každou korunu tržeb. Při finanční analýze můžeme také využít variantu výpočtu, kdy je v čitateli místo čistého zisku EBIT. Takto vypočítaný ukazatel je vhodnější při srovnávání s konkurencí, protože je očištěn od vlivu zdanění a úroků.</w:t>
      </w:r>
      <w:r>
        <w:rPr>
          <w:rStyle w:val="Znakapoznpodarou"/>
        </w:rPr>
        <w:footnoteReference w:id="29"/>
      </w:r>
    </w:p>
    <w:p w:rsidR="00AE0C79" w:rsidRDefault="00A61E00" w:rsidP="00FA7B84">
      <w:pPr>
        <w:spacing w:line="276" w:lineRule="auto"/>
        <w:rPr>
          <w:rFonts w:eastAsiaTheme="minorEastAsia"/>
        </w:rPr>
      </w:pPr>
      <m:oMathPara>
        <m:oMath>
          <m:r>
            <m:rPr>
              <m:sty m:val="p"/>
            </m:rPr>
            <w:rPr>
              <w:rFonts w:ascii="Cambria Math"/>
            </w:rPr>
            <m:t>ROS(</m:t>
          </m:r>
          <m:r>
            <m:rPr>
              <m:sty m:val="p"/>
            </m:rPr>
            <w:rPr>
              <w:rFonts w:ascii="Cambria Math"/>
            </w:rPr>
            <m:t>č</m:t>
          </m:r>
          <m:r>
            <m:rPr>
              <m:sty m:val="p"/>
            </m:rPr>
            <w:rPr>
              <w:rFonts w:ascii="Cambria Math"/>
            </w:rPr>
            <m:t>ist</m:t>
          </m:r>
          <m:r>
            <m:rPr>
              <m:sty m:val="p"/>
            </m:rPr>
            <w:rPr>
              <w:rFonts w:ascii="Cambria Math"/>
            </w:rPr>
            <m:t>ý</m:t>
          </m:r>
          <m:r>
            <m:rPr>
              <m:sty m:val="p"/>
            </m:rPr>
            <w:rPr>
              <w:rFonts w:ascii="Cambria Math"/>
            </w:rPr>
            <m:t xml:space="preserve"> zisk)=</m:t>
          </m:r>
          <m:f>
            <m:fPr>
              <m:ctrlPr>
                <w:rPr>
                  <w:rFonts w:ascii="Cambria Math" w:hAnsi="Cambria Math"/>
                </w:rPr>
              </m:ctrlPr>
            </m:fPr>
            <m:num>
              <m:r>
                <m:rPr>
                  <m:sty m:val="p"/>
                </m:rPr>
                <w:rPr>
                  <w:rFonts w:ascii="Cambria Math"/>
                </w:rPr>
                <m:t>č</m:t>
              </m:r>
              <m:r>
                <m:rPr>
                  <m:sty m:val="p"/>
                </m:rPr>
                <w:rPr>
                  <w:rFonts w:ascii="Cambria Math"/>
                </w:rPr>
                <m:t>ist</m:t>
              </m:r>
              <m:r>
                <m:rPr>
                  <m:sty m:val="p"/>
                </m:rPr>
                <w:rPr>
                  <w:rFonts w:ascii="Cambria Math"/>
                </w:rPr>
                <m:t>ý</m:t>
              </m:r>
              <m:r>
                <m:rPr>
                  <m:sty m:val="p"/>
                </m:rPr>
                <w:rPr>
                  <w:rFonts w:ascii="Cambria Math"/>
                </w:rPr>
                <m:t xml:space="preserve"> zisk</m:t>
              </m:r>
            </m:num>
            <m:den>
              <m:r>
                <m:rPr>
                  <m:sty m:val="p"/>
                </m:rPr>
                <w:rPr>
                  <w:rFonts w:ascii="Cambria Math"/>
                </w:rPr>
                <m:t>tr</m:t>
              </m:r>
              <m:r>
                <m:rPr>
                  <m:sty m:val="p"/>
                </m:rPr>
                <w:rPr>
                  <w:rFonts w:ascii="Cambria Math"/>
                </w:rPr>
                <m:t>ž</m:t>
              </m:r>
              <m:r>
                <m:rPr>
                  <m:sty m:val="p"/>
                </m:rPr>
                <w:rPr>
                  <w:rFonts w:ascii="Cambria Math"/>
                </w:rPr>
                <m:t>by</m:t>
              </m:r>
            </m:den>
          </m:f>
        </m:oMath>
      </m:oMathPara>
    </w:p>
    <w:p w:rsidR="00AE0C79" w:rsidRDefault="00A61E00" w:rsidP="00FA7B84">
      <w:pPr>
        <w:spacing w:line="276" w:lineRule="auto"/>
        <w:rPr>
          <w:rFonts w:eastAsiaTheme="minorEastAsia"/>
        </w:rPr>
      </w:pPr>
      <m:oMathPara>
        <m:oMath>
          <m:r>
            <m:rPr>
              <m:sty m:val="p"/>
            </m:rPr>
            <w:rPr>
              <w:rFonts w:ascii="Cambria Math" w:eastAsiaTheme="minorEastAsia"/>
            </w:rPr>
            <m:t>ROS</m:t>
          </m:r>
          <m:d>
            <m:dPr>
              <m:ctrlPr>
                <w:rPr>
                  <w:rFonts w:ascii="Cambria Math" w:eastAsiaTheme="minorEastAsia" w:hAnsi="Cambria Math"/>
                </w:rPr>
              </m:ctrlPr>
            </m:dPr>
            <m:e>
              <m:r>
                <m:rPr>
                  <m:sty m:val="p"/>
                </m:rPr>
                <w:rPr>
                  <w:rFonts w:ascii="Cambria Math" w:eastAsiaTheme="minorEastAsia"/>
                </w:rPr>
                <m:t>EBIT</m:t>
              </m:r>
            </m:e>
          </m:d>
          <m:r>
            <m:rPr>
              <m:sty m:val="p"/>
            </m:rPr>
            <w:rPr>
              <w:rFonts w:ascii="Cambria Math" w:eastAsiaTheme="minorEastAsia"/>
            </w:rPr>
            <m:t>=</m:t>
          </m:r>
          <m:f>
            <m:fPr>
              <m:ctrlPr>
                <w:rPr>
                  <w:rFonts w:ascii="Cambria Math" w:eastAsiaTheme="minorEastAsia" w:hAnsi="Cambria Math"/>
                </w:rPr>
              </m:ctrlPr>
            </m:fPr>
            <m:num>
              <m:r>
                <m:rPr>
                  <m:sty m:val="p"/>
                </m:rPr>
                <w:rPr>
                  <w:rFonts w:ascii="Cambria Math" w:eastAsiaTheme="minorEastAsia"/>
                </w:rPr>
                <m:t>EBIT</m:t>
              </m:r>
            </m:num>
            <m:den>
              <m:r>
                <m:rPr>
                  <m:sty m:val="p"/>
                </m:rPr>
                <w:rPr>
                  <w:rFonts w:ascii="Cambria Math" w:eastAsiaTheme="minorEastAsia"/>
                </w:rPr>
                <m:t>tr</m:t>
              </m:r>
              <m:r>
                <m:rPr>
                  <m:sty m:val="p"/>
                </m:rPr>
                <w:rPr>
                  <w:rFonts w:ascii="Cambria Math" w:eastAsiaTheme="minorEastAsia"/>
                </w:rPr>
                <m:t>ž</m:t>
              </m:r>
              <m:r>
                <m:rPr>
                  <m:sty m:val="p"/>
                </m:rPr>
                <w:rPr>
                  <w:rFonts w:ascii="Cambria Math" w:eastAsiaTheme="minorEastAsia"/>
                </w:rPr>
                <m:t>by</m:t>
              </m:r>
            </m:den>
          </m:f>
        </m:oMath>
      </m:oMathPara>
    </w:p>
    <w:p w:rsidR="00AE0C79" w:rsidRDefault="00A61E00" w:rsidP="00FA7B84">
      <w:pPr>
        <w:pStyle w:val="Nadpis3"/>
        <w:spacing w:line="276" w:lineRule="auto"/>
      </w:pPr>
      <w:bookmarkStart w:id="20" w:name="_Toc324932889"/>
      <w:r>
        <w:t>Ukazatele aktivity</w:t>
      </w:r>
      <w:bookmarkEnd w:id="20"/>
    </w:p>
    <w:p w:rsidR="00AE0C79" w:rsidRDefault="00A61E00" w:rsidP="00FA7B84">
      <w:pPr>
        <w:spacing w:line="276" w:lineRule="auto"/>
      </w:pPr>
      <w:r>
        <w:t>Ukazatele aktivity vypovídají o efektivnosti využití aktiv v podniku. Přemíra aktiv bude vytvářet vyšší náklady, a tím snižovat zisk. Naopak nedostatek aktiv způsobí, že se firma nebude moci věnovat všem svým záměrům a plánům, díky tomu pak přijde o některé své výnosy.</w:t>
      </w:r>
    </w:p>
    <w:p w:rsidR="00AE0C79" w:rsidRDefault="00A61E00" w:rsidP="00FA7B84">
      <w:pPr>
        <w:spacing w:line="276" w:lineRule="auto"/>
      </w:pPr>
      <w:r>
        <w:t>Hodnoty ukazatelů z této skupiny se vyjadřují buď jako počet obrátek za daný časový interval (zpravidla 1 rok), nebo jako průměrná doba obratu vyjádřená ve dnech.</w:t>
      </w:r>
    </w:p>
    <w:p w:rsidR="00AE0C79" w:rsidRDefault="00A61E00" w:rsidP="00FA7B84">
      <w:pPr>
        <w:pStyle w:val="Nadpis5"/>
        <w:spacing w:line="276" w:lineRule="auto"/>
      </w:pPr>
      <w:r>
        <w:lastRenderedPageBreak/>
        <w:t>Ukazatel obratu aktiv</w:t>
      </w:r>
    </w:p>
    <w:p w:rsidR="00AE0C79" w:rsidRDefault="00A61E00" w:rsidP="00FA7B84">
      <w:pPr>
        <w:spacing w:line="276" w:lineRule="auto"/>
      </w:pPr>
      <w:r>
        <w:t xml:space="preserve">Tento ukazatel měří, kolik Kč tržeb jsme vytvořili pomocí 1 Kč aktiv. Udává, kolikrát se suma aktiv obrátí za jeden rok. Ukazatel také měří kapitálovou intenzitu podniku, přičemž vyšší hodnota ukazatele značí vyšší kapitálovou intenzitu podniku (vysoké tržby dosažené s nízkými aktivy). </w:t>
      </w:r>
      <w:r>
        <w:rPr>
          <w:rStyle w:val="Znakapoznpodarou"/>
        </w:rPr>
        <w:footnoteReference w:id="30"/>
      </w:r>
    </w:p>
    <w:p w:rsidR="00AE0C79" w:rsidRDefault="00A61E00" w:rsidP="00FA7B84">
      <w:pPr>
        <w:spacing w:line="276" w:lineRule="auto"/>
        <w:rPr>
          <w:rFonts w:eastAsiaTheme="minorEastAsia"/>
        </w:rPr>
      </w:pPr>
      <m:oMathPara>
        <m:oMath>
          <m:r>
            <m:rPr>
              <m:sty m:val="p"/>
            </m:rPr>
            <w:rPr>
              <w:rFonts w:ascii="Cambria Math"/>
            </w:rPr>
            <m:t>Obrat aktiv=</m:t>
          </m:r>
          <m:f>
            <m:fPr>
              <m:ctrlPr>
                <w:rPr>
                  <w:rFonts w:ascii="Cambria Math" w:hAnsi="Cambria Math"/>
                </w:rPr>
              </m:ctrlPr>
            </m:fPr>
            <m:num>
              <m:r>
                <m:rPr>
                  <m:sty m:val="p"/>
                </m:rPr>
                <w:rPr>
                  <w:rFonts w:ascii="Cambria Math"/>
                </w:rPr>
                <m:t>tr</m:t>
              </m:r>
              <m:r>
                <m:rPr>
                  <m:sty m:val="p"/>
                </m:rPr>
                <w:rPr>
                  <w:rFonts w:ascii="Cambria Math"/>
                </w:rPr>
                <m:t>ž</m:t>
              </m:r>
              <m:r>
                <m:rPr>
                  <m:sty m:val="p"/>
                </m:rPr>
                <w:rPr>
                  <w:rFonts w:ascii="Cambria Math"/>
                </w:rPr>
                <m:t>by</m:t>
              </m:r>
            </m:num>
            <m:den>
              <m:r>
                <m:rPr>
                  <m:sty m:val="p"/>
                </m:rPr>
                <w:rPr>
                  <w:rFonts w:ascii="Cambria Math"/>
                </w:rPr>
                <m:t>aktiva</m:t>
              </m:r>
            </m:den>
          </m:f>
        </m:oMath>
      </m:oMathPara>
    </w:p>
    <w:p w:rsidR="00AE0C79" w:rsidRDefault="00A61E00" w:rsidP="00FA7B84">
      <w:pPr>
        <w:spacing w:line="276" w:lineRule="auto"/>
      </w:pPr>
      <w:r>
        <w:t>Sedláček říká, že pokud je zjištěný počet obrátek nižší, než oborový průměr, měla by být odprodána aktiva nebo zvýšeny tržby.</w:t>
      </w:r>
      <w:r>
        <w:rPr>
          <w:rStyle w:val="Znakapoznpodarou"/>
        </w:rPr>
        <w:footnoteReference w:id="31"/>
      </w:r>
    </w:p>
    <w:p w:rsidR="00AE0C79" w:rsidRDefault="00A61E00" w:rsidP="00FA7B84">
      <w:pPr>
        <w:pStyle w:val="Nadpis5"/>
        <w:spacing w:line="276" w:lineRule="auto"/>
        <w:rPr>
          <w:rFonts w:eastAsiaTheme="minorEastAsia"/>
        </w:rPr>
      </w:pPr>
      <w:r>
        <w:rPr>
          <w:rFonts w:eastAsiaTheme="minorEastAsia"/>
        </w:rPr>
        <w:t>Doba obratu zásob</w:t>
      </w:r>
    </w:p>
    <w:p w:rsidR="00AE0C79" w:rsidRDefault="00A61E00" w:rsidP="00FA7B84">
      <w:pPr>
        <w:spacing w:line="276" w:lineRule="auto"/>
      </w:pPr>
      <w:r>
        <w:t>Pomocí tohoto ukazatele zjišťujeme, jak dlouhou dobu jsou oběžná aktiva vázána ve formě zásob. Hodnota ukazatele je také indikátorem likvidity, udává totiž průměrný počet dnů, za které je podnik schopen přeměnit své zásoby v peněžní prostředky.</w:t>
      </w:r>
      <w:r>
        <w:rPr>
          <w:rStyle w:val="Znakapoznpodarou"/>
        </w:rPr>
        <w:footnoteReference w:id="32"/>
      </w:r>
      <w:r>
        <w:t xml:space="preserve"> Obecně platí, že nižší doba obratu zásob je lepší, neboť neváže podniková aktiva na dlouho dobu.</w:t>
      </w:r>
    </w:p>
    <w:p w:rsidR="00AE0C79" w:rsidRDefault="00A61E00" w:rsidP="00FA7B84">
      <w:pPr>
        <w:spacing w:line="276" w:lineRule="auto"/>
        <w:rPr>
          <w:rFonts w:eastAsiaTheme="minorEastAsia"/>
        </w:rPr>
      </w:pPr>
      <m:oMathPara>
        <m:oMath>
          <m:r>
            <m:rPr>
              <m:sty m:val="p"/>
            </m:rPr>
            <w:rPr>
              <w:rFonts w:ascii="Cambria Math"/>
            </w:rPr>
            <m:t>doba obratu z</m:t>
          </m:r>
          <m:r>
            <m:rPr>
              <m:sty m:val="p"/>
            </m:rPr>
            <w:rPr>
              <w:rFonts w:ascii="Cambria Math"/>
            </w:rPr>
            <m:t>á</m:t>
          </m:r>
          <m:r>
            <m:rPr>
              <m:sty m:val="p"/>
            </m:rPr>
            <w:rPr>
              <w:rFonts w:ascii="Cambria Math"/>
            </w:rPr>
            <m:t>sob=</m:t>
          </m:r>
          <m:f>
            <m:fPr>
              <m:ctrlPr>
                <w:rPr>
                  <w:rFonts w:ascii="Cambria Math" w:hAnsi="Cambria Math"/>
                </w:rPr>
              </m:ctrlPr>
            </m:fPr>
            <m:num>
              <m:r>
                <m:rPr>
                  <m:sty m:val="p"/>
                </m:rPr>
                <w:rPr>
                  <w:rFonts w:ascii="Cambria Math"/>
                </w:rPr>
                <m:t>z</m:t>
              </m:r>
              <m:r>
                <m:rPr>
                  <m:sty m:val="p"/>
                </m:rPr>
                <w:rPr>
                  <w:rFonts w:ascii="Cambria Math"/>
                </w:rPr>
                <m:t>á</m:t>
              </m:r>
              <m:r>
                <m:rPr>
                  <m:sty m:val="p"/>
                </m:rPr>
                <w:rPr>
                  <w:rFonts w:ascii="Cambria Math"/>
                </w:rPr>
                <m:t>soby</m:t>
              </m:r>
            </m:num>
            <m:den>
              <m:r>
                <m:rPr>
                  <m:sty m:val="p"/>
                </m:rPr>
                <w:rPr>
                  <w:rFonts w:ascii="Cambria Math"/>
                </w:rPr>
                <m:t>denn</m:t>
              </m:r>
              <m:r>
                <m:rPr>
                  <m:sty m:val="p"/>
                </m:rPr>
                <w:rPr>
                  <w:rFonts w:ascii="Cambria Math"/>
                </w:rPr>
                <m:t>í</m:t>
              </m:r>
              <m:r>
                <m:rPr>
                  <m:sty m:val="p"/>
                </m:rPr>
                <w:rPr>
                  <w:rFonts w:ascii="Cambria Math"/>
                </w:rPr>
                <m:t xml:space="preserve"> tr</m:t>
              </m:r>
              <m:r>
                <m:rPr>
                  <m:sty m:val="p"/>
                </m:rPr>
                <w:rPr>
                  <w:rFonts w:ascii="Cambria Math"/>
                </w:rPr>
                <m:t>ž</m:t>
              </m:r>
              <m:r>
                <m:rPr>
                  <m:sty m:val="p"/>
                </m:rPr>
                <w:rPr>
                  <w:rFonts w:ascii="Cambria Math"/>
                </w:rPr>
                <m:t>by</m:t>
              </m:r>
            </m:den>
          </m:f>
        </m:oMath>
      </m:oMathPara>
    </w:p>
    <w:p w:rsidR="00AE0C79" w:rsidRDefault="00A61E00" w:rsidP="00FA7B84">
      <w:pPr>
        <w:pStyle w:val="Nadpis5"/>
        <w:spacing w:line="276" w:lineRule="auto"/>
        <w:rPr>
          <w:rFonts w:eastAsiaTheme="minorEastAsia"/>
        </w:rPr>
      </w:pPr>
      <w:r>
        <w:rPr>
          <w:rFonts w:eastAsiaTheme="minorEastAsia"/>
        </w:rPr>
        <w:t>Doba obratu pohledávek</w:t>
      </w:r>
    </w:p>
    <w:p w:rsidR="00AE0C79" w:rsidRDefault="00A61E00" w:rsidP="00FA7B84">
      <w:pPr>
        <w:spacing w:line="276" w:lineRule="auto"/>
      </w:pPr>
      <w:r>
        <w:t>Ukazatel doby obratu pohledávek měří dobu, po kterou je majetek podniku zadržován ve formě pohledávek. Ukazuje tak průměrnou dobu, za kterou se podniku podaří získat peněžní prostředky z předchozích tržeb. Podle hodnoty tohoto ukazatele také zjistíme, jak odběratelé dodržují doby splatnosti faktur podniku a zdali nedochází k přílišným prodlevám ve splácení.</w:t>
      </w:r>
      <w:r>
        <w:rPr>
          <w:rStyle w:val="Znakapoznpodarou"/>
        </w:rPr>
        <w:footnoteReference w:id="33"/>
      </w:r>
    </w:p>
    <w:p w:rsidR="00AE0C79" w:rsidRDefault="00A61E00" w:rsidP="00FA7B84">
      <w:pPr>
        <w:spacing w:line="276" w:lineRule="auto"/>
        <w:rPr>
          <w:rFonts w:eastAsiaTheme="minorEastAsia"/>
        </w:rPr>
      </w:pPr>
      <m:oMathPara>
        <m:oMath>
          <m:r>
            <m:rPr>
              <m:sty m:val="p"/>
            </m:rPr>
            <w:rPr>
              <w:rFonts w:ascii="Cambria Math"/>
            </w:rPr>
            <m:t>doba obratu pohled</m:t>
          </m:r>
          <m:r>
            <m:rPr>
              <m:sty m:val="p"/>
            </m:rPr>
            <w:rPr>
              <w:rFonts w:ascii="Cambria Math"/>
            </w:rPr>
            <m:t>á</m:t>
          </m:r>
          <m:r>
            <m:rPr>
              <m:sty m:val="p"/>
            </m:rPr>
            <w:rPr>
              <w:rFonts w:ascii="Cambria Math"/>
            </w:rPr>
            <m:t>vek=</m:t>
          </m:r>
          <m:f>
            <m:fPr>
              <m:ctrlPr>
                <w:rPr>
                  <w:rFonts w:ascii="Cambria Math" w:hAnsi="Cambria Math"/>
                </w:rPr>
              </m:ctrlPr>
            </m:fPr>
            <m:num>
              <m:r>
                <m:rPr>
                  <m:sty m:val="p"/>
                </m:rPr>
                <w:rPr>
                  <w:rFonts w:ascii="Cambria Math"/>
                </w:rPr>
                <m:t>kr</m:t>
              </m:r>
              <m:r>
                <m:rPr>
                  <m:sty m:val="p"/>
                </m:rPr>
                <w:rPr>
                  <w:rFonts w:ascii="Cambria Math"/>
                </w:rPr>
                <m:t>á</m:t>
              </m:r>
              <m:r>
                <m:rPr>
                  <m:sty m:val="p"/>
                </m:rPr>
                <w:rPr>
                  <w:rFonts w:ascii="Cambria Math"/>
                </w:rPr>
                <m:t>tkodob</m:t>
              </m:r>
              <m:r>
                <m:rPr>
                  <m:sty m:val="p"/>
                </m:rPr>
                <w:rPr>
                  <w:rFonts w:ascii="Cambria Math"/>
                </w:rPr>
                <m:t>é</m:t>
              </m:r>
              <m:r>
                <m:rPr>
                  <m:sty m:val="p"/>
                </m:rPr>
                <w:rPr>
                  <w:rFonts w:ascii="Cambria Math"/>
                </w:rPr>
                <m:t xml:space="preserve"> pohled</m:t>
              </m:r>
              <m:r>
                <m:rPr>
                  <m:sty m:val="p"/>
                </m:rPr>
                <w:rPr>
                  <w:rFonts w:ascii="Cambria Math"/>
                </w:rPr>
                <m:t>á</m:t>
              </m:r>
              <m:r>
                <m:rPr>
                  <m:sty m:val="p"/>
                </m:rPr>
                <w:rPr>
                  <w:rFonts w:ascii="Cambria Math"/>
                </w:rPr>
                <m:t>vky</m:t>
              </m:r>
            </m:num>
            <m:den>
              <m:r>
                <m:rPr>
                  <m:sty m:val="p"/>
                </m:rPr>
                <w:rPr>
                  <w:rFonts w:ascii="Cambria Math"/>
                </w:rPr>
                <m:t>denn</m:t>
              </m:r>
              <m:r>
                <m:rPr>
                  <m:sty m:val="p"/>
                </m:rPr>
                <w:rPr>
                  <w:rFonts w:ascii="Cambria Math"/>
                </w:rPr>
                <m:t>í</m:t>
              </m:r>
              <m:r>
                <m:rPr>
                  <m:sty m:val="p"/>
                </m:rPr>
                <w:rPr>
                  <w:rFonts w:ascii="Cambria Math"/>
                </w:rPr>
                <m:t xml:space="preserve"> tr</m:t>
              </m:r>
              <m:r>
                <m:rPr>
                  <m:sty m:val="p"/>
                </m:rPr>
                <w:rPr>
                  <w:rFonts w:ascii="Cambria Math"/>
                </w:rPr>
                <m:t>ž</m:t>
              </m:r>
              <m:r>
                <m:rPr>
                  <m:sty m:val="p"/>
                </m:rPr>
                <w:rPr>
                  <w:rFonts w:ascii="Cambria Math"/>
                </w:rPr>
                <m:t>by</m:t>
              </m:r>
            </m:den>
          </m:f>
        </m:oMath>
      </m:oMathPara>
    </w:p>
    <w:p w:rsidR="00AE0C79" w:rsidRDefault="00A61E00" w:rsidP="00FA7B84">
      <w:pPr>
        <w:pStyle w:val="Nadpis5"/>
        <w:spacing w:line="276" w:lineRule="auto"/>
        <w:rPr>
          <w:rFonts w:eastAsiaTheme="minorEastAsia"/>
        </w:rPr>
      </w:pPr>
      <w:r>
        <w:rPr>
          <w:rFonts w:eastAsiaTheme="minorEastAsia"/>
        </w:rPr>
        <w:t>Doba obratu závazků</w:t>
      </w:r>
    </w:p>
    <w:p w:rsidR="00AE0C79" w:rsidRDefault="00A61E00" w:rsidP="00FA7B84">
      <w:pPr>
        <w:spacing w:line="276" w:lineRule="auto"/>
      </w:pPr>
      <w:r>
        <w:t xml:space="preserve">Zatímco doba obratu pohledávek ukazovala platební morálku odběratelů podniku, ukazatel doby obraty závazků naopak působí jako měřítko platební morálky sledovaného podniku vůči svým dodavatelům. Ukazatel může být velmi užitečný i pro věřitele, pro které představuje informaci o tom, jak kvalitně podnik dodržuje své závazky a jestli nedochází ke zbytečným prodlevám v placení. </w:t>
      </w:r>
      <w:r>
        <w:rPr>
          <w:rStyle w:val="Znakapoznpodarou"/>
        </w:rPr>
        <w:footnoteReference w:id="34"/>
      </w:r>
    </w:p>
    <w:p w:rsidR="00AE0C79" w:rsidRDefault="00A61E00" w:rsidP="00FA7B84">
      <w:pPr>
        <w:spacing w:line="276" w:lineRule="auto"/>
      </w:pPr>
      <w:r>
        <w:lastRenderedPageBreak/>
        <w:t>Hodnota ukazatele představuje dobu, za jakou je v průměru splacena faktura od dodavatelů. Obecně můžeme říci, že doba obratu závazků by měla být delší než doba obratu pohledávek, aby nebyla narušena finanční rovnováha firmy.</w:t>
      </w:r>
      <w:r>
        <w:rPr>
          <w:rStyle w:val="Znakapoznpodarou"/>
        </w:rPr>
        <w:footnoteReference w:id="35"/>
      </w:r>
    </w:p>
    <w:p w:rsidR="00AE0C79" w:rsidRDefault="00A61E00" w:rsidP="00FA7B84">
      <w:pPr>
        <w:spacing w:line="276" w:lineRule="auto"/>
      </w:pPr>
      <m:oMathPara>
        <m:oMath>
          <m:r>
            <m:rPr>
              <m:sty m:val="p"/>
            </m:rPr>
            <w:rPr>
              <w:rFonts w:ascii="Cambria Math"/>
            </w:rPr>
            <m:t>doba obratu z</m:t>
          </m:r>
          <m:r>
            <m:rPr>
              <m:sty m:val="p"/>
            </m:rPr>
            <w:rPr>
              <w:rFonts w:ascii="Cambria Math"/>
            </w:rPr>
            <m:t>á</m:t>
          </m:r>
          <m:r>
            <m:rPr>
              <m:sty m:val="p"/>
            </m:rPr>
            <w:rPr>
              <w:rFonts w:ascii="Cambria Math"/>
            </w:rPr>
            <m:t>vazk</m:t>
          </m:r>
          <m:r>
            <m:rPr>
              <m:sty m:val="p"/>
            </m:rPr>
            <w:rPr>
              <w:rFonts w:ascii="Cambria Math"/>
            </w:rPr>
            <m:t>ů</m:t>
          </m:r>
          <m:r>
            <m:rPr>
              <m:sty m:val="p"/>
            </m:rPr>
            <w:rPr>
              <w:rFonts w:ascii="Cambria Math"/>
            </w:rPr>
            <m:t>=</m:t>
          </m:r>
          <m:f>
            <m:fPr>
              <m:ctrlPr>
                <w:rPr>
                  <w:rFonts w:ascii="Cambria Math" w:hAnsi="Cambria Math"/>
                </w:rPr>
              </m:ctrlPr>
            </m:fPr>
            <m:num>
              <m:r>
                <m:rPr>
                  <m:sty m:val="p"/>
                </m:rPr>
                <w:rPr>
                  <w:rFonts w:ascii="Cambria Math"/>
                </w:rPr>
                <m:t>kr</m:t>
              </m:r>
              <m:r>
                <m:rPr>
                  <m:sty m:val="p"/>
                </m:rPr>
                <w:rPr>
                  <w:rFonts w:ascii="Cambria Math"/>
                </w:rPr>
                <m:t>á</m:t>
              </m:r>
              <m:r>
                <m:rPr>
                  <m:sty m:val="p"/>
                </m:rPr>
                <w:rPr>
                  <w:rFonts w:ascii="Cambria Math"/>
                </w:rPr>
                <m:t>tkodob</m:t>
              </m:r>
              <m:r>
                <m:rPr>
                  <m:sty m:val="p"/>
                </m:rPr>
                <w:rPr>
                  <w:rFonts w:ascii="Cambria Math"/>
                </w:rPr>
                <m:t>é</m:t>
              </m:r>
              <m:r>
                <m:rPr>
                  <m:sty m:val="p"/>
                </m:rPr>
                <w:rPr>
                  <w:rFonts w:ascii="Cambria Math"/>
                </w:rPr>
                <m:t xml:space="preserve"> z</m:t>
              </m:r>
              <m:r>
                <m:rPr>
                  <m:sty m:val="p"/>
                </m:rPr>
                <w:rPr>
                  <w:rFonts w:ascii="Cambria Math"/>
                </w:rPr>
                <m:t>á</m:t>
              </m:r>
              <m:r>
                <m:rPr>
                  <m:sty m:val="p"/>
                </m:rPr>
                <w:rPr>
                  <w:rFonts w:ascii="Cambria Math"/>
                </w:rPr>
                <m:t>vazky</m:t>
              </m:r>
            </m:num>
            <m:den>
              <m:r>
                <m:rPr>
                  <m:sty m:val="p"/>
                </m:rPr>
                <w:rPr>
                  <w:rFonts w:ascii="Cambria Math"/>
                </w:rPr>
                <m:t>denn</m:t>
              </m:r>
              <m:r>
                <m:rPr>
                  <m:sty m:val="p"/>
                </m:rPr>
                <w:rPr>
                  <w:rFonts w:ascii="Cambria Math"/>
                </w:rPr>
                <m:t>í</m:t>
              </m:r>
              <m:r>
                <m:rPr>
                  <m:sty m:val="p"/>
                </m:rPr>
                <w:rPr>
                  <w:rFonts w:ascii="Cambria Math"/>
                </w:rPr>
                <m:t xml:space="preserve"> tr</m:t>
              </m:r>
              <m:r>
                <m:rPr>
                  <m:sty m:val="p"/>
                </m:rPr>
                <w:rPr>
                  <w:rFonts w:ascii="Cambria Math"/>
                </w:rPr>
                <m:t>ž</m:t>
              </m:r>
              <m:r>
                <m:rPr>
                  <m:sty m:val="p"/>
                </m:rPr>
                <w:rPr>
                  <w:rFonts w:ascii="Cambria Math"/>
                </w:rPr>
                <m:t>by</m:t>
              </m:r>
            </m:den>
          </m:f>
        </m:oMath>
      </m:oMathPara>
    </w:p>
    <w:p w:rsidR="00AE0C79" w:rsidRDefault="00A61E00" w:rsidP="00FA7B84">
      <w:pPr>
        <w:pStyle w:val="Nadpis3"/>
        <w:spacing w:line="276" w:lineRule="auto"/>
      </w:pPr>
      <w:bookmarkStart w:id="21" w:name="_Toc324932890"/>
      <w:r>
        <w:t>Ukazatele zadluženosti</w:t>
      </w:r>
      <w:bookmarkEnd w:id="21"/>
    </w:p>
    <w:p w:rsidR="00AE0C79" w:rsidRDefault="00A61E00" w:rsidP="00FA7B84">
      <w:pPr>
        <w:spacing w:line="276" w:lineRule="auto"/>
      </w:pPr>
      <w:r>
        <w:t>Ukazatele zadluženosti poměřují míru využití cizího a vlastního kapitálu ve financování podniku. S použitím cizího kapitálu v podniku jsou spojeny následující předpoklady</w:t>
      </w:r>
      <w:r>
        <w:rPr>
          <w:rStyle w:val="Znakapoznpodarou"/>
        </w:rPr>
        <w:footnoteReference w:id="36"/>
      </w:r>
      <w:r>
        <w:t>:</w:t>
      </w:r>
    </w:p>
    <w:p w:rsidR="00AE0C79" w:rsidRDefault="00A61E00" w:rsidP="00FA7B84">
      <w:pPr>
        <w:pStyle w:val="Odstavecseseznamem"/>
        <w:numPr>
          <w:ilvl w:val="0"/>
          <w:numId w:val="20"/>
        </w:numPr>
        <w:spacing w:line="276" w:lineRule="auto"/>
      </w:pPr>
      <w:r>
        <w:t>Cizí kapitál je levnější než vlastní kapitál</w:t>
      </w:r>
    </w:p>
    <w:p w:rsidR="00AE0C79" w:rsidRDefault="00A61E00" w:rsidP="00FA7B84">
      <w:pPr>
        <w:pStyle w:val="Odstavecseseznamem"/>
        <w:numPr>
          <w:ilvl w:val="0"/>
          <w:numId w:val="20"/>
        </w:numPr>
        <w:spacing w:line="276" w:lineRule="auto"/>
      </w:pPr>
      <w:r>
        <w:t>Požadovaná úroková míra věřitelů roste s růstem zadluženosti podniku</w:t>
      </w:r>
    </w:p>
    <w:p w:rsidR="00AE0C79" w:rsidRDefault="00A61E00" w:rsidP="00FA7B84">
      <w:pPr>
        <w:spacing w:line="276" w:lineRule="auto"/>
      </w:pPr>
      <w:r>
        <w:t>Z těchto předpokladů vyplývá, že použití cizího kapitálu v podniku je žádoucí, ale jeho přílišné zapojení ve financování sebou přináší určitá rizika. Tyto rizika jsou spojena především se sníženou schopností podniku splácet své vysoké závazky a úroky, proto je důležité držet úroveň použití cizího kapitálu na přijatelné úrovni.</w:t>
      </w:r>
    </w:p>
    <w:p w:rsidR="00AE0C79" w:rsidRDefault="00A61E00" w:rsidP="00FA7B84">
      <w:pPr>
        <w:pStyle w:val="Nadpis5"/>
        <w:spacing w:line="276" w:lineRule="auto"/>
      </w:pPr>
      <w:r>
        <w:t>Míra celkové zadluženosti</w:t>
      </w:r>
    </w:p>
    <w:p w:rsidR="00AE0C79" w:rsidRDefault="00A61E00" w:rsidP="00FA7B84">
      <w:pPr>
        <w:spacing w:line="276" w:lineRule="auto"/>
      </w:pPr>
      <w:r>
        <w:t>Platí, že čím vyšší je hodnota tohoto ukazatele, tím vyšší je riziko věřitelů, že v případě platební neschopnosti přijdou o svůj vložený majetek, proto se míra celkové zadluženosti také někdy označuje jako ukazatel věřitelského rizika.</w:t>
      </w:r>
      <w:r>
        <w:rPr>
          <w:rStyle w:val="Znakapoznpodarou"/>
        </w:rPr>
        <w:footnoteReference w:id="37"/>
      </w:r>
      <w:r>
        <w:t xml:space="preserve"> Ukazatel říká, jaké procento z celkových aktiv podniku bylo zaplaceno z cizích zdrojů. Věřitelé preferují nízkou míru zadluženosti. Pokud je hodnota ukazatele vyšší než oborový průměr, bude mít společnost problémy se získáním dalšího kapitálu. Věřitelé budou váhat, zda půjčit firmě další peníze, a případně budou vyžadovat vyšší úrok.</w:t>
      </w:r>
      <w:r>
        <w:rPr>
          <w:rStyle w:val="Znakapoznpodarou"/>
        </w:rPr>
        <w:footnoteReference w:id="38"/>
      </w:r>
    </w:p>
    <w:p w:rsidR="00AE0C79" w:rsidRDefault="00A61E00" w:rsidP="00FA7B84">
      <w:pPr>
        <w:spacing w:line="276" w:lineRule="auto"/>
        <w:rPr>
          <w:rFonts w:eastAsiaTheme="minorEastAsia"/>
        </w:rPr>
      </w:pPr>
      <m:oMathPara>
        <m:oMath>
          <m:r>
            <m:rPr>
              <m:sty m:val="p"/>
            </m:rPr>
            <w:rPr>
              <w:rFonts w:ascii="Cambria Math"/>
            </w:rPr>
            <m:t>m</m:t>
          </m:r>
          <m:r>
            <m:rPr>
              <m:sty m:val="p"/>
            </m:rPr>
            <w:rPr>
              <w:rFonts w:ascii="Cambria Math"/>
            </w:rPr>
            <m:t>í</m:t>
          </m:r>
          <m:r>
            <m:rPr>
              <m:sty m:val="p"/>
            </m:rPr>
            <w:rPr>
              <w:rFonts w:ascii="Cambria Math"/>
            </w:rPr>
            <m:t>ra celkov</m:t>
          </m:r>
          <m:r>
            <m:rPr>
              <m:sty m:val="p"/>
            </m:rPr>
            <w:rPr>
              <w:rFonts w:ascii="Cambria Math"/>
            </w:rPr>
            <m:t>é</m:t>
          </m:r>
          <m:r>
            <m:rPr>
              <m:sty m:val="p"/>
            </m:rPr>
            <w:rPr>
              <w:rFonts w:ascii="Cambria Math"/>
            </w:rPr>
            <m:t xml:space="preserve"> zadlu</m:t>
          </m:r>
          <m:r>
            <m:rPr>
              <m:sty m:val="p"/>
            </m:rPr>
            <w:rPr>
              <w:rFonts w:ascii="Cambria Math"/>
            </w:rPr>
            <m:t>ž</m:t>
          </m:r>
          <m:r>
            <m:rPr>
              <m:sty m:val="p"/>
            </m:rPr>
            <w:rPr>
              <w:rFonts w:ascii="Cambria Math"/>
            </w:rPr>
            <m:t>enosti=</m:t>
          </m:r>
          <m:f>
            <m:fPr>
              <m:ctrlPr>
                <w:rPr>
                  <w:rFonts w:ascii="Cambria Math" w:hAnsi="Cambria Math"/>
                </w:rPr>
              </m:ctrlPr>
            </m:fPr>
            <m:num>
              <m:r>
                <m:rPr>
                  <m:sty m:val="p"/>
                </m:rPr>
                <w:rPr>
                  <w:rFonts w:ascii="Cambria Math"/>
                </w:rPr>
                <m:t>ciz</m:t>
              </m:r>
              <m:r>
                <m:rPr>
                  <m:sty m:val="p"/>
                </m:rPr>
                <w:rPr>
                  <w:rFonts w:ascii="Cambria Math"/>
                </w:rPr>
                <m:t>í</m:t>
              </m:r>
              <m:r>
                <m:rPr>
                  <m:sty m:val="p"/>
                </m:rPr>
                <w:rPr>
                  <w:rFonts w:ascii="Cambria Math"/>
                </w:rPr>
                <m:t xml:space="preserve"> zdroje</m:t>
              </m:r>
            </m:num>
            <m:den>
              <m:r>
                <m:rPr>
                  <m:sty m:val="p"/>
                </m:rPr>
                <w:rPr>
                  <w:rFonts w:ascii="Cambria Math"/>
                </w:rPr>
                <m:t>aktiva</m:t>
              </m:r>
            </m:den>
          </m:f>
        </m:oMath>
      </m:oMathPara>
    </w:p>
    <w:p w:rsidR="00AE0C79" w:rsidRDefault="00A61E00" w:rsidP="00FA7B84">
      <w:pPr>
        <w:pStyle w:val="Nadpis5"/>
        <w:spacing w:line="276" w:lineRule="auto"/>
        <w:rPr>
          <w:rFonts w:eastAsiaTheme="minorEastAsia"/>
        </w:rPr>
      </w:pPr>
      <w:r>
        <w:rPr>
          <w:rFonts w:eastAsiaTheme="minorEastAsia"/>
        </w:rPr>
        <w:t>Míra zadluženosti vlastního kapitálu</w:t>
      </w:r>
    </w:p>
    <w:p w:rsidR="00AE0C79" w:rsidRDefault="00A61E00" w:rsidP="00FA7B84">
      <w:pPr>
        <w:spacing w:line="276" w:lineRule="auto"/>
      </w:pPr>
      <w:r>
        <w:t>Vyjadřuje poměr mezi cizími zdroji a vlastním kapitálem podniku. Vyšší hodnota ukazatele znamená vyšší poměr cizích zdrojů v podniku. Hodnota říká, kolikrát cizí zdroje převyšují vlastní kapitál podniku.</w:t>
      </w:r>
      <w:r>
        <w:rPr>
          <w:rStyle w:val="Znakapoznpodarou"/>
        </w:rPr>
        <w:footnoteReference w:id="39"/>
      </w:r>
    </w:p>
    <w:p w:rsidR="00AE0C79" w:rsidRDefault="00A61E00" w:rsidP="00FA7B84">
      <w:pPr>
        <w:spacing w:line="276" w:lineRule="auto"/>
        <w:rPr>
          <w:rFonts w:eastAsiaTheme="minorEastAsia"/>
        </w:rPr>
      </w:pPr>
      <m:oMathPara>
        <m:oMath>
          <m:r>
            <m:rPr>
              <m:sty m:val="p"/>
            </m:rPr>
            <w:rPr>
              <w:rFonts w:ascii="Cambria Math"/>
            </w:rPr>
            <m:t>m</m:t>
          </m:r>
          <m:r>
            <m:rPr>
              <m:sty m:val="p"/>
            </m:rPr>
            <w:rPr>
              <w:rFonts w:ascii="Cambria Math"/>
            </w:rPr>
            <m:t>í</m:t>
          </m:r>
          <m:r>
            <m:rPr>
              <m:sty m:val="p"/>
            </m:rPr>
            <w:rPr>
              <w:rFonts w:ascii="Cambria Math"/>
            </w:rPr>
            <m:t>ra zadlu</m:t>
          </m:r>
          <m:r>
            <m:rPr>
              <m:sty m:val="p"/>
            </m:rPr>
            <w:rPr>
              <w:rFonts w:ascii="Cambria Math"/>
            </w:rPr>
            <m:t>ž</m:t>
          </m:r>
          <m:r>
            <m:rPr>
              <m:sty m:val="p"/>
            </m:rPr>
            <w:rPr>
              <w:rFonts w:ascii="Cambria Math"/>
            </w:rPr>
            <m:t>enosti vlastn</m:t>
          </m:r>
          <m:r>
            <m:rPr>
              <m:sty m:val="p"/>
            </m:rPr>
            <w:rPr>
              <w:rFonts w:ascii="Cambria Math"/>
            </w:rPr>
            <m:t>í</m:t>
          </m:r>
          <m:r>
            <m:rPr>
              <m:sty m:val="p"/>
            </m:rPr>
            <w:rPr>
              <w:rFonts w:ascii="Cambria Math"/>
            </w:rPr>
            <m:t>ho kapit</m:t>
          </m:r>
          <m:r>
            <m:rPr>
              <m:sty m:val="p"/>
            </m:rPr>
            <w:rPr>
              <w:rFonts w:ascii="Cambria Math"/>
            </w:rPr>
            <m:t>á</m:t>
          </m:r>
          <m:r>
            <m:rPr>
              <m:sty m:val="p"/>
            </m:rPr>
            <w:rPr>
              <w:rFonts w:ascii="Cambria Math"/>
            </w:rPr>
            <m:t>lu=</m:t>
          </m:r>
          <m:f>
            <m:fPr>
              <m:ctrlPr>
                <w:rPr>
                  <w:rFonts w:ascii="Cambria Math" w:hAnsi="Cambria Math"/>
                </w:rPr>
              </m:ctrlPr>
            </m:fPr>
            <m:num>
              <m:r>
                <m:rPr>
                  <m:sty m:val="p"/>
                </m:rPr>
                <w:rPr>
                  <w:rFonts w:ascii="Cambria Math"/>
                </w:rPr>
                <m:t>ciz</m:t>
              </m:r>
              <m:r>
                <m:rPr>
                  <m:sty m:val="p"/>
                </m:rPr>
                <w:rPr>
                  <w:rFonts w:ascii="Cambria Math"/>
                </w:rPr>
                <m:t>í</m:t>
              </m:r>
              <m:r>
                <m:rPr>
                  <m:sty m:val="p"/>
                </m:rPr>
                <w:rPr>
                  <w:rFonts w:ascii="Cambria Math"/>
                </w:rPr>
                <m:t xml:space="preserve"> zdroje</m:t>
              </m:r>
            </m:num>
            <m:den>
              <m:r>
                <m:rPr>
                  <m:sty m:val="p"/>
                </m:rPr>
                <w:rPr>
                  <w:rFonts w:ascii="Cambria Math"/>
                </w:rPr>
                <m:t>vlastn</m:t>
              </m:r>
              <m:r>
                <m:rPr>
                  <m:sty m:val="p"/>
                </m:rPr>
                <w:rPr>
                  <w:rFonts w:ascii="Cambria Math"/>
                </w:rPr>
                <m:t>í</m:t>
              </m:r>
              <m:r>
                <m:rPr>
                  <m:sty m:val="p"/>
                </m:rPr>
                <w:rPr>
                  <w:rFonts w:ascii="Cambria Math"/>
                </w:rPr>
                <m:t xml:space="preserve"> kapit</m:t>
              </m:r>
              <m:r>
                <m:rPr>
                  <m:sty m:val="p"/>
                </m:rPr>
                <w:rPr>
                  <w:rFonts w:ascii="Cambria Math"/>
                </w:rPr>
                <m:t>á</m:t>
              </m:r>
              <m:r>
                <m:rPr>
                  <m:sty m:val="p"/>
                </m:rPr>
                <w:rPr>
                  <w:rFonts w:ascii="Cambria Math"/>
                </w:rPr>
                <m:t>l</m:t>
              </m:r>
            </m:den>
          </m:f>
        </m:oMath>
      </m:oMathPara>
    </w:p>
    <w:p w:rsidR="00AE0C79" w:rsidRDefault="00A61E00" w:rsidP="00FA7B84">
      <w:pPr>
        <w:pStyle w:val="Nadpis5"/>
        <w:spacing w:line="276" w:lineRule="auto"/>
        <w:rPr>
          <w:rFonts w:eastAsiaTheme="minorEastAsia"/>
        </w:rPr>
      </w:pPr>
      <w:r>
        <w:rPr>
          <w:rFonts w:eastAsiaTheme="minorEastAsia"/>
        </w:rPr>
        <w:lastRenderedPageBreak/>
        <w:t>Úrokové krytí</w:t>
      </w:r>
    </w:p>
    <w:p w:rsidR="00AE0C79" w:rsidRDefault="00A61E00" w:rsidP="00FA7B84">
      <w:pPr>
        <w:spacing w:line="276" w:lineRule="auto"/>
      </w:pPr>
      <w:r>
        <w:t>Vyjadřuje poměr mezi zisky podniku a jeho úroky. Velikost tohoto poměru ukazuje, jak je podnik schopen splácet úroky ze svých půjček. Pokud je hodnota ukazatele rovna 1, znamená to, že na zaplacení úroků bude podnik potřebovat veškeré své zisky a na akcionáře nic nezbude. Nižší hodnota ukazatele pak znamená, že podnik není schopen svými zisky financovat úroky ze svých půjček.</w:t>
      </w:r>
      <w:r>
        <w:rPr>
          <w:rStyle w:val="Znakapoznpodarou"/>
        </w:rPr>
        <w:footnoteReference w:id="40"/>
      </w:r>
      <w:r>
        <w:t xml:space="preserve"> V čitateli se uvádí EBIT proto, že je složený jak z výsledku hospodaření před zdaněním, tak z nákladových úroků. Ukazatel úrokového krytí se totiž snaží ukázat poměr mezi celkovými prostředky, které mohou být použitý k zaplacení nákladových úroků podniku. Tyto celkové prostředky se skládají z již zaplacených úroků a nezdaněného výsledku hospodaření, který se používá proto, že nákladové úroky jsou až na výjimky vždy daňově uznatelné.</w:t>
      </w:r>
      <w:r>
        <w:rPr>
          <w:rStyle w:val="Znakapoznpodarou"/>
        </w:rPr>
        <w:footnoteReference w:id="41"/>
      </w:r>
    </w:p>
    <w:p w:rsidR="00AE0C79" w:rsidRDefault="00A61E00" w:rsidP="00FA7B84">
      <w:pPr>
        <w:spacing w:line="276" w:lineRule="auto"/>
        <w:rPr>
          <w:rFonts w:eastAsiaTheme="minorEastAsia"/>
        </w:rPr>
      </w:pPr>
      <m:oMathPara>
        <m:oMath>
          <m:r>
            <m:rPr>
              <m:sty m:val="p"/>
            </m:rPr>
            <w:rPr>
              <w:rFonts w:ascii="Cambria Math"/>
            </w:rPr>
            <m:t>ú</m:t>
          </m:r>
          <m:r>
            <m:rPr>
              <m:sty m:val="p"/>
            </m:rPr>
            <w:rPr>
              <w:rFonts w:ascii="Cambria Math"/>
            </w:rPr>
            <m:t>rokov</m:t>
          </m:r>
          <m:r>
            <m:rPr>
              <m:sty m:val="p"/>
            </m:rPr>
            <w:rPr>
              <w:rFonts w:ascii="Cambria Math"/>
            </w:rPr>
            <m:t>é</m:t>
          </m:r>
          <m:r>
            <m:rPr>
              <m:sty m:val="p"/>
            </m:rPr>
            <w:rPr>
              <w:rFonts w:ascii="Cambria Math"/>
            </w:rPr>
            <m:t xml:space="preserve"> kryt</m:t>
          </m:r>
          <m:r>
            <m:rPr>
              <m:sty m:val="p"/>
            </m:rPr>
            <w:rPr>
              <w:rFonts w:ascii="Cambria Math"/>
            </w:rPr>
            <m:t>í</m:t>
          </m:r>
          <m:r>
            <m:rPr>
              <m:sty m:val="p"/>
            </m:rPr>
            <w:rPr>
              <w:rFonts w:ascii="Cambria Math"/>
            </w:rPr>
            <m:t>=</m:t>
          </m:r>
          <m:f>
            <m:fPr>
              <m:ctrlPr>
                <w:rPr>
                  <w:rFonts w:ascii="Cambria Math" w:hAnsi="Cambria Math"/>
                </w:rPr>
              </m:ctrlPr>
            </m:fPr>
            <m:num>
              <m:r>
                <m:rPr>
                  <m:sty m:val="p"/>
                </m:rPr>
                <w:rPr>
                  <w:rFonts w:ascii="Cambria Math"/>
                </w:rPr>
                <m:t>EBIT</m:t>
              </m:r>
            </m:num>
            <m:den>
              <m:r>
                <m:rPr>
                  <m:sty m:val="p"/>
                </m:rPr>
                <w:rPr>
                  <w:rFonts w:ascii="Cambria Math"/>
                </w:rPr>
                <m:t>n</m:t>
              </m:r>
              <m:r>
                <m:rPr>
                  <m:sty m:val="p"/>
                </m:rPr>
                <w:rPr>
                  <w:rFonts w:ascii="Cambria Math"/>
                </w:rPr>
                <m:t>á</m:t>
              </m:r>
              <m:r>
                <m:rPr>
                  <m:sty m:val="p"/>
                </m:rPr>
                <w:rPr>
                  <w:rFonts w:ascii="Cambria Math"/>
                </w:rPr>
                <m:t>kladov</m:t>
              </m:r>
              <m:r>
                <m:rPr>
                  <m:sty m:val="p"/>
                </m:rPr>
                <w:rPr>
                  <w:rFonts w:ascii="Cambria Math"/>
                </w:rPr>
                <m:t>é</m:t>
              </m:r>
              <m:r>
                <m:rPr>
                  <m:sty m:val="p"/>
                </m:rPr>
                <w:rPr>
                  <w:rFonts w:ascii="Cambria Math"/>
                </w:rPr>
                <m:t xml:space="preserve"> </m:t>
              </m:r>
              <m:r>
                <m:rPr>
                  <m:sty m:val="p"/>
                </m:rPr>
                <w:rPr>
                  <w:rFonts w:ascii="Cambria Math"/>
                </w:rPr>
                <m:t>ú</m:t>
              </m:r>
              <m:r>
                <m:rPr>
                  <m:sty m:val="p"/>
                </m:rPr>
                <w:rPr>
                  <w:rFonts w:ascii="Cambria Math"/>
                </w:rPr>
                <m:t>roky</m:t>
              </m:r>
            </m:den>
          </m:f>
        </m:oMath>
      </m:oMathPara>
    </w:p>
    <w:p w:rsidR="00AE0C79" w:rsidRDefault="00A61E00" w:rsidP="00FA7B84">
      <w:pPr>
        <w:pStyle w:val="Nadpis5"/>
        <w:spacing w:line="276" w:lineRule="auto"/>
        <w:rPr>
          <w:rFonts w:eastAsiaTheme="minorEastAsia"/>
        </w:rPr>
      </w:pPr>
      <w:r>
        <w:rPr>
          <w:rFonts w:eastAsiaTheme="minorEastAsia"/>
        </w:rPr>
        <w:t>Dlouhodobé krytí stálých aktiv</w:t>
      </w:r>
    </w:p>
    <w:p w:rsidR="00AE0C79" w:rsidRDefault="00A61E00" w:rsidP="00FA7B84">
      <w:pPr>
        <w:spacing w:line="276" w:lineRule="auto"/>
      </w:pPr>
      <w:r>
        <w:t>Ukazatel vyjadřuje poměr, ve kterém je dlouhodobý majetek podniku kryt dlouhodobým kapitálem. Pokud je hodnota vyšší než 1, je podnik překapitalizován. To znamená vyšší stabilitu podniku, ale snižuje jeho celkovou efektivnost. Hodnota nižší než 1 naopak znamená podkapitalizaci podniku, které přináší vyšší efektivnost podnikání za cenu nižší stability.</w:t>
      </w:r>
      <w:r>
        <w:rPr>
          <w:rStyle w:val="Znakapoznpodarou"/>
        </w:rPr>
        <w:footnoteReference w:id="42"/>
      </w:r>
    </w:p>
    <w:p w:rsidR="00AE0C79" w:rsidRDefault="00A61E00" w:rsidP="00FA7B84">
      <w:pPr>
        <w:spacing w:line="276" w:lineRule="auto"/>
      </w:pPr>
      <m:oMathPara>
        <m:oMath>
          <m:r>
            <m:rPr>
              <m:sty m:val="p"/>
            </m:rPr>
            <w:rPr>
              <w:rFonts w:ascii="Cambria Math"/>
            </w:rPr>
            <m:t>dlouhodob</m:t>
          </m:r>
          <m:r>
            <m:rPr>
              <m:sty m:val="p"/>
            </m:rPr>
            <w:rPr>
              <w:rFonts w:ascii="Cambria Math"/>
            </w:rPr>
            <m:t>é</m:t>
          </m:r>
          <m:r>
            <m:rPr>
              <m:sty m:val="p"/>
            </m:rPr>
            <w:rPr>
              <w:rFonts w:ascii="Cambria Math"/>
            </w:rPr>
            <m:t xml:space="preserve"> kryt</m:t>
          </m:r>
          <m:r>
            <m:rPr>
              <m:sty m:val="p"/>
            </m:rPr>
            <w:rPr>
              <w:rFonts w:ascii="Cambria Math"/>
            </w:rPr>
            <m:t>í</m:t>
          </m:r>
          <m:r>
            <m:rPr>
              <m:sty m:val="p"/>
            </m:rPr>
            <w:rPr>
              <w:rFonts w:ascii="Cambria Math"/>
            </w:rPr>
            <m:t xml:space="preserve"> st</m:t>
          </m:r>
          <m:r>
            <m:rPr>
              <m:sty m:val="p"/>
            </m:rPr>
            <w:rPr>
              <w:rFonts w:ascii="Cambria Math"/>
            </w:rPr>
            <m:t>á</m:t>
          </m:r>
          <m:r>
            <m:rPr>
              <m:sty m:val="p"/>
            </m:rPr>
            <w:rPr>
              <w:rFonts w:ascii="Cambria Math"/>
            </w:rPr>
            <m:t>l</m:t>
          </m:r>
          <m:r>
            <m:rPr>
              <m:sty m:val="p"/>
            </m:rPr>
            <w:rPr>
              <w:rFonts w:ascii="Cambria Math"/>
            </w:rPr>
            <m:t>ý</m:t>
          </m:r>
          <m:r>
            <m:rPr>
              <m:sty m:val="p"/>
            </m:rPr>
            <w:rPr>
              <w:rFonts w:ascii="Cambria Math"/>
            </w:rPr>
            <m:t>ch aktiv=</m:t>
          </m:r>
          <m:f>
            <m:fPr>
              <m:ctrlPr>
                <w:rPr>
                  <w:rFonts w:ascii="Cambria Math" w:hAnsi="Cambria Math"/>
                </w:rPr>
              </m:ctrlPr>
            </m:fPr>
            <m:num>
              <m:r>
                <m:rPr>
                  <m:sty m:val="p"/>
                </m:rPr>
                <w:rPr>
                  <w:rFonts w:ascii="Cambria Math"/>
                </w:rPr>
                <m:t>vlastn</m:t>
              </m:r>
              <m:r>
                <m:rPr>
                  <m:sty m:val="p"/>
                </m:rPr>
                <w:rPr>
                  <w:rFonts w:ascii="Cambria Math"/>
                </w:rPr>
                <m:t>í</m:t>
              </m:r>
              <m:r>
                <m:rPr>
                  <m:sty m:val="p"/>
                </m:rPr>
                <w:rPr>
                  <w:rFonts w:ascii="Cambria Math"/>
                </w:rPr>
                <m:t xml:space="preserve"> kapit</m:t>
              </m:r>
              <m:r>
                <m:rPr>
                  <m:sty m:val="p"/>
                </m:rPr>
                <w:rPr>
                  <w:rFonts w:ascii="Cambria Math"/>
                </w:rPr>
                <m:t>á</m:t>
              </m:r>
              <m:r>
                <m:rPr>
                  <m:sty m:val="p"/>
                </m:rPr>
                <w:rPr>
                  <w:rFonts w:ascii="Cambria Math"/>
                </w:rPr>
                <m:t>l+dlouhodob</m:t>
              </m:r>
              <m:r>
                <m:rPr>
                  <m:sty m:val="p"/>
                </m:rPr>
                <w:rPr>
                  <w:rFonts w:ascii="Cambria Math"/>
                </w:rPr>
                <m:t>ý</m:t>
              </m:r>
              <m:r>
                <m:rPr>
                  <m:sty m:val="p"/>
                </m:rPr>
                <w:rPr>
                  <w:rFonts w:ascii="Cambria Math"/>
                </w:rPr>
                <m:t xml:space="preserve"> ciz</m:t>
              </m:r>
              <m:r>
                <m:rPr>
                  <m:sty m:val="p"/>
                </m:rPr>
                <w:rPr>
                  <w:rFonts w:ascii="Cambria Math"/>
                </w:rPr>
                <m:t>í</m:t>
              </m:r>
              <m:r>
                <m:rPr>
                  <m:sty m:val="p"/>
                </m:rPr>
                <w:rPr>
                  <w:rFonts w:ascii="Cambria Math"/>
                </w:rPr>
                <m:t xml:space="preserve"> kapit</m:t>
              </m:r>
              <m:r>
                <m:rPr>
                  <m:sty m:val="p"/>
                </m:rPr>
                <w:rPr>
                  <w:rFonts w:ascii="Cambria Math"/>
                </w:rPr>
                <m:t>á</m:t>
              </m:r>
              <m:r>
                <m:rPr>
                  <m:sty m:val="p"/>
                </m:rPr>
                <w:rPr>
                  <w:rFonts w:ascii="Cambria Math"/>
                </w:rPr>
                <m:t>l</m:t>
              </m:r>
            </m:num>
            <m:den>
              <m:r>
                <m:rPr>
                  <m:sty m:val="p"/>
                </m:rPr>
                <w:rPr>
                  <w:rFonts w:ascii="Cambria Math"/>
                </w:rPr>
                <m:t>dlouhodob</m:t>
              </m:r>
              <m:r>
                <m:rPr>
                  <m:sty m:val="p"/>
                </m:rPr>
                <w:rPr>
                  <w:rFonts w:ascii="Cambria Math"/>
                </w:rPr>
                <m:t>ý</m:t>
              </m:r>
              <m:r>
                <m:rPr>
                  <m:sty m:val="p"/>
                </m:rPr>
                <w:rPr>
                  <w:rFonts w:ascii="Cambria Math"/>
                </w:rPr>
                <m:t xml:space="preserve"> majetek</m:t>
              </m:r>
            </m:den>
          </m:f>
        </m:oMath>
      </m:oMathPara>
    </w:p>
    <w:p w:rsidR="00AE0C79" w:rsidRDefault="00A61E00" w:rsidP="00FA7B84">
      <w:pPr>
        <w:pStyle w:val="Nadpis3"/>
        <w:spacing w:line="276" w:lineRule="auto"/>
      </w:pPr>
      <w:bookmarkStart w:id="22" w:name="_Toc324932891"/>
      <w:r>
        <w:t>Ukazatele likvidity</w:t>
      </w:r>
      <w:bookmarkEnd w:id="22"/>
    </w:p>
    <w:p w:rsidR="00AE0C79" w:rsidRDefault="00A61E00" w:rsidP="00FA7B84">
      <w:pPr>
        <w:spacing w:line="276" w:lineRule="auto"/>
      </w:pPr>
      <w:r>
        <w:t>Pojem likvidita vyjadřuje schopnost podniku uhradit své splatné závazky zpeněžením likvidního majetku včas a v plné výši.</w:t>
      </w:r>
      <w:r>
        <w:rPr>
          <w:rStyle w:val="Znakapoznpodarou"/>
        </w:rPr>
        <w:footnoteReference w:id="43"/>
      </w:r>
      <w:r>
        <w:t xml:space="preserve">Likvidnost pak znamená schopnost jednotlivých druhů majetku přeměnit se na finanční prostředky. </w:t>
      </w:r>
    </w:p>
    <w:p w:rsidR="00AE0C79" w:rsidRDefault="00A61E00" w:rsidP="00FA7B84">
      <w:pPr>
        <w:spacing w:line="276" w:lineRule="auto"/>
      </w:pPr>
      <w:r>
        <w:t>Ukazatele likvidity tedy měří, kolik likvidního majetku má podnik k dispozici v poměru s jeho krátkodobými závazky. Úroveň likvidity podniku by měla být na takové úrovni, aby ani nepředvídatelné události neohrozily schopnost podniku splácet své krátkodobé závazky.</w:t>
      </w:r>
    </w:p>
    <w:p w:rsidR="00AE0C79" w:rsidRDefault="00A61E00" w:rsidP="00FA7B84">
      <w:pPr>
        <w:pStyle w:val="Nadpis5"/>
        <w:spacing w:line="276" w:lineRule="auto"/>
      </w:pPr>
      <w:r>
        <w:t>Běžná likvidita</w:t>
      </w:r>
    </w:p>
    <w:p w:rsidR="00AE0C79" w:rsidRDefault="00A61E00" w:rsidP="00FA7B84">
      <w:pPr>
        <w:spacing w:line="276" w:lineRule="auto"/>
      </w:pPr>
      <w:r>
        <w:t xml:space="preserve">Ukazatel běžné likvidity hodnotí schopnost firmy dostát svým krátkodobým závazkům pomocí poměru mezi těmito závazky a oběžnými aktivy. Oběžná aktiva ovšem obsahují zásoby, které musejí být nejdříve přeměněny na výrobky, prodány a zaplaceny odběratelem. Proto je běžná likvidita velmi citlivá na strukturu zásob. Příliš vysoká míra zásob a malý podíl peněžních prostředků může firmě způsobit potíže, protože nebude v případě potřeby schopna </w:t>
      </w:r>
      <w:r>
        <w:lastRenderedPageBreak/>
        <w:t>dostát svým krátkodobým závazkům. Doporučená velikost ukazatele je podle Sedláčka a Grünwalda alespoň 1,5.</w:t>
      </w:r>
      <w:r>
        <w:rPr>
          <w:rStyle w:val="Znakapoznpodarou"/>
        </w:rPr>
        <w:footnoteReference w:id="44"/>
      </w:r>
    </w:p>
    <w:p w:rsidR="00AE0C79" w:rsidRDefault="00A61E00" w:rsidP="00FA7B84">
      <w:pPr>
        <w:spacing w:line="276" w:lineRule="auto"/>
        <w:rPr>
          <w:rFonts w:eastAsiaTheme="minorEastAsia" w:cs="Times New Roman"/>
        </w:rPr>
      </w:pPr>
      <m:oMathPara>
        <m:oMath>
          <m:r>
            <m:rPr>
              <m:sty m:val="p"/>
            </m:rPr>
            <w:rPr>
              <w:rFonts w:ascii="Cambria Math" w:eastAsiaTheme="minorEastAsia"/>
            </w:rPr>
            <m:t>B</m:t>
          </m:r>
          <m:r>
            <m:rPr>
              <m:sty m:val="p"/>
            </m:rPr>
            <w:rPr>
              <w:rFonts w:ascii="Cambria Math" w:eastAsiaTheme="minorEastAsia"/>
            </w:rPr>
            <m:t>ěž</m:t>
          </m:r>
          <m:r>
            <m:rPr>
              <m:sty m:val="p"/>
            </m:rPr>
            <w:rPr>
              <w:rFonts w:ascii="Cambria Math" w:eastAsiaTheme="minorEastAsia"/>
            </w:rPr>
            <m:t>n</m:t>
          </m:r>
          <m:r>
            <m:rPr>
              <m:sty m:val="p"/>
            </m:rPr>
            <w:rPr>
              <w:rFonts w:ascii="Cambria Math" w:eastAsiaTheme="minorEastAsia"/>
            </w:rPr>
            <m:t>á</m:t>
          </m:r>
          <m:r>
            <m:rPr>
              <m:sty m:val="p"/>
            </m:rPr>
            <w:rPr>
              <w:rFonts w:ascii="Cambria Math" w:eastAsiaTheme="minorEastAsia"/>
            </w:rPr>
            <m:t xml:space="preserve"> likvidita=</m:t>
          </m:r>
          <m:f>
            <m:fPr>
              <m:ctrlPr>
                <w:rPr>
                  <w:rFonts w:ascii="Cambria Math" w:eastAsiaTheme="minorEastAsia" w:hAnsi="Cambria Math"/>
                </w:rPr>
              </m:ctrlPr>
            </m:fPr>
            <m:num>
              <m:r>
                <m:rPr>
                  <m:sty m:val="p"/>
                </m:rPr>
                <w:rPr>
                  <w:rFonts w:ascii="Cambria Math" w:eastAsiaTheme="minorEastAsia"/>
                </w:rPr>
                <m:t>Ob</m:t>
              </m:r>
              <m:r>
                <m:rPr>
                  <m:sty m:val="p"/>
                </m:rPr>
                <w:rPr>
                  <w:rFonts w:ascii="Cambria Math" w:eastAsiaTheme="minorEastAsia"/>
                </w:rPr>
                <m:t>ěž</m:t>
              </m:r>
              <m:r>
                <m:rPr>
                  <m:sty m:val="p"/>
                </m:rPr>
                <w:rPr>
                  <w:rFonts w:ascii="Cambria Math" w:eastAsiaTheme="minorEastAsia"/>
                </w:rPr>
                <m:t>n</m:t>
              </m:r>
              <m:r>
                <m:rPr>
                  <m:sty m:val="p"/>
                </m:rPr>
                <w:rPr>
                  <w:rFonts w:ascii="Cambria Math" w:eastAsiaTheme="minorEastAsia"/>
                </w:rPr>
                <m:t>á</m:t>
              </m:r>
              <m:r>
                <m:rPr>
                  <m:sty m:val="p"/>
                </m:rPr>
                <w:rPr>
                  <w:rFonts w:ascii="Cambria Math" w:eastAsiaTheme="minorEastAsia"/>
                </w:rPr>
                <m:t xml:space="preserve"> aktiva</m:t>
              </m:r>
            </m:num>
            <m:den>
              <m:r>
                <m:rPr>
                  <m:sty m:val="p"/>
                </m:rPr>
                <w:rPr>
                  <w:rFonts w:ascii="Cambria Math" w:eastAsiaTheme="minorEastAsia"/>
                </w:rPr>
                <m:t>Kr</m:t>
              </m:r>
              <m:r>
                <m:rPr>
                  <m:sty m:val="p"/>
                </m:rPr>
                <w:rPr>
                  <w:rFonts w:ascii="Cambria Math" w:eastAsiaTheme="minorEastAsia"/>
                </w:rPr>
                <m:t>á</m:t>
              </m:r>
              <m:r>
                <m:rPr>
                  <m:sty m:val="p"/>
                </m:rPr>
                <w:rPr>
                  <w:rFonts w:ascii="Cambria Math" w:eastAsiaTheme="minorEastAsia"/>
                </w:rPr>
                <m:t>tkodob</m:t>
              </m:r>
              <m:r>
                <m:rPr>
                  <m:sty m:val="p"/>
                </m:rPr>
                <w:rPr>
                  <w:rFonts w:ascii="Cambria Math" w:eastAsiaTheme="minorEastAsia"/>
                </w:rPr>
                <m:t>é</m:t>
              </m:r>
              <m:r>
                <m:rPr>
                  <m:sty m:val="p"/>
                </m:rPr>
                <w:rPr>
                  <w:rFonts w:ascii="Cambria Math" w:eastAsiaTheme="minorEastAsia"/>
                </w:rPr>
                <m:t xml:space="preserve"> z</m:t>
              </m:r>
              <m:r>
                <m:rPr>
                  <m:sty m:val="p"/>
                </m:rPr>
                <w:rPr>
                  <w:rFonts w:ascii="Cambria Math" w:eastAsiaTheme="minorEastAsia"/>
                </w:rPr>
                <m:t>á</m:t>
              </m:r>
              <m:r>
                <m:rPr>
                  <m:sty m:val="p"/>
                </m:rPr>
                <w:rPr>
                  <w:rFonts w:ascii="Cambria Math" w:eastAsiaTheme="minorEastAsia"/>
                </w:rPr>
                <m:t>vazky</m:t>
              </m:r>
            </m:den>
          </m:f>
        </m:oMath>
      </m:oMathPara>
    </w:p>
    <w:p w:rsidR="00AE0C79" w:rsidRDefault="00A61E00" w:rsidP="00FA7B84">
      <w:pPr>
        <w:pStyle w:val="Nadpis5"/>
        <w:spacing w:line="276" w:lineRule="auto"/>
      </w:pPr>
      <w:r>
        <w:t>Pohotová likvidita</w:t>
      </w:r>
    </w:p>
    <w:p w:rsidR="00AE0C79" w:rsidRDefault="00A61E00" w:rsidP="00FA7B84">
      <w:pPr>
        <w:spacing w:line="276" w:lineRule="auto"/>
      </w:pPr>
      <w:r>
        <w:t>Navazuje na běžnou likviditu a její data modifikuje odečtením zásob a dlouhodobých pohledávek z oběžných aktiv. Tím odstraňuje nevýhodu jejich časové přeměny na finanční prostředky. Výrazně nižší hodnota pohotové likvidity, ve srovnání s hodnotou běžné likvidy, značí nadměrné použití zásob v podniku. Hodnota by neměla klesnou pod 1.</w:t>
      </w:r>
      <w:r>
        <w:rPr>
          <w:rStyle w:val="Znakapoznpodarou"/>
        </w:rPr>
        <w:footnoteReference w:id="45"/>
      </w:r>
    </w:p>
    <w:p w:rsidR="00AE0C79" w:rsidRDefault="00A61E00" w:rsidP="00FA7B84">
      <w:pPr>
        <w:spacing w:line="276" w:lineRule="auto"/>
        <w:rPr>
          <w:rFonts w:eastAsiaTheme="minorEastAsia"/>
        </w:rPr>
      </w:pPr>
      <m:oMathPara>
        <m:oMath>
          <m:r>
            <m:rPr>
              <m:sty m:val="p"/>
            </m:rPr>
            <w:rPr>
              <w:rFonts w:ascii="Cambria Math"/>
            </w:rPr>
            <m:t>Pohotov</m:t>
          </m:r>
          <m:r>
            <m:rPr>
              <m:sty m:val="p"/>
            </m:rPr>
            <m:t>á</m:t>
          </m:r>
          <m:r>
            <m:rPr>
              <m:sty m:val="p"/>
            </m:rPr>
            <w:rPr>
              <w:rFonts w:ascii="Cambria Math"/>
            </w:rPr>
            <m:t xml:space="preserve"> likvidita=</m:t>
          </m:r>
          <m:f>
            <m:fPr>
              <m:ctrlPr>
                <w:rPr>
                  <w:rFonts w:ascii="Cambria Math" w:hAnsi="Cambria Math"/>
                </w:rPr>
              </m:ctrlPr>
            </m:fPr>
            <m:num>
              <m:r>
                <m:rPr>
                  <m:sty m:val="p"/>
                </m:rPr>
                <w:rPr>
                  <w:rFonts w:ascii="Cambria Math"/>
                </w:rPr>
                <m:t>kr</m:t>
              </m:r>
              <m:r>
                <m:rPr>
                  <m:sty m:val="p"/>
                </m:rPr>
                <w:rPr>
                  <w:rFonts w:ascii="Cambria Math"/>
                </w:rPr>
                <m:t>á</m:t>
              </m:r>
              <m:r>
                <m:rPr>
                  <m:sty m:val="p"/>
                </m:rPr>
                <w:rPr>
                  <w:rFonts w:ascii="Cambria Math"/>
                </w:rPr>
                <m:t>tkodob</m:t>
              </m:r>
              <m:r>
                <m:rPr>
                  <m:sty m:val="p"/>
                </m:rPr>
                <w:rPr>
                  <w:rFonts w:ascii="Cambria Math"/>
                </w:rPr>
                <m:t>é</m:t>
              </m:r>
              <m:r>
                <m:rPr>
                  <m:sty m:val="p"/>
                </m:rPr>
                <w:rPr>
                  <w:rFonts w:ascii="Cambria Math"/>
                </w:rPr>
                <m:t xml:space="preserve"> pohled</m:t>
              </m:r>
              <m:r>
                <m:rPr>
                  <m:sty m:val="p"/>
                </m:rPr>
                <w:rPr>
                  <w:rFonts w:ascii="Cambria Math"/>
                </w:rPr>
                <m:t>á</m:t>
              </m:r>
              <m:r>
                <m:rPr>
                  <m:sty m:val="p"/>
                </m:rPr>
                <w:rPr>
                  <w:rFonts w:ascii="Cambria Math"/>
                </w:rPr>
                <m:t>vky+kr</m:t>
              </m:r>
              <m:r>
                <m:rPr>
                  <m:sty m:val="p"/>
                </m:rPr>
                <w:rPr>
                  <w:rFonts w:ascii="Cambria Math"/>
                </w:rPr>
                <m:t>á</m:t>
              </m:r>
              <m:r>
                <m:rPr>
                  <m:sty m:val="p"/>
                </m:rPr>
                <w:rPr>
                  <w:rFonts w:ascii="Cambria Math"/>
                </w:rPr>
                <m:t>tkodob</m:t>
              </m:r>
              <m:r>
                <m:rPr>
                  <m:sty m:val="p"/>
                </m:rPr>
                <w:rPr>
                  <w:rFonts w:ascii="Cambria Math"/>
                </w:rPr>
                <m:t>ý</m:t>
              </m:r>
              <m:r>
                <m:rPr>
                  <m:sty m:val="p"/>
                </m:rPr>
                <w:rPr>
                  <w:rFonts w:ascii="Cambria Math"/>
                </w:rPr>
                <m:t xml:space="preserve"> finan</m:t>
              </m:r>
              <m:r>
                <m:rPr>
                  <m:sty m:val="p"/>
                </m:rPr>
                <w:rPr>
                  <w:rFonts w:ascii="Cambria Math"/>
                </w:rPr>
                <m:t>č</m:t>
              </m:r>
              <m:r>
                <m:rPr>
                  <m:sty m:val="p"/>
                </m:rPr>
                <w:rPr>
                  <w:rFonts w:ascii="Cambria Math"/>
                </w:rPr>
                <m:t>n</m:t>
              </m:r>
              <m:r>
                <m:rPr>
                  <m:sty m:val="p"/>
                </m:rPr>
                <w:rPr>
                  <w:rFonts w:ascii="Cambria Math"/>
                </w:rPr>
                <m:t>í</m:t>
              </m:r>
              <m:r>
                <m:rPr>
                  <m:sty m:val="p"/>
                </m:rPr>
                <w:rPr>
                  <w:rFonts w:ascii="Cambria Math"/>
                </w:rPr>
                <m:t xml:space="preserve"> majetek</m:t>
              </m:r>
            </m:num>
            <m:den>
              <m:r>
                <m:rPr>
                  <m:sty m:val="p"/>
                </m:rPr>
                <w:rPr>
                  <w:rFonts w:ascii="Cambria Math"/>
                </w:rPr>
                <m:t>kr</m:t>
              </m:r>
              <m:r>
                <m:rPr>
                  <m:sty m:val="p"/>
                </m:rPr>
                <m:t>á</m:t>
              </m:r>
              <m:r>
                <m:rPr>
                  <m:sty m:val="p"/>
                </m:rPr>
                <w:rPr>
                  <w:rFonts w:ascii="Cambria Math"/>
                </w:rPr>
                <m:t>tkodob</m:t>
              </m:r>
              <m:r>
                <m:rPr>
                  <m:sty m:val="p"/>
                </m:rPr>
                <m:t>é</m:t>
              </m:r>
              <m:r>
                <m:rPr>
                  <m:sty m:val="p"/>
                </m:rPr>
                <w:rPr>
                  <w:rFonts w:ascii="Cambria Math"/>
                </w:rPr>
                <m:t xml:space="preserve"> z</m:t>
              </m:r>
              <m:r>
                <m:rPr>
                  <m:sty m:val="p"/>
                </m:rPr>
                <m:t>á</m:t>
              </m:r>
              <m:r>
                <m:rPr>
                  <m:sty m:val="p"/>
                </m:rPr>
                <w:rPr>
                  <w:rFonts w:ascii="Cambria Math"/>
                </w:rPr>
                <m:t>vazky</m:t>
              </m:r>
            </m:den>
          </m:f>
        </m:oMath>
      </m:oMathPara>
    </w:p>
    <w:p w:rsidR="00AE0C79" w:rsidRDefault="00A61E00" w:rsidP="00FA7B84">
      <w:pPr>
        <w:pStyle w:val="Nadpis5"/>
        <w:spacing w:line="276" w:lineRule="auto"/>
      </w:pPr>
      <w:r>
        <w:t>Peněžní likvidita</w:t>
      </w:r>
    </w:p>
    <w:p w:rsidR="00AE0C79" w:rsidRDefault="00A61E00" w:rsidP="00FA7B84">
      <w:pPr>
        <w:spacing w:line="276" w:lineRule="auto"/>
      </w:pPr>
      <w:r>
        <w:t>Oproti běžné i pohotové likviditě dále zužuje pojetí oběžných aktiv v čitateli. Porovnává již jen okamžité dostupné (proto je občas označována jako okamžitá likvidita) peněžní prostředky ve formě peněz na běžném účtu, v pokladně a také volně obchodovatelné cenné papíry, které představují ekvivalenty hotovosti. Hodnota peněžní likvidity by neměla klesnout pod 0,6. Hodnota 0,2 je pak označována jako kritická hodnota.</w:t>
      </w:r>
      <w:r>
        <w:rPr>
          <w:rStyle w:val="Znakapoznpodarou"/>
        </w:rPr>
        <w:footnoteReference w:id="46"/>
      </w:r>
      <w:r>
        <w:t xml:space="preserve"> </w:t>
      </w:r>
    </w:p>
    <w:p w:rsidR="00AE0C79" w:rsidRDefault="00A61E00" w:rsidP="00FA7B84">
      <w:pPr>
        <w:spacing w:line="276" w:lineRule="auto"/>
        <w:rPr>
          <w:rFonts w:eastAsiaTheme="minorEastAsia"/>
        </w:rPr>
      </w:pPr>
      <m:oMathPara>
        <m:oMath>
          <m:r>
            <m:rPr>
              <m:sty m:val="p"/>
            </m:rPr>
            <w:rPr>
              <w:rFonts w:ascii="Cambria Math"/>
            </w:rPr>
            <m:t>Pen</m:t>
          </m:r>
          <m:r>
            <m:rPr>
              <m:sty m:val="p"/>
            </m:rPr>
            <w:rPr>
              <w:rFonts w:ascii="Cambria Math"/>
            </w:rPr>
            <m:t>ěž</m:t>
          </m:r>
          <m:r>
            <m:rPr>
              <m:sty m:val="p"/>
            </m:rPr>
            <w:rPr>
              <w:rFonts w:ascii="Cambria Math"/>
            </w:rPr>
            <m:t>n</m:t>
          </m:r>
          <m:r>
            <m:rPr>
              <m:sty m:val="p"/>
            </m:rPr>
            <w:rPr>
              <w:rFonts w:ascii="Cambria Math"/>
            </w:rPr>
            <m:t>í</m:t>
          </m:r>
          <m:r>
            <m:rPr>
              <m:sty m:val="p"/>
            </m:rPr>
            <w:rPr>
              <w:rFonts w:ascii="Cambria Math"/>
            </w:rPr>
            <m:t xml:space="preserve"> likvidita=</m:t>
          </m:r>
          <m:f>
            <m:fPr>
              <m:ctrlPr>
                <w:rPr>
                  <w:rFonts w:ascii="Cambria Math" w:hAnsi="Cambria Math"/>
                </w:rPr>
              </m:ctrlPr>
            </m:fPr>
            <m:num>
              <m:r>
                <m:rPr>
                  <m:sty m:val="p"/>
                </m:rPr>
                <w:rPr>
                  <w:rFonts w:ascii="Cambria Math"/>
                </w:rPr>
                <m:t>kr</m:t>
              </m:r>
              <m:r>
                <m:rPr>
                  <m:sty m:val="p"/>
                </m:rPr>
                <w:rPr>
                  <w:rFonts w:ascii="Cambria Math"/>
                </w:rPr>
                <m:t>á</m:t>
              </m:r>
              <m:r>
                <m:rPr>
                  <m:sty m:val="p"/>
                </m:rPr>
                <w:rPr>
                  <w:rFonts w:ascii="Cambria Math"/>
                </w:rPr>
                <m:t>tkodob</m:t>
              </m:r>
              <m:r>
                <m:rPr>
                  <m:sty m:val="p"/>
                </m:rPr>
                <w:rPr>
                  <w:rFonts w:ascii="Cambria Math"/>
                </w:rPr>
                <m:t>ý</m:t>
              </m:r>
              <m:r>
                <m:rPr>
                  <m:sty m:val="p"/>
                </m:rPr>
                <w:rPr>
                  <w:rFonts w:ascii="Cambria Math"/>
                </w:rPr>
                <m:t xml:space="preserve"> finan</m:t>
              </m:r>
              <m:r>
                <m:rPr>
                  <m:sty m:val="p"/>
                </m:rPr>
                <w:rPr>
                  <w:rFonts w:ascii="Cambria Math"/>
                </w:rPr>
                <m:t>č</m:t>
              </m:r>
              <m:r>
                <m:rPr>
                  <m:sty m:val="p"/>
                </m:rPr>
                <w:rPr>
                  <w:rFonts w:ascii="Cambria Math"/>
                </w:rPr>
                <m:t>n</m:t>
              </m:r>
              <m:r>
                <m:rPr>
                  <m:sty m:val="p"/>
                </m:rPr>
                <w:rPr>
                  <w:rFonts w:ascii="Cambria Math"/>
                </w:rPr>
                <m:t>í</m:t>
              </m:r>
              <m:r>
                <m:rPr>
                  <m:sty m:val="p"/>
                </m:rPr>
                <w:rPr>
                  <w:rFonts w:ascii="Cambria Math"/>
                </w:rPr>
                <m:t xml:space="preserve"> majetek</m:t>
              </m:r>
            </m:num>
            <m:den>
              <m:r>
                <m:rPr>
                  <m:sty m:val="p"/>
                </m:rPr>
                <w:rPr>
                  <w:rFonts w:ascii="Cambria Math"/>
                </w:rPr>
                <m:t>kr</m:t>
              </m:r>
              <m:r>
                <m:rPr>
                  <m:sty m:val="p"/>
                </m:rPr>
                <w:rPr>
                  <w:rFonts w:ascii="Cambria Math"/>
                </w:rPr>
                <m:t>á</m:t>
              </m:r>
              <m:r>
                <m:rPr>
                  <m:sty m:val="p"/>
                </m:rPr>
                <w:rPr>
                  <w:rFonts w:ascii="Cambria Math"/>
                </w:rPr>
                <m:t>tkodob</m:t>
              </m:r>
              <m:r>
                <m:rPr>
                  <m:sty m:val="p"/>
                </m:rPr>
                <w:rPr>
                  <w:rFonts w:ascii="Cambria Math"/>
                </w:rPr>
                <m:t>é</m:t>
              </m:r>
              <m:r>
                <m:rPr>
                  <m:sty m:val="p"/>
                </m:rPr>
                <w:rPr>
                  <w:rFonts w:ascii="Cambria Math"/>
                </w:rPr>
                <m:t xml:space="preserve"> z</m:t>
              </m:r>
              <m:r>
                <m:rPr>
                  <m:sty m:val="p"/>
                </m:rPr>
                <w:rPr>
                  <w:rFonts w:ascii="Cambria Math"/>
                </w:rPr>
                <m:t>á</m:t>
              </m:r>
              <m:r>
                <m:rPr>
                  <m:sty m:val="p"/>
                </m:rPr>
                <w:rPr>
                  <w:rFonts w:ascii="Cambria Math"/>
                </w:rPr>
                <m:t>vazky</m:t>
              </m:r>
            </m:den>
          </m:f>
        </m:oMath>
      </m:oMathPara>
    </w:p>
    <w:p w:rsidR="00AE0C79" w:rsidRDefault="00A61E00" w:rsidP="00FA7B84">
      <w:pPr>
        <w:pStyle w:val="Nadpis2"/>
        <w:spacing w:line="276" w:lineRule="auto"/>
      </w:pPr>
      <w:bookmarkStart w:id="23" w:name="_Toc324932892"/>
      <w:r>
        <w:t>Bonitní a bankrotní modely</w:t>
      </w:r>
      <w:bookmarkEnd w:id="23"/>
    </w:p>
    <w:p w:rsidR="00AE0C79" w:rsidRDefault="00A61E00" w:rsidP="00FA7B84">
      <w:pPr>
        <w:spacing w:line="276" w:lineRule="auto"/>
      </w:pPr>
      <w:r>
        <w:t>Bonitní i bankrotní modely shrnují vybrané ukazatele do jednoho modelu, jehož pomocí se snaží vypočítat jedinou číselnou hodnotu, která posuzuje finanční zdraví podniku.</w:t>
      </w:r>
    </w:p>
    <w:p w:rsidR="00AE0C79" w:rsidRDefault="00A61E00" w:rsidP="00FA7B84">
      <w:pPr>
        <w:spacing w:line="276" w:lineRule="auto"/>
      </w:pPr>
      <w:r>
        <w:t>Bankrotní modely pracují s předpokladem, že každá firma ohrožená bankrotem vykazuje symptomy blížícího se bankrotu již nějaký čas dopředu. Byly sestavovány na základě zpětného sledování hospodaření krachujících podniků a hledání společných varovných ukazatelů.</w:t>
      </w:r>
      <w:r>
        <w:rPr>
          <w:rStyle w:val="Znakapoznpodarou"/>
        </w:rPr>
        <w:footnoteReference w:id="47"/>
      </w:r>
      <w:r>
        <w:t xml:space="preserve"> Bonitní modely se snaží popsat, zda podnik vytváří hodnotu. Oproti bankrotním modelům jsou založeny spíše na teoretických poznatcích.</w:t>
      </w:r>
      <w:r>
        <w:rPr>
          <w:rStyle w:val="Znakapoznpodarou"/>
        </w:rPr>
        <w:footnoteReference w:id="48"/>
      </w:r>
      <w:r>
        <w:t xml:space="preserve"> </w:t>
      </w:r>
    </w:p>
    <w:p w:rsidR="00AE0C79" w:rsidRDefault="00A61E00" w:rsidP="00FA7B84">
      <w:pPr>
        <w:spacing w:line="276" w:lineRule="auto"/>
      </w:pPr>
      <w:r>
        <w:t>Nevýhodou použití těchto modelů je, že byly vytvořeny v určité zemi a v určité době. Proto jsou jejich výsledky v českých podmínkách nepřesné.</w:t>
      </w:r>
    </w:p>
    <w:p w:rsidR="00AE0C79" w:rsidRDefault="00A61E00" w:rsidP="00FA7B84">
      <w:pPr>
        <w:spacing w:line="276" w:lineRule="auto"/>
      </w:pPr>
      <w:r>
        <w:lastRenderedPageBreak/>
        <w:t>Pro potřeby této práce jsem jako zástupce bonitního modelu vybral Kralickův rychlý test a jako zástupce bankrotního modelu IN index.</w:t>
      </w:r>
    </w:p>
    <w:p w:rsidR="00AE0C79" w:rsidRDefault="00A61E00" w:rsidP="00FA7B84">
      <w:pPr>
        <w:pStyle w:val="Nadpis3"/>
        <w:spacing w:line="276" w:lineRule="auto"/>
      </w:pPr>
      <w:bookmarkStart w:id="24" w:name="_Toc324932893"/>
      <w:r>
        <w:t>Kralicekův rychlý test</w:t>
      </w:r>
      <w:bookmarkEnd w:id="24"/>
    </w:p>
    <w:p w:rsidR="00AE0C79" w:rsidRDefault="00A61E00" w:rsidP="00FA7B84">
      <w:pPr>
        <w:spacing w:line="276" w:lineRule="auto"/>
      </w:pPr>
      <w:r>
        <w:t>Rychlý test (Quick test) byl vytvořen rakouským profesorem Peterem Kralickem v roce 1990. Kralicek do svého testu vybral zástupce z každé skupiny poměrových ukazatelů, aby se jeho model dotýkal všech stránek podniku.</w:t>
      </w:r>
      <w:r>
        <w:rPr>
          <w:rStyle w:val="Znakapoznpodarou"/>
        </w:rPr>
        <w:footnoteReference w:id="49"/>
      </w:r>
    </w:p>
    <w:p w:rsidR="00AE0C79" w:rsidRDefault="00A61E00" w:rsidP="00FA7B84">
      <w:pPr>
        <w:pStyle w:val="Titulek"/>
        <w:keepNext/>
        <w:spacing w:line="276" w:lineRule="auto"/>
      </w:pPr>
      <w:bookmarkStart w:id="25" w:name="_Toc324932923"/>
      <w:r>
        <w:t xml:space="preserve">Tabulka </w:t>
      </w:r>
      <w:fldSimple w:instr=" SEQ Tabulka \* ARABIC ">
        <w:r w:rsidR="00F5284D">
          <w:rPr>
            <w:noProof/>
          </w:rPr>
          <w:t>1</w:t>
        </w:r>
      </w:fldSimple>
      <w:r>
        <w:t>: Výpočet Kralicekova rychlého testu</w:t>
      </w:r>
      <w:bookmarkEnd w:id="25"/>
    </w:p>
    <w:tbl>
      <w:tblPr>
        <w:tblStyle w:val="Mkatabulky"/>
        <w:tblW w:w="0" w:type="auto"/>
        <w:tblLook w:val="04A0"/>
      </w:tblPr>
      <w:tblGrid>
        <w:gridCol w:w="6840"/>
        <w:gridCol w:w="1035"/>
        <w:gridCol w:w="937"/>
      </w:tblGrid>
      <w:tr w:rsidR="00737A2E" w:rsidRPr="00737A2E">
        <w:tc>
          <w:tcPr>
            <w:tcW w:w="0" w:type="auto"/>
            <w:shd w:val="clear" w:color="auto" w:fill="8DB3E2" w:themeFill="text2" w:themeFillTint="66"/>
          </w:tcPr>
          <w:p w:rsidR="00737A2E" w:rsidRPr="00737A2E" w:rsidRDefault="00737A2E" w:rsidP="00FA7B84">
            <w:pPr>
              <w:spacing w:line="276" w:lineRule="auto"/>
              <w:rPr>
                <w:rFonts w:eastAsia="Calibri" w:cs="Times New Roman"/>
              </w:rPr>
            </w:pPr>
            <w:r w:rsidRPr="00737A2E">
              <w:rPr>
                <w:rFonts w:eastAsia="Calibri" w:cs="Times New Roman"/>
              </w:rPr>
              <w:t>Výpočet</w:t>
            </w:r>
            <w:r w:rsidR="002743AB">
              <w:rPr>
                <w:rFonts w:eastAsia="Calibri" w:cs="Times New Roman"/>
              </w:rPr>
              <w:t xml:space="preserve"> ukazatele</w:t>
            </w:r>
          </w:p>
        </w:tc>
        <w:tc>
          <w:tcPr>
            <w:tcW w:w="0" w:type="auto"/>
            <w:shd w:val="clear" w:color="auto" w:fill="8DB3E2" w:themeFill="text2" w:themeFillTint="66"/>
          </w:tcPr>
          <w:p w:rsidR="00737A2E" w:rsidRPr="00737A2E" w:rsidRDefault="00737A2E" w:rsidP="00FA7B84">
            <w:pPr>
              <w:spacing w:line="276" w:lineRule="auto"/>
              <w:rPr>
                <w:rFonts w:cs="Times New Roman"/>
              </w:rPr>
            </w:pPr>
            <w:r w:rsidRPr="00737A2E">
              <w:rPr>
                <w:rFonts w:cs="Times New Roman"/>
              </w:rPr>
              <w:t>Hodnota</w:t>
            </w:r>
          </w:p>
        </w:tc>
        <w:tc>
          <w:tcPr>
            <w:tcW w:w="0" w:type="auto"/>
            <w:shd w:val="clear" w:color="auto" w:fill="8DB3E2" w:themeFill="text2" w:themeFillTint="66"/>
          </w:tcPr>
          <w:p w:rsidR="00737A2E" w:rsidRPr="00737A2E" w:rsidRDefault="00F26E31" w:rsidP="00FA7B84">
            <w:pPr>
              <w:spacing w:line="276" w:lineRule="auto"/>
              <w:rPr>
                <w:rFonts w:cs="Times New Roman"/>
              </w:rPr>
            </w:pPr>
            <w:r>
              <w:rPr>
                <w:rFonts w:cs="Times New Roman"/>
              </w:rPr>
              <w:t>Známka</w:t>
            </w:r>
          </w:p>
        </w:tc>
      </w:tr>
      <w:tr w:rsidR="00737A2E" w:rsidRPr="00737A2E">
        <w:tc>
          <w:tcPr>
            <w:tcW w:w="0" w:type="auto"/>
          </w:tcPr>
          <w:p w:rsidR="00737A2E" w:rsidRPr="00737A2E" w:rsidRDefault="00737A2E" w:rsidP="00FA7B84">
            <w:pPr>
              <w:spacing w:line="276" w:lineRule="auto"/>
              <w:rPr>
                <w:rFonts w:eastAsiaTheme="minorEastAsia" w:cs="Times New Roman"/>
              </w:rPr>
            </w:pPr>
          </w:p>
          <w:p w:rsidR="00737A2E" w:rsidRPr="00737A2E" w:rsidRDefault="00737A2E" w:rsidP="00FA7B84">
            <w:pPr>
              <w:spacing w:line="276" w:lineRule="auto"/>
              <w:rPr>
                <w:rFonts w:eastAsiaTheme="minorEastAsia" w:cs="Times New Roman"/>
              </w:rPr>
            </w:pPr>
          </w:p>
          <w:p w:rsidR="00737A2E" w:rsidRPr="00737A2E" w:rsidRDefault="00737A2E" w:rsidP="00FA7B84">
            <w:pPr>
              <w:spacing w:line="276" w:lineRule="auto"/>
              <w:rPr>
                <w:rFonts w:cs="Times New Roman"/>
              </w:rPr>
            </w:pPr>
            <m:oMathPara>
              <m:oMath>
                <m:r>
                  <m:rPr>
                    <m:sty m:val="p"/>
                  </m:rPr>
                  <w:rPr>
                    <w:rFonts w:ascii="Cambria Math" w:cs="Times New Roman"/>
                  </w:rPr>
                  <m:t>Kv</m:t>
                </m:r>
                <m:r>
                  <m:rPr>
                    <m:sty m:val="p"/>
                  </m:rPr>
                  <w:rPr>
                    <w:rFonts w:ascii="Cambria Math" w:cs="Times New Roman"/>
                  </w:rPr>
                  <m:t>ó</m:t>
                </m:r>
                <m:r>
                  <m:rPr>
                    <m:sty m:val="p"/>
                  </m:rPr>
                  <w:rPr>
                    <w:rFonts w:ascii="Cambria Math" w:cs="Times New Roman"/>
                  </w:rPr>
                  <m:t>ta vlastn</m:t>
                </m:r>
                <m:r>
                  <m:rPr>
                    <m:sty m:val="p"/>
                  </m:rPr>
                  <w:rPr>
                    <w:rFonts w:ascii="Cambria Math" w:cs="Times New Roman"/>
                  </w:rPr>
                  <m:t>í</m:t>
                </m:r>
                <m:r>
                  <m:rPr>
                    <m:sty m:val="p"/>
                  </m:rPr>
                  <w:rPr>
                    <w:rFonts w:ascii="Cambria Math" w:cs="Times New Roman"/>
                  </w:rPr>
                  <m:t>ho kapit</m:t>
                </m:r>
                <m:r>
                  <m:rPr>
                    <m:sty m:val="p"/>
                  </m:rPr>
                  <w:rPr>
                    <w:rFonts w:ascii="Cambria Math" w:cs="Times New Roman"/>
                  </w:rPr>
                  <m:t>á</m:t>
                </m:r>
                <m:r>
                  <m:rPr>
                    <m:sty m:val="p"/>
                  </m:rPr>
                  <w:rPr>
                    <w:rFonts w:ascii="Cambria Math" w:cs="Times New Roman"/>
                  </w:rPr>
                  <m:t>lu=</m:t>
                </m:r>
                <m:f>
                  <m:fPr>
                    <m:ctrlPr>
                      <w:rPr>
                        <w:rFonts w:ascii="Cambria Math" w:hAnsi="Cambria Math" w:cs="Times New Roman"/>
                      </w:rPr>
                    </m:ctrlPr>
                  </m:fPr>
                  <m:num>
                    <m:r>
                      <m:rPr>
                        <m:sty m:val="p"/>
                      </m:rPr>
                      <w:rPr>
                        <w:rFonts w:ascii="Cambria Math" w:cs="Times New Roman"/>
                      </w:rPr>
                      <m:t>Vlastn</m:t>
                    </m:r>
                    <m:r>
                      <m:rPr>
                        <m:sty m:val="p"/>
                      </m:rPr>
                      <w:rPr>
                        <w:rFonts w:cs="Times New Roman"/>
                      </w:rPr>
                      <m:t>í</m:t>
                    </m:r>
                    <m:r>
                      <m:rPr>
                        <m:sty m:val="p"/>
                      </m:rPr>
                      <w:rPr>
                        <w:rFonts w:ascii="Cambria Math" w:cs="Times New Roman"/>
                      </w:rPr>
                      <m:t xml:space="preserve"> kapit</m:t>
                    </m:r>
                    <m:r>
                      <m:rPr>
                        <m:sty m:val="p"/>
                      </m:rPr>
                      <w:rPr>
                        <w:rFonts w:cs="Times New Roman"/>
                      </w:rPr>
                      <m:t>á</m:t>
                    </m:r>
                    <m:r>
                      <m:rPr>
                        <m:sty m:val="p"/>
                      </m:rPr>
                      <w:rPr>
                        <w:rFonts w:ascii="Cambria Math" w:cs="Times New Roman"/>
                      </w:rPr>
                      <m:t>l</m:t>
                    </m:r>
                  </m:num>
                  <m:den>
                    <m:r>
                      <m:rPr>
                        <m:sty m:val="p"/>
                      </m:rPr>
                      <w:rPr>
                        <w:rFonts w:ascii="Cambria Math" w:cs="Times New Roman"/>
                      </w:rPr>
                      <m:t>Aktiva</m:t>
                    </m:r>
                  </m:den>
                </m:f>
              </m:oMath>
            </m:oMathPara>
          </w:p>
        </w:tc>
        <w:tc>
          <w:tcPr>
            <w:tcW w:w="0" w:type="auto"/>
          </w:tcPr>
          <w:p w:rsidR="00737A2E" w:rsidRPr="00737A2E" w:rsidRDefault="00F26E31" w:rsidP="00FA7B84">
            <w:pPr>
              <w:spacing w:line="276" w:lineRule="auto"/>
              <w:rPr>
                <w:rFonts w:cs="Times New Roman"/>
              </w:rPr>
            </w:pPr>
            <w:r>
              <w:t>&gt; 30 %</w:t>
            </w:r>
          </w:p>
          <w:p w:rsidR="00737A2E" w:rsidRPr="00737A2E" w:rsidRDefault="00F26E31" w:rsidP="00FA7B84">
            <w:pPr>
              <w:spacing w:line="276" w:lineRule="auto"/>
              <w:rPr>
                <w:rFonts w:cs="Times New Roman"/>
              </w:rPr>
            </w:pPr>
            <w:r>
              <w:t>&gt; 20 %</w:t>
            </w:r>
          </w:p>
          <w:p w:rsidR="00737A2E" w:rsidRPr="00737A2E" w:rsidRDefault="00F26E31" w:rsidP="00FA7B84">
            <w:pPr>
              <w:spacing w:line="276" w:lineRule="auto"/>
              <w:rPr>
                <w:rFonts w:cs="Times New Roman"/>
              </w:rPr>
            </w:pPr>
            <w:r>
              <w:t>&gt; 10 %</w:t>
            </w:r>
          </w:p>
          <w:p w:rsidR="00737A2E" w:rsidRPr="00737A2E" w:rsidRDefault="00F26E31" w:rsidP="00FA7B84">
            <w:pPr>
              <w:spacing w:line="276" w:lineRule="auto"/>
              <w:rPr>
                <w:rFonts w:cs="Times New Roman"/>
              </w:rPr>
            </w:pPr>
            <w:r>
              <w:t>&gt; 0 %</w:t>
            </w:r>
          </w:p>
          <w:p w:rsidR="00737A2E" w:rsidRPr="00737A2E" w:rsidRDefault="00F26E31" w:rsidP="00FA7B84">
            <w:pPr>
              <w:spacing w:line="276" w:lineRule="auto"/>
              <w:rPr>
                <w:rFonts w:cs="Times New Roman"/>
              </w:rPr>
            </w:pPr>
            <w:r>
              <w:rPr>
                <w:rFonts w:cs="Times New Roman"/>
              </w:rPr>
              <w:t>negativní</w:t>
            </w:r>
          </w:p>
        </w:tc>
        <w:tc>
          <w:tcPr>
            <w:tcW w:w="0" w:type="auto"/>
          </w:tcPr>
          <w:p w:rsidR="00737A2E" w:rsidRPr="00737A2E" w:rsidRDefault="00F26E31" w:rsidP="00FA7B84">
            <w:pPr>
              <w:spacing w:line="276" w:lineRule="auto"/>
              <w:rPr>
                <w:rFonts w:cs="Times New Roman"/>
                <w:lang w:val="en-US"/>
              </w:rPr>
            </w:pPr>
            <w:r>
              <w:rPr>
                <w:rFonts w:cs="Times New Roman"/>
                <w:lang w:val="en-US"/>
              </w:rPr>
              <w:t>1</w:t>
            </w:r>
          </w:p>
          <w:p w:rsidR="00737A2E" w:rsidRPr="00737A2E" w:rsidRDefault="00F26E31" w:rsidP="00FA7B84">
            <w:pPr>
              <w:spacing w:line="276" w:lineRule="auto"/>
              <w:rPr>
                <w:rFonts w:cs="Times New Roman"/>
              </w:rPr>
            </w:pPr>
            <w:r>
              <w:rPr>
                <w:rFonts w:cs="Times New Roman"/>
              </w:rPr>
              <w:t>2</w:t>
            </w:r>
          </w:p>
          <w:p w:rsidR="00737A2E" w:rsidRPr="00737A2E" w:rsidRDefault="00F26E31" w:rsidP="00FA7B84">
            <w:pPr>
              <w:spacing w:line="276" w:lineRule="auto"/>
              <w:rPr>
                <w:rFonts w:cs="Times New Roman"/>
              </w:rPr>
            </w:pPr>
            <w:r>
              <w:rPr>
                <w:rFonts w:cs="Times New Roman"/>
              </w:rPr>
              <w:t>3</w:t>
            </w:r>
          </w:p>
          <w:p w:rsidR="00737A2E" w:rsidRPr="00737A2E" w:rsidRDefault="00F26E31" w:rsidP="00FA7B84">
            <w:pPr>
              <w:spacing w:line="276" w:lineRule="auto"/>
              <w:rPr>
                <w:rFonts w:cs="Times New Roman"/>
              </w:rPr>
            </w:pPr>
            <w:r>
              <w:rPr>
                <w:rFonts w:cs="Times New Roman"/>
              </w:rPr>
              <w:t>4</w:t>
            </w:r>
          </w:p>
          <w:p w:rsidR="00737A2E" w:rsidRPr="00737A2E" w:rsidRDefault="00F26E31" w:rsidP="00FA7B84">
            <w:pPr>
              <w:spacing w:line="276" w:lineRule="auto"/>
              <w:rPr>
                <w:rFonts w:cs="Times New Roman"/>
                <w:lang w:val="en-US"/>
              </w:rPr>
            </w:pPr>
            <w:r>
              <w:rPr>
                <w:rFonts w:cs="Times New Roman"/>
              </w:rPr>
              <w:t>5</w:t>
            </w:r>
          </w:p>
        </w:tc>
      </w:tr>
      <w:tr w:rsidR="00737A2E" w:rsidRPr="00737A2E">
        <w:tc>
          <w:tcPr>
            <w:tcW w:w="0" w:type="auto"/>
            <w:shd w:val="clear" w:color="auto" w:fill="auto"/>
          </w:tcPr>
          <w:p w:rsidR="00737A2E" w:rsidRPr="00737A2E" w:rsidRDefault="00737A2E" w:rsidP="00FA7B84">
            <w:pPr>
              <w:spacing w:line="276" w:lineRule="auto"/>
              <w:rPr>
                <w:rFonts w:eastAsiaTheme="minorEastAsia" w:cs="Times New Roman"/>
              </w:rPr>
            </w:pPr>
          </w:p>
          <w:p w:rsidR="00737A2E" w:rsidRPr="00737A2E" w:rsidRDefault="00737A2E" w:rsidP="00FA7B84">
            <w:pPr>
              <w:spacing w:line="276" w:lineRule="auto"/>
              <w:rPr>
                <w:rFonts w:eastAsiaTheme="minorEastAsia" w:cs="Times New Roman"/>
              </w:rPr>
            </w:pPr>
          </w:p>
          <w:p w:rsidR="00737A2E" w:rsidRPr="00737A2E" w:rsidRDefault="00737A2E" w:rsidP="00FA7B84">
            <w:pPr>
              <w:spacing w:line="276" w:lineRule="auto"/>
              <w:rPr>
                <w:rFonts w:cs="Times New Roman"/>
              </w:rPr>
            </w:pPr>
            <m:oMathPara>
              <m:oMath>
                <m:r>
                  <m:rPr>
                    <m:sty m:val="p"/>
                  </m:rPr>
                  <w:rPr>
                    <w:rFonts w:ascii="Cambria Math" w:cs="Times New Roman"/>
                  </w:rPr>
                  <m:t>Doba spl</m:t>
                </m:r>
                <m:r>
                  <m:rPr>
                    <m:sty m:val="p"/>
                  </m:rPr>
                  <w:rPr>
                    <w:rFonts w:ascii="Cambria Math" w:cs="Times New Roman"/>
                  </w:rPr>
                  <m:t>á</m:t>
                </m:r>
                <m:r>
                  <m:rPr>
                    <m:sty m:val="p"/>
                  </m:rPr>
                  <w:rPr>
                    <w:rFonts w:ascii="Cambria Math" w:cs="Times New Roman"/>
                  </w:rPr>
                  <m:t>cen</m:t>
                </m:r>
                <m:r>
                  <m:rPr>
                    <m:sty m:val="p"/>
                  </m:rPr>
                  <w:rPr>
                    <w:rFonts w:ascii="Cambria Math" w:cs="Times New Roman"/>
                  </w:rPr>
                  <m:t>í</m:t>
                </m:r>
                <m:r>
                  <m:rPr>
                    <m:sty m:val="p"/>
                  </m:rPr>
                  <w:rPr>
                    <w:rFonts w:ascii="Cambria Math" w:cs="Times New Roman"/>
                  </w:rPr>
                  <m:t xml:space="preserve"> dluhu z CF=</m:t>
                </m:r>
                <m:f>
                  <m:fPr>
                    <m:ctrlPr>
                      <w:rPr>
                        <w:rFonts w:ascii="Cambria Math" w:hAnsi="Cambria Math" w:cs="Times New Roman"/>
                      </w:rPr>
                    </m:ctrlPr>
                  </m:fPr>
                  <m:num>
                    <m:r>
                      <m:rPr>
                        <m:sty m:val="p"/>
                      </m:rPr>
                      <w:rPr>
                        <w:rFonts w:ascii="Cambria Math" w:cs="Times New Roman"/>
                      </w:rPr>
                      <m:t>Ciz</m:t>
                    </m:r>
                    <m:r>
                      <m:rPr>
                        <m:sty m:val="p"/>
                      </m:rPr>
                      <w:rPr>
                        <w:rFonts w:ascii="Cambria Math" w:cs="Times New Roman"/>
                      </w:rPr>
                      <m:t>í</m:t>
                    </m:r>
                    <m:r>
                      <m:rPr>
                        <m:sty m:val="p"/>
                      </m:rPr>
                      <w:rPr>
                        <w:rFonts w:ascii="Cambria Math" w:cs="Times New Roman"/>
                      </w:rPr>
                      <m:t xml:space="preserve"> kapit</m:t>
                    </m:r>
                    <m:r>
                      <m:rPr>
                        <m:sty m:val="p"/>
                      </m:rPr>
                      <w:rPr>
                        <w:rFonts w:ascii="Cambria Math" w:cs="Times New Roman"/>
                      </w:rPr>
                      <m:t>á</m:t>
                    </m:r>
                    <m:r>
                      <m:rPr>
                        <m:sty m:val="p"/>
                      </m:rPr>
                      <w:rPr>
                        <w:rFonts w:ascii="Cambria Math" w:cs="Times New Roman"/>
                      </w:rPr>
                      <m:t>l</m:t>
                    </m:r>
                    <m:r>
                      <m:rPr>
                        <m:sty m:val="p"/>
                      </m:rPr>
                      <w:rPr>
                        <w:rFonts w:cs="Times New Roman"/>
                      </w:rPr>
                      <m:t>-</m:t>
                    </m:r>
                    <m:r>
                      <m:rPr>
                        <m:sty m:val="p"/>
                      </m:rPr>
                      <w:rPr>
                        <w:rFonts w:ascii="Cambria Math" w:cs="Times New Roman"/>
                      </w:rPr>
                      <m:t>Kr</m:t>
                    </m:r>
                    <m:r>
                      <m:rPr>
                        <m:sty m:val="p"/>
                      </m:rPr>
                      <w:rPr>
                        <w:rFonts w:cs="Times New Roman"/>
                      </w:rPr>
                      <m:t>á</m:t>
                    </m:r>
                    <m:r>
                      <m:rPr>
                        <m:sty m:val="p"/>
                      </m:rPr>
                      <w:rPr>
                        <w:rFonts w:ascii="Cambria Math" w:cs="Times New Roman"/>
                      </w:rPr>
                      <m:t>tkodob</m:t>
                    </m:r>
                    <m:r>
                      <m:rPr>
                        <m:sty m:val="p"/>
                      </m:rPr>
                      <w:rPr>
                        <w:rFonts w:cs="Times New Roman"/>
                      </w:rPr>
                      <m:t>ý</m:t>
                    </m:r>
                    <m:r>
                      <m:rPr>
                        <m:sty m:val="p"/>
                      </m:rPr>
                      <w:rPr>
                        <w:rFonts w:ascii="Cambria Math" w:cs="Times New Roman"/>
                      </w:rPr>
                      <m:t xml:space="preserve"> finan</m:t>
                    </m:r>
                    <m:r>
                      <m:rPr>
                        <m:sty m:val="p"/>
                      </m:rPr>
                      <w:rPr>
                        <w:rFonts w:cs="Times New Roman"/>
                      </w:rPr>
                      <m:t>č</m:t>
                    </m:r>
                    <m:r>
                      <m:rPr>
                        <m:sty m:val="p"/>
                      </m:rPr>
                      <w:rPr>
                        <w:rFonts w:ascii="Cambria Math" w:cs="Times New Roman"/>
                      </w:rPr>
                      <m:t>n</m:t>
                    </m:r>
                    <m:r>
                      <m:rPr>
                        <m:sty m:val="p"/>
                      </m:rPr>
                      <w:rPr>
                        <w:rFonts w:cs="Times New Roman"/>
                      </w:rPr>
                      <m:t>í</m:t>
                    </m:r>
                    <m:r>
                      <m:rPr>
                        <m:sty m:val="p"/>
                      </m:rPr>
                      <w:rPr>
                        <w:rFonts w:ascii="Cambria Math" w:cs="Times New Roman"/>
                      </w:rPr>
                      <m:t xml:space="preserve"> majetek</m:t>
                    </m:r>
                  </m:num>
                  <m:den>
                    <m:r>
                      <m:rPr>
                        <m:sty m:val="p"/>
                      </m:rPr>
                      <w:rPr>
                        <w:rFonts w:ascii="Cambria Math" w:cs="Times New Roman"/>
                      </w:rPr>
                      <m:t>Bilan</m:t>
                    </m:r>
                    <m:r>
                      <m:rPr>
                        <m:sty m:val="p"/>
                      </m:rPr>
                      <w:rPr>
                        <w:rFonts w:ascii="Cambria Math" w:cs="Times New Roman"/>
                      </w:rPr>
                      <m:t>č</m:t>
                    </m:r>
                    <m:r>
                      <m:rPr>
                        <m:sty m:val="p"/>
                      </m:rPr>
                      <w:rPr>
                        <w:rFonts w:ascii="Cambria Math" w:cs="Times New Roman"/>
                      </w:rPr>
                      <m:t>n</m:t>
                    </m:r>
                    <m:r>
                      <m:rPr>
                        <m:sty m:val="p"/>
                      </m:rPr>
                      <w:rPr>
                        <w:rFonts w:ascii="Cambria Math" w:cs="Times New Roman"/>
                      </w:rPr>
                      <m:t>í</m:t>
                    </m:r>
                    <m:r>
                      <m:rPr>
                        <m:sty m:val="p"/>
                      </m:rPr>
                      <w:rPr>
                        <w:rFonts w:ascii="Cambria Math" w:cs="Times New Roman"/>
                      </w:rPr>
                      <m:t xml:space="preserve"> cash flow</m:t>
                    </m:r>
                  </m:den>
                </m:f>
              </m:oMath>
            </m:oMathPara>
          </w:p>
        </w:tc>
        <w:tc>
          <w:tcPr>
            <w:tcW w:w="0" w:type="auto"/>
            <w:shd w:val="clear" w:color="auto" w:fill="auto"/>
          </w:tcPr>
          <w:p w:rsidR="00737A2E" w:rsidRPr="00737A2E" w:rsidRDefault="00F26E31" w:rsidP="00FA7B84">
            <w:pPr>
              <w:spacing w:line="276" w:lineRule="auto"/>
              <w:rPr>
                <w:rFonts w:cs="Times New Roman"/>
              </w:rPr>
            </w:pPr>
            <w:r>
              <w:t>&lt; 3 roky</w:t>
            </w:r>
          </w:p>
          <w:p w:rsidR="00737A2E" w:rsidRPr="00737A2E" w:rsidRDefault="00F26E31" w:rsidP="00FA7B84">
            <w:pPr>
              <w:spacing w:line="276" w:lineRule="auto"/>
              <w:rPr>
                <w:rFonts w:cs="Times New Roman"/>
              </w:rPr>
            </w:pPr>
            <w:r>
              <w:t>&lt; 5 let</w:t>
            </w:r>
          </w:p>
          <w:p w:rsidR="00737A2E" w:rsidRPr="00737A2E" w:rsidRDefault="00F26E31" w:rsidP="00FA7B84">
            <w:pPr>
              <w:spacing w:line="276" w:lineRule="auto"/>
              <w:rPr>
                <w:rFonts w:cs="Times New Roman"/>
              </w:rPr>
            </w:pPr>
            <w:r>
              <w:t>&lt; 12 let</w:t>
            </w:r>
          </w:p>
          <w:p w:rsidR="00737A2E" w:rsidRPr="00737A2E" w:rsidRDefault="00F26E31" w:rsidP="00FA7B84">
            <w:pPr>
              <w:spacing w:line="276" w:lineRule="auto"/>
              <w:rPr>
                <w:rFonts w:cs="Times New Roman"/>
              </w:rPr>
            </w:pPr>
            <w:r w:rsidRPr="000C319D">
              <w:t>&gt;</w:t>
            </w:r>
            <w:r>
              <w:t xml:space="preserve"> </w:t>
            </w:r>
            <w:r w:rsidRPr="000C319D">
              <w:t>12 let</w:t>
            </w:r>
          </w:p>
          <w:p w:rsidR="00737A2E" w:rsidRPr="00737A2E" w:rsidRDefault="00F26E31" w:rsidP="00FA7B84">
            <w:pPr>
              <w:spacing w:line="276" w:lineRule="auto"/>
              <w:rPr>
                <w:rFonts w:cs="Times New Roman"/>
              </w:rPr>
            </w:pPr>
            <w:r>
              <w:t>&gt; 30 let</w:t>
            </w:r>
          </w:p>
        </w:tc>
        <w:tc>
          <w:tcPr>
            <w:tcW w:w="0" w:type="auto"/>
            <w:shd w:val="clear" w:color="auto" w:fill="auto"/>
          </w:tcPr>
          <w:p w:rsidR="00737A2E" w:rsidRPr="00737A2E" w:rsidRDefault="00F26E31" w:rsidP="00FA7B84">
            <w:pPr>
              <w:spacing w:line="276" w:lineRule="auto"/>
              <w:rPr>
                <w:rFonts w:cs="Times New Roman"/>
                <w:lang w:val="en-US"/>
              </w:rPr>
            </w:pPr>
            <w:r>
              <w:rPr>
                <w:rFonts w:cs="Times New Roman"/>
                <w:lang w:val="en-US"/>
              </w:rPr>
              <w:t>1</w:t>
            </w:r>
          </w:p>
          <w:p w:rsidR="00737A2E" w:rsidRPr="00737A2E" w:rsidRDefault="00F26E31" w:rsidP="00FA7B84">
            <w:pPr>
              <w:spacing w:line="276" w:lineRule="auto"/>
              <w:rPr>
                <w:rFonts w:cs="Times New Roman"/>
              </w:rPr>
            </w:pPr>
            <w:r>
              <w:rPr>
                <w:rFonts w:cs="Times New Roman"/>
              </w:rPr>
              <w:t>2</w:t>
            </w:r>
          </w:p>
          <w:p w:rsidR="00737A2E" w:rsidRPr="00737A2E" w:rsidRDefault="00F26E31" w:rsidP="00FA7B84">
            <w:pPr>
              <w:spacing w:line="276" w:lineRule="auto"/>
              <w:rPr>
                <w:rFonts w:cs="Times New Roman"/>
              </w:rPr>
            </w:pPr>
            <w:r>
              <w:rPr>
                <w:rFonts w:cs="Times New Roman"/>
              </w:rPr>
              <w:t>3</w:t>
            </w:r>
          </w:p>
          <w:p w:rsidR="00737A2E" w:rsidRPr="00737A2E" w:rsidRDefault="00F26E31" w:rsidP="00FA7B84">
            <w:pPr>
              <w:spacing w:line="276" w:lineRule="auto"/>
              <w:rPr>
                <w:rFonts w:cs="Times New Roman"/>
              </w:rPr>
            </w:pPr>
            <w:r>
              <w:rPr>
                <w:rFonts w:cs="Times New Roman"/>
              </w:rPr>
              <w:t>4</w:t>
            </w:r>
          </w:p>
          <w:p w:rsidR="00737A2E" w:rsidRPr="00737A2E" w:rsidRDefault="00F26E31" w:rsidP="00FA7B84">
            <w:pPr>
              <w:spacing w:line="276" w:lineRule="auto"/>
              <w:rPr>
                <w:rFonts w:cs="Times New Roman"/>
                <w:lang w:val="en-US"/>
              </w:rPr>
            </w:pPr>
            <w:r>
              <w:rPr>
                <w:rFonts w:cs="Times New Roman"/>
              </w:rPr>
              <w:t>5</w:t>
            </w:r>
          </w:p>
        </w:tc>
      </w:tr>
      <w:tr w:rsidR="00737A2E" w:rsidRPr="00737A2E">
        <w:tc>
          <w:tcPr>
            <w:tcW w:w="0" w:type="auto"/>
            <w:shd w:val="clear" w:color="auto" w:fill="auto"/>
          </w:tcPr>
          <w:p w:rsidR="00737A2E" w:rsidRPr="00737A2E" w:rsidRDefault="00737A2E" w:rsidP="00FA7B84">
            <w:pPr>
              <w:spacing w:line="276" w:lineRule="auto"/>
              <w:rPr>
                <w:rFonts w:eastAsiaTheme="minorEastAsia" w:cs="Times New Roman"/>
              </w:rPr>
            </w:pPr>
          </w:p>
          <w:p w:rsidR="00737A2E" w:rsidRPr="00737A2E" w:rsidRDefault="00737A2E" w:rsidP="00FA7B84">
            <w:pPr>
              <w:spacing w:line="276" w:lineRule="auto"/>
              <w:rPr>
                <w:rFonts w:eastAsiaTheme="minorEastAsia" w:cs="Times New Roman"/>
              </w:rPr>
            </w:pPr>
          </w:p>
          <w:p w:rsidR="00737A2E" w:rsidRPr="00737A2E" w:rsidRDefault="001A34BF" w:rsidP="00FA7B84">
            <w:pPr>
              <w:spacing w:line="276" w:lineRule="auto"/>
              <w:rPr>
                <w:rFonts w:cs="Times New Roman"/>
              </w:rPr>
            </w:pPr>
            <m:oMathPara>
              <m:oMath>
                <m:r>
                  <m:rPr>
                    <m:sty m:val="p"/>
                  </m:rPr>
                  <w:rPr>
                    <w:rFonts w:ascii="Cambria Math" w:cs="Times New Roman"/>
                  </w:rPr>
                  <m:t>Cash flow v tr</m:t>
                </m:r>
                <m:r>
                  <m:rPr>
                    <m:sty m:val="p"/>
                  </m:rPr>
                  <w:rPr>
                    <w:rFonts w:ascii="Cambria Math" w:cs="Times New Roman"/>
                  </w:rPr>
                  <m:t>ž</m:t>
                </m:r>
                <m:r>
                  <m:rPr>
                    <m:sty m:val="p"/>
                  </m:rPr>
                  <w:rPr>
                    <w:rFonts w:ascii="Cambria Math" w:cs="Times New Roman"/>
                  </w:rPr>
                  <m:t>b</m:t>
                </m:r>
                <m:r>
                  <m:rPr>
                    <m:sty m:val="p"/>
                  </m:rPr>
                  <w:rPr>
                    <w:rFonts w:ascii="Cambria Math" w:cs="Times New Roman"/>
                  </w:rPr>
                  <m:t>á</m:t>
                </m:r>
                <m:r>
                  <m:rPr>
                    <m:sty m:val="p"/>
                  </m:rPr>
                  <w:rPr>
                    <w:rFonts w:ascii="Cambria Math" w:cs="Times New Roman"/>
                  </w:rPr>
                  <m:t>ch=</m:t>
                </m:r>
                <m:f>
                  <m:fPr>
                    <m:ctrlPr>
                      <w:rPr>
                        <w:rFonts w:ascii="Cambria Math" w:hAnsi="Cambria Math" w:cs="Times New Roman"/>
                      </w:rPr>
                    </m:ctrlPr>
                  </m:fPr>
                  <m:num>
                    <m:r>
                      <m:rPr>
                        <m:sty m:val="p"/>
                      </m:rPr>
                      <w:rPr>
                        <w:rFonts w:ascii="Cambria Math" w:cs="Times New Roman"/>
                      </w:rPr>
                      <m:t>Cash flow</m:t>
                    </m:r>
                  </m:num>
                  <m:den>
                    <m:r>
                      <m:rPr>
                        <m:sty m:val="p"/>
                      </m:rPr>
                      <w:rPr>
                        <w:rFonts w:ascii="Cambria Math" w:cs="Times New Roman"/>
                      </w:rPr>
                      <m:t>Tr</m:t>
                    </m:r>
                    <m:r>
                      <m:rPr>
                        <m:sty m:val="p"/>
                      </m:rPr>
                      <w:rPr>
                        <w:rFonts w:ascii="Cambria Math" w:cs="Times New Roman"/>
                      </w:rPr>
                      <m:t>ž</m:t>
                    </m:r>
                    <m:r>
                      <m:rPr>
                        <m:sty m:val="p"/>
                      </m:rPr>
                      <w:rPr>
                        <w:rFonts w:ascii="Cambria Math" w:cs="Times New Roman"/>
                      </w:rPr>
                      <m:t>by</m:t>
                    </m:r>
                  </m:den>
                </m:f>
              </m:oMath>
            </m:oMathPara>
          </w:p>
        </w:tc>
        <w:tc>
          <w:tcPr>
            <w:tcW w:w="0" w:type="auto"/>
            <w:shd w:val="clear" w:color="auto" w:fill="auto"/>
          </w:tcPr>
          <w:p w:rsidR="00737A2E" w:rsidRPr="00737A2E" w:rsidRDefault="001A34BF" w:rsidP="00FA7B84">
            <w:pPr>
              <w:spacing w:line="276" w:lineRule="auto"/>
              <w:rPr>
                <w:rFonts w:cs="Times New Roman"/>
              </w:rPr>
            </w:pPr>
            <w:r w:rsidRPr="008777FA">
              <w:t>&gt;</w:t>
            </w:r>
            <w:r>
              <w:t xml:space="preserve"> </w:t>
            </w:r>
            <w:r w:rsidRPr="008777FA">
              <w:t>10</w:t>
            </w:r>
            <w:r>
              <w:t xml:space="preserve"> %</w:t>
            </w:r>
          </w:p>
          <w:p w:rsidR="00737A2E" w:rsidRPr="00737A2E" w:rsidRDefault="001A34BF" w:rsidP="00FA7B84">
            <w:pPr>
              <w:spacing w:line="276" w:lineRule="auto"/>
              <w:rPr>
                <w:rFonts w:cs="Times New Roman"/>
              </w:rPr>
            </w:pPr>
            <w:r>
              <w:t>&gt; 8 %</w:t>
            </w:r>
          </w:p>
          <w:p w:rsidR="00737A2E" w:rsidRPr="00737A2E" w:rsidRDefault="001A34BF" w:rsidP="00FA7B84">
            <w:pPr>
              <w:spacing w:line="276" w:lineRule="auto"/>
              <w:rPr>
                <w:rFonts w:cs="Times New Roman"/>
              </w:rPr>
            </w:pPr>
            <w:r>
              <w:t>&gt; 5 %</w:t>
            </w:r>
          </w:p>
          <w:p w:rsidR="00737A2E" w:rsidRPr="00737A2E" w:rsidRDefault="001A34BF" w:rsidP="00FA7B84">
            <w:pPr>
              <w:spacing w:line="276" w:lineRule="auto"/>
              <w:rPr>
                <w:rFonts w:cs="Times New Roman"/>
              </w:rPr>
            </w:pPr>
            <w:r>
              <w:t>&gt; 0 %</w:t>
            </w:r>
          </w:p>
          <w:p w:rsidR="00737A2E" w:rsidRPr="00737A2E" w:rsidRDefault="001A34BF" w:rsidP="00FA7B84">
            <w:pPr>
              <w:spacing w:line="276" w:lineRule="auto"/>
              <w:rPr>
                <w:rFonts w:cs="Times New Roman"/>
              </w:rPr>
            </w:pPr>
            <w:r>
              <w:t>negativní</w:t>
            </w:r>
          </w:p>
        </w:tc>
        <w:tc>
          <w:tcPr>
            <w:tcW w:w="0" w:type="auto"/>
            <w:shd w:val="clear" w:color="auto" w:fill="auto"/>
          </w:tcPr>
          <w:p w:rsidR="00737A2E" w:rsidRPr="00737A2E" w:rsidRDefault="001A34BF" w:rsidP="00FA7B84">
            <w:pPr>
              <w:spacing w:line="276" w:lineRule="auto"/>
              <w:rPr>
                <w:rFonts w:cs="Times New Roman"/>
                <w:lang w:val="en-US"/>
              </w:rPr>
            </w:pPr>
            <w:r>
              <w:rPr>
                <w:rFonts w:cs="Times New Roman"/>
                <w:lang w:val="en-US"/>
              </w:rPr>
              <w:t>1</w:t>
            </w:r>
          </w:p>
          <w:p w:rsidR="00737A2E" w:rsidRPr="00737A2E" w:rsidRDefault="001A34BF" w:rsidP="00FA7B84">
            <w:pPr>
              <w:spacing w:line="276" w:lineRule="auto"/>
              <w:rPr>
                <w:rFonts w:cs="Times New Roman"/>
              </w:rPr>
            </w:pPr>
            <w:r>
              <w:rPr>
                <w:rFonts w:cs="Times New Roman"/>
              </w:rPr>
              <w:t>2</w:t>
            </w:r>
          </w:p>
          <w:p w:rsidR="00737A2E" w:rsidRPr="00737A2E" w:rsidRDefault="001A34BF" w:rsidP="00FA7B84">
            <w:pPr>
              <w:spacing w:line="276" w:lineRule="auto"/>
              <w:rPr>
                <w:rFonts w:cs="Times New Roman"/>
              </w:rPr>
            </w:pPr>
            <w:r>
              <w:rPr>
                <w:rFonts w:cs="Times New Roman"/>
              </w:rPr>
              <w:t>3</w:t>
            </w:r>
          </w:p>
          <w:p w:rsidR="00737A2E" w:rsidRPr="00737A2E" w:rsidRDefault="001A34BF" w:rsidP="00FA7B84">
            <w:pPr>
              <w:spacing w:line="276" w:lineRule="auto"/>
              <w:rPr>
                <w:rFonts w:cs="Times New Roman"/>
              </w:rPr>
            </w:pPr>
            <w:r>
              <w:rPr>
                <w:rFonts w:cs="Times New Roman"/>
              </w:rPr>
              <w:t>4</w:t>
            </w:r>
          </w:p>
          <w:p w:rsidR="00737A2E" w:rsidRPr="00737A2E" w:rsidRDefault="001A34BF" w:rsidP="00FA7B84">
            <w:pPr>
              <w:spacing w:line="276" w:lineRule="auto"/>
              <w:rPr>
                <w:rFonts w:cs="Times New Roman"/>
                <w:lang w:val="en-US"/>
              </w:rPr>
            </w:pPr>
            <w:r>
              <w:rPr>
                <w:rFonts w:cs="Times New Roman"/>
              </w:rPr>
              <w:t>5</w:t>
            </w:r>
          </w:p>
        </w:tc>
      </w:tr>
      <w:tr w:rsidR="00737A2E" w:rsidRPr="00737A2E">
        <w:tc>
          <w:tcPr>
            <w:tcW w:w="0" w:type="auto"/>
            <w:shd w:val="clear" w:color="auto" w:fill="auto"/>
          </w:tcPr>
          <w:p w:rsidR="00737A2E" w:rsidRPr="00737A2E" w:rsidRDefault="00737A2E" w:rsidP="00FA7B84">
            <w:pPr>
              <w:spacing w:line="276" w:lineRule="auto"/>
              <w:rPr>
                <w:rFonts w:eastAsiaTheme="minorEastAsia" w:cs="Times New Roman"/>
              </w:rPr>
            </w:pPr>
          </w:p>
          <w:p w:rsidR="00737A2E" w:rsidRPr="00737A2E" w:rsidRDefault="001A34BF" w:rsidP="00FA7B84">
            <w:pPr>
              <w:spacing w:line="276" w:lineRule="auto"/>
              <w:rPr>
                <w:rFonts w:cs="Times New Roman"/>
              </w:rPr>
            </w:pPr>
            <m:oMathPara>
              <m:oMath>
                <m:r>
                  <m:rPr>
                    <m:sty m:val="p"/>
                  </m:rPr>
                  <w:rPr>
                    <w:rFonts w:ascii="Cambria Math" w:cs="Times New Roman"/>
                  </w:rPr>
                  <m:t>ROA=</m:t>
                </m:r>
                <m:f>
                  <m:fPr>
                    <m:ctrlPr>
                      <w:rPr>
                        <w:rFonts w:ascii="Cambria Math" w:hAnsi="Cambria Math" w:cs="Times New Roman"/>
                      </w:rPr>
                    </m:ctrlPr>
                  </m:fPr>
                  <m:num>
                    <m:r>
                      <m:rPr>
                        <m:sty m:val="p"/>
                      </m:rPr>
                      <w:rPr>
                        <w:rFonts w:ascii="Cambria Math" w:cs="Times New Roman"/>
                      </w:rPr>
                      <m:t>EBIT</m:t>
                    </m:r>
                  </m:num>
                  <m:den>
                    <m:r>
                      <m:rPr>
                        <m:sty m:val="p"/>
                      </m:rPr>
                      <w:rPr>
                        <w:rFonts w:ascii="Cambria Math" w:cs="Times New Roman"/>
                      </w:rPr>
                      <m:t>Aktiva</m:t>
                    </m:r>
                  </m:den>
                </m:f>
              </m:oMath>
            </m:oMathPara>
          </w:p>
        </w:tc>
        <w:tc>
          <w:tcPr>
            <w:tcW w:w="0" w:type="auto"/>
            <w:shd w:val="clear" w:color="auto" w:fill="auto"/>
          </w:tcPr>
          <w:p w:rsidR="00737A2E" w:rsidRPr="00737A2E" w:rsidRDefault="00255245" w:rsidP="00FA7B84">
            <w:pPr>
              <w:spacing w:line="276" w:lineRule="auto"/>
              <w:rPr>
                <w:rFonts w:cs="Times New Roman"/>
              </w:rPr>
            </w:pPr>
            <w:r w:rsidRPr="008777FA">
              <w:t>&gt;</w:t>
            </w:r>
            <w:r>
              <w:t xml:space="preserve"> </w:t>
            </w:r>
            <w:r w:rsidRPr="008777FA">
              <w:t>15</w:t>
            </w:r>
            <w:r>
              <w:t xml:space="preserve"> %</w:t>
            </w:r>
          </w:p>
          <w:p w:rsidR="00737A2E" w:rsidRPr="00737A2E" w:rsidRDefault="00255245" w:rsidP="00FA7B84">
            <w:pPr>
              <w:spacing w:line="276" w:lineRule="auto"/>
              <w:rPr>
                <w:rFonts w:cs="Times New Roman"/>
              </w:rPr>
            </w:pPr>
            <w:r>
              <w:t>&gt; 12 %</w:t>
            </w:r>
          </w:p>
          <w:p w:rsidR="00737A2E" w:rsidRPr="00737A2E" w:rsidRDefault="00255245" w:rsidP="00FA7B84">
            <w:pPr>
              <w:spacing w:line="276" w:lineRule="auto"/>
              <w:rPr>
                <w:rFonts w:cs="Times New Roman"/>
              </w:rPr>
            </w:pPr>
            <w:r>
              <w:t>&gt; 8 %</w:t>
            </w:r>
          </w:p>
          <w:p w:rsidR="00737A2E" w:rsidRPr="00737A2E" w:rsidRDefault="00255245" w:rsidP="00FA7B84">
            <w:pPr>
              <w:spacing w:line="276" w:lineRule="auto"/>
              <w:rPr>
                <w:rFonts w:cs="Times New Roman"/>
              </w:rPr>
            </w:pPr>
            <w:r>
              <w:t>&gt; 0 %</w:t>
            </w:r>
          </w:p>
          <w:p w:rsidR="00737A2E" w:rsidRPr="00737A2E" w:rsidRDefault="00255245" w:rsidP="00FA7B84">
            <w:pPr>
              <w:spacing w:line="276" w:lineRule="auto"/>
              <w:rPr>
                <w:rFonts w:cs="Times New Roman"/>
              </w:rPr>
            </w:pPr>
            <w:r>
              <w:t>negativní</w:t>
            </w:r>
          </w:p>
        </w:tc>
        <w:tc>
          <w:tcPr>
            <w:tcW w:w="0" w:type="auto"/>
            <w:shd w:val="clear" w:color="auto" w:fill="auto"/>
          </w:tcPr>
          <w:p w:rsidR="00737A2E" w:rsidRPr="00737A2E" w:rsidRDefault="00255245" w:rsidP="00FA7B84">
            <w:pPr>
              <w:spacing w:line="276" w:lineRule="auto"/>
              <w:rPr>
                <w:rFonts w:cs="Times New Roman"/>
                <w:lang w:val="en-US"/>
              </w:rPr>
            </w:pPr>
            <w:r>
              <w:rPr>
                <w:rFonts w:cs="Times New Roman"/>
                <w:lang w:val="en-US"/>
              </w:rPr>
              <w:t>1</w:t>
            </w:r>
          </w:p>
          <w:p w:rsidR="00737A2E" w:rsidRPr="00737A2E" w:rsidRDefault="00255245" w:rsidP="00FA7B84">
            <w:pPr>
              <w:spacing w:line="276" w:lineRule="auto"/>
              <w:rPr>
                <w:rFonts w:cs="Times New Roman"/>
              </w:rPr>
            </w:pPr>
            <w:r>
              <w:rPr>
                <w:rFonts w:cs="Times New Roman"/>
              </w:rPr>
              <w:t>2</w:t>
            </w:r>
          </w:p>
          <w:p w:rsidR="00737A2E" w:rsidRPr="00737A2E" w:rsidRDefault="00255245" w:rsidP="00FA7B84">
            <w:pPr>
              <w:spacing w:line="276" w:lineRule="auto"/>
              <w:rPr>
                <w:rFonts w:cs="Times New Roman"/>
              </w:rPr>
            </w:pPr>
            <w:r>
              <w:rPr>
                <w:rFonts w:cs="Times New Roman"/>
              </w:rPr>
              <w:t>3</w:t>
            </w:r>
          </w:p>
          <w:p w:rsidR="00737A2E" w:rsidRPr="00737A2E" w:rsidRDefault="00255245" w:rsidP="00FA7B84">
            <w:pPr>
              <w:spacing w:line="276" w:lineRule="auto"/>
              <w:rPr>
                <w:rFonts w:cs="Times New Roman"/>
              </w:rPr>
            </w:pPr>
            <w:r>
              <w:rPr>
                <w:rFonts w:cs="Times New Roman"/>
              </w:rPr>
              <w:t>4</w:t>
            </w:r>
          </w:p>
          <w:p w:rsidR="00737A2E" w:rsidRPr="00737A2E" w:rsidRDefault="00255245" w:rsidP="00FA7B84">
            <w:pPr>
              <w:spacing w:line="276" w:lineRule="auto"/>
              <w:rPr>
                <w:rFonts w:cs="Times New Roman"/>
                <w:lang w:val="en-US"/>
              </w:rPr>
            </w:pPr>
            <w:r>
              <w:rPr>
                <w:rFonts w:cs="Times New Roman"/>
              </w:rPr>
              <w:t>5</w:t>
            </w:r>
          </w:p>
        </w:tc>
      </w:tr>
    </w:tbl>
    <w:p w:rsidR="00AE0C79" w:rsidRPr="00C64919" w:rsidRDefault="00256FDE" w:rsidP="00FA7B84">
      <w:pPr>
        <w:spacing w:line="276" w:lineRule="auto"/>
        <w:rPr>
          <w:i/>
          <w:sz w:val="20"/>
          <w:szCs w:val="20"/>
        </w:rPr>
      </w:pPr>
      <w:r>
        <w:rPr>
          <w:i/>
          <w:sz w:val="20"/>
          <w:szCs w:val="20"/>
        </w:rPr>
        <w:t xml:space="preserve">Zdroj: Upraveno podle SEDLÁČEK, J. </w:t>
      </w:r>
      <w:r w:rsidR="00410788">
        <w:rPr>
          <w:i/>
          <w:sz w:val="20"/>
          <w:szCs w:val="20"/>
        </w:rPr>
        <w:t xml:space="preserve">Finanční analýza podniku, s. 105 </w:t>
      </w:r>
      <w:r w:rsidR="003C0ED9">
        <w:rPr>
          <w:i/>
          <w:sz w:val="20"/>
          <w:szCs w:val="20"/>
        </w:rPr>
        <w:t>–</w:t>
      </w:r>
      <w:r w:rsidR="00410788">
        <w:rPr>
          <w:i/>
          <w:sz w:val="20"/>
          <w:szCs w:val="20"/>
        </w:rPr>
        <w:t xml:space="preserve"> 10</w:t>
      </w:r>
      <w:r w:rsidR="00965EEF">
        <w:rPr>
          <w:i/>
          <w:sz w:val="20"/>
          <w:szCs w:val="20"/>
        </w:rPr>
        <w:t>6</w:t>
      </w:r>
      <w:r w:rsidR="003C0ED9">
        <w:rPr>
          <w:i/>
          <w:sz w:val="20"/>
          <w:szCs w:val="20"/>
        </w:rPr>
        <w:t>.</w:t>
      </w:r>
    </w:p>
    <w:p w:rsidR="001A25EF" w:rsidRDefault="00A61E00" w:rsidP="00FA7B84">
      <w:pPr>
        <w:spacing w:line="276" w:lineRule="auto"/>
        <w:rPr>
          <w:rFonts w:eastAsiaTheme="minorEastAsia"/>
        </w:rPr>
      </w:pPr>
      <w:r>
        <w:rPr>
          <w:rFonts w:eastAsiaTheme="minorEastAsia"/>
        </w:rPr>
        <w:t>Pro potřeby to</w:t>
      </w:r>
      <w:r w:rsidR="001A25EF">
        <w:rPr>
          <w:rFonts w:eastAsiaTheme="minorEastAsia"/>
        </w:rPr>
        <w:t>hoto modelu vypočítáme bilanční</w:t>
      </w:r>
      <w:r>
        <w:rPr>
          <w:rFonts w:eastAsiaTheme="minorEastAsia"/>
        </w:rPr>
        <w:t xml:space="preserve"> cash flow jako</w:t>
      </w:r>
      <w:r w:rsidR="006E279B">
        <w:rPr>
          <w:rStyle w:val="Znakapoznpodarou"/>
          <w:rFonts w:eastAsiaTheme="minorEastAsia"/>
        </w:rPr>
        <w:footnoteReference w:id="50"/>
      </w:r>
      <w:r w:rsidR="001A25EF">
        <w:rPr>
          <w:rFonts w:eastAsiaTheme="minorEastAsia"/>
        </w:rPr>
        <w:t>:</w:t>
      </w:r>
    </w:p>
    <w:p w:rsidR="001A25EF" w:rsidRPr="00EB2617" w:rsidRDefault="001A25EF" w:rsidP="00FA7B84">
      <w:pPr>
        <w:spacing w:line="276" w:lineRule="auto"/>
        <w:rPr>
          <w:rFonts w:eastAsiaTheme="minorEastAsia"/>
          <w:szCs w:val="24"/>
        </w:rPr>
      </w:pPr>
      <m:oMathPara>
        <m:oMath>
          <m:r>
            <m:rPr>
              <m:sty m:val="p"/>
            </m:rPr>
            <w:rPr>
              <w:rFonts w:ascii="Cambria Math" w:eastAsiaTheme="minorEastAsia"/>
              <w:szCs w:val="24"/>
            </w:rPr>
            <m:t>Bilan</m:t>
          </m:r>
          <m:r>
            <m:rPr>
              <m:sty m:val="p"/>
            </m:rPr>
            <w:rPr>
              <w:rFonts w:ascii="Cambria Math" w:eastAsiaTheme="minorEastAsia"/>
              <w:szCs w:val="24"/>
            </w:rPr>
            <m:t>č</m:t>
          </m:r>
          <m:r>
            <m:rPr>
              <m:sty m:val="p"/>
            </m:rPr>
            <w:rPr>
              <w:rFonts w:ascii="Cambria Math" w:eastAsiaTheme="minorEastAsia"/>
              <w:szCs w:val="24"/>
            </w:rPr>
            <m:t>n</m:t>
          </m:r>
          <m:r>
            <m:rPr>
              <m:sty m:val="p"/>
            </m:rPr>
            <w:rPr>
              <w:rFonts w:ascii="Cambria Math" w:eastAsiaTheme="minorEastAsia"/>
              <w:szCs w:val="24"/>
            </w:rPr>
            <m:t>í</m:t>
          </m:r>
          <m:r>
            <m:rPr>
              <m:sty m:val="p"/>
            </m:rPr>
            <w:rPr>
              <w:rFonts w:ascii="Cambria Math" w:eastAsiaTheme="minorEastAsia"/>
              <w:szCs w:val="24"/>
            </w:rPr>
            <m:t xml:space="preserve"> CF=</m:t>
          </m:r>
          <m:r>
            <m:rPr>
              <m:sty m:val="p"/>
            </m:rPr>
            <w:rPr>
              <w:rFonts w:ascii="Cambria Math" w:eastAsiaTheme="minorEastAsia"/>
              <w:szCs w:val="24"/>
            </w:rPr>
            <m:t>č</m:t>
          </m:r>
          <m:r>
            <m:rPr>
              <m:sty m:val="p"/>
            </m:rPr>
            <w:rPr>
              <w:rFonts w:ascii="Cambria Math" w:eastAsiaTheme="minorEastAsia"/>
              <w:szCs w:val="24"/>
            </w:rPr>
            <m:t>ist</m:t>
          </m:r>
          <m:r>
            <m:rPr>
              <m:sty m:val="p"/>
            </m:rPr>
            <w:rPr>
              <w:rFonts w:ascii="Cambria Math" w:eastAsiaTheme="minorEastAsia"/>
              <w:szCs w:val="24"/>
            </w:rPr>
            <m:t>ý</m:t>
          </m:r>
          <m:r>
            <m:rPr>
              <m:sty m:val="p"/>
            </m:rPr>
            <w:rPr>
              <w:rFonts w:ascii="Cambria Math" w:eastAsiaTheme="minorEastAsia"/>
              <w:szCs w:val="24"/>
            </w:rPr>
            <m:t xml:space="preserve"> zisk</m:t>
          </m:r>
          <m:r>
            <m:rPr>
              <m:sty m:val="p"/>
            </m:rPr>
            <w:rPr>
              <w:rFonts w:ascii="Cambria Math" w:eastAsiaTheme="minorEastAsia"/>
              <w:szCs w:val="24"/>
            </w:rPr>
            <m:t>-</m:t>
          </m:r>
          <m:r>
            <m:rPr>
              <m:sty m:val="p"/>
            </m:rPr>
            <w:rPr>
              <w:rFonts w:ascii="Cambria Math" w:eastAsiaTheme="minorEastAsia"/>
              <w:szCs w:val="24"/>
            </w:rPr>
            <m:t>da</m:t>
          </m:r>
          <m:r>
            <m:rPr>
              <m:sty m:val="p"/>
            </m:rPr>
            <w:rPr>
              <w:rFonts w:ascii="Cambria Math" w:eastAsiaTheme="minorEastAsia"/>
              <w:szCs w:val="24"/>
            </w:rPr>
            <m:t>ň</m:t>
          </m:r>
          <m:r>
            <m:rPr>
              <m:sty m:val="p"/>
            </m:rPr>
            <w:rPr>
              <w:rFonts w:ascii="Cambria Math" w:eastAsiaTheme="minorEastAsia"/>
              <w:szCs w:val="24"/>
            </w:rPr>
            <m:t xml:space="preserve"> z</m:t>
          </m:r>
          <m:r>
            <m:rPr>
              <m:sty m:val="p"/>
            </m:rPr>
            <w:rPr>
              <w:rFonts w:ascii="Cambria Math" w:eastAsiaTheme="minorEastAsia"/>
              <w:szCs w:val="24"/>
            </w:rPr>
            <m:t> </m:t>
          </m:r>
          <m:r>
            <m:rPr>
              <m:sty m:val="p"/>
            </m:rPr>
            <w:rPr>
              <w:rFonts w:ascii="Cambria Math" w:eastAsiaTheme="minorEastAsia"/>
              <w:szCs w:val="24"/>
            </w:rPr>
            <m:t>p</m:t>
          </m:r>
          <m:r>
            <m:rPr>
              <m:sty m:val="p"/>
            </m:rPr>
            <w:rPr>
              <w:rFonts w:ascii="Cambria Math" w:eastAsiaTheme="minorEastAsia"/>
              <w:szCs w:val="24"/>
            </w:rPr>
            <m:t>ří</m:t>
          </m:r>
          <m:r>
            <m:rPr>
              <m:sty m:val="p"/>
            </m:rPr>
            <w:rPr>
              <w:rFonts w:ascii="Cambria Math" w:eastAsiaTheme="minorEastAsia"/>
              <w:szCs w:val="24"/>
            </w:rPr>
            <m:t>jm</m:t>
          </m:r>
          <m:r>
            <m:rPr>
              <m:sty m:val="p"/>
            </m:rPr>
            <w:rPr>
              <w:rFonts w:ascii="Cambria Math" w:eastAsiaTheme="minorEastAsia"/>
              <w:szCs w:val="24"/>
            </w:rPr>
            <m:t>ů</m:t>
          </m:r>
          <m:r>
            <m:rPr>
              <m:sty m:val="p"/>
            </m:rPr>
            <w:rPr>
              <w:rFonts w:ascii="Cambria Math" w:eastAsiaTheme="minorEastAsia"/>
              <w:szCs w:val="24"/>
            </w:rPr>
            <m:t>+odpisy</m:t>
          </m:r>
          <m:r>
            <m:rPr>
              <m:sty m:val="p"/>
            </m:rPr>
            <w:rPr>
              <w:rFonts w:ascii="Cambria Math" w:eastAsiaTheme="minorEastAsia"/>
              <w:szCs w:val="24"/>
            </w:rPr>
            <m:t>-č</m:t>
          </m:r>
          <m:r>
            <m:rPr>
              <m:sty m:val="p"/>
            </m:rPr>
            <w:rPr>
              <w:rFonts w:ascii="Cambria Math" w:eastAsiaTheme="minorEastAsia"/>
              <w:szCs w:val="24"/>
            </w:rPr>
            <m:t>asov</m:t>
          </m:r>
          <m:r>
            <m:rPr>
              <m:sty m:val="p"/>
            </m:rPr>
            <w:rPr>
              <w:rFonts w:ascii="Cambria Math" w:eastAsiaTheme="minorEastAsia"/>
              <w:szCs w:val="24"/>
            </w:rPr>
            <m:t>é</m:t>
          </m:r>
          <m:r>
            <m:rPr>
              <m:sty m:val="p"/>
            </m:rPr>
            <w:rPr>
              <w:rFonts w:ascii="Cambria Math" w:eastAsiaTheme="minorEastAsia"/>
              <w:szCs w:val="24"/>
            </w:rPr>
            <m:t xml:space="preserve"> rozli</m:t>
          </m:r>
          <m:r>
            <m:rPr>
              <m:sty m:val="p"/>
            </m:rPr>
            <w:rPr>
              <w:rFonts w:ascii="Cambria Math" w:eastAsiaTheme="minorEastAsia"/>
              <w:szCs w:val="24"/>
            </w:rPr>
            <m:t>š</m:t>
          </m:r>
          <m:r>
            <m:rPr>
              <m:sty m:val="p"/>
            </m:rPr>
            <w:rPr>
              <w:rFonts w:ascii="Cambria Math" w:eastAsiaTheme="minorEastAsia"/>
              <w:szCs w:val="24"/>
            </w:rPr>
            <m:t>en</m:t>
          </m:r>
          <m:r>
            <m:rPr>
              <m:sty m:val="p"/>
            </m:rPr>
            <w:rPr>
              <w:rFonts w:ascii="Cambria Math" w:eastAsiaTheme="minorEastAsia"/>
              <w:szCs w:val="24"/>
            </w:rPr>
            <m:t>í</m:t>
          </m:r>
          <m:r>
            <m:rPr>
              <m:sty m:val="p"/>
            </m:rPr>
            <w:rPr>
              <w:rFonts w:ascii="Cambria Math" w:eastAsiaTheme="minorEastAsia"/>
              <w:szCs w:val="24"/>
            </w:rPr>
            <m:t xml:space="preserve"> aktiv+</m:t>
          </m:r>
          <m:r>
            <m:rPr>
              <m:sty m:val="p"/>
            </m:rPr>
            <w:rPr>
              <w:rFonts w:ascii="Cambria Math" w:eastAsiaTheme="minorEastAsia"/>
              <w:szCs w:val="24"/>
            </w:rPr>
            <m:t>č</m:t>
          </m:r>
          <m:r>
            <m:rPr>
              <m:sty m:val="p"/>
            </m:rPr>
            <w:rPr>
              <w:rFonts w:ascii="Cambria Math" w:eastAsiaTheme="minorEastAsia"/>
              <w:szCs w:val="24"/>
            </w:rPr>
            <m:t>asov</m:t>
          </m:r>
          <m:r>
            <m:rPr>
              <m:sty m:val="p"/>
            </m:rPr>
            <w:rPr>
              <w:rFonts w:ascii="Cambria Math" w:eastAsiaTheme="minorEastAsia"/>
              <w:szCs w:val="24"/>
            </w:rPr>
            <m:t>é</m:t>
          </m:r>
          <m:r>
            <m:rPr>
              <m:sty m:val="p"/>
            </m:rPr>
            <w:rPr>
              <w:rFonts w:ascii="Cambria Math" w:eastAsiaTheme="minorEastAsia"/>
              <w:szCs w:val="24"/>
            </w:rPr>
            <m:t xml:space="preserve"> rozli</m:t>
          </m:r>
          <m:r>
            <m:rPr>
              <m:sty m:val="p"/>
            </m:rPr>
            <w:rPr>
              <w:rFonts w:ascii="Cambria Math" w:eastAsiaTheme="minorEastAsia"/>
              <w:szCs w:val="24"/>
            </w:rPr>
            <m:t>š</m:t>
          </m:r>
          <m:r>
            <m:rPr>
              <m:sty m:val="p"/>
            </m:rPr>
            <w:rPr>
              <w:rFonts w:ascii="Cambria Math" w:eastAsiaTheme="minorEastAsia"/>
              <w:szCs w:val="24"/>
            </w:rPr>
            <m:t>en</m:t>
          </m:r>
          <m:r>
            <m:rPr>
              <m:sty m:val="p"/>
            </m:rPr>
            <w:rPr>
              <w:rFonts w:ascii="Cambria Math" w:eastAsiaTheme="minorEastAsia"/>
              <w:szCs w:val="24"/>
            </w:rPr>
            <m:t>í</m:t>
          </m:r>
          <m:r>
            <m:rPr>
              <m:sty m:val="p"/>
            </m:rPr>
            <w:rPr>
              <w:rFonts w:ascii="Cambria Math" w:eastAsiaTheme="minorEastAsia"/>
              <w:szCs w:val="24"/>
            </w:rPr>
            <m:t xml:space="preserve"> pasiv</m:t>
          </m:r>
        </m:oMath>
      </m:oMathPara>
    </w:p>
    <w:p w:rsidR="00AE0C79" w:rsidRDefault="00A61E00" w:rsidP="00FA7B84">
      <w:pPr>
        <w:spacing w:line="276" w:lineRule="auto"/>
        <w:rPr>
          <w:rFonts w:eastAsiaTheme="minorEastAsia"/>
        </w:rPr>
      </w:pPr>
      <w:r>
        <w:t>Na základě výpočtu jednotlivých ukazatelů a jejich hodnoty potom těmto u</w:t>
      </w:r>
      <w:r w:rsidR="00C64919">
        <w:t>kazatelům přiřazujeme známku</w:t>
      </w:r>
      <w:r>
        <w:t xml:space="preserve">. </w:t>
      </w:r>
      <w:r w:rsidR="00C64919">
        <w:t xml:space="preserve">Vyšší známky značí špatnou situaci, nižší známky naopak dobrou situaci podniku. </w:t>
      </w:r>
      <w:r>
        <w:t>Výsledná známka</w:t>
      </w:r>
      <w:r w:rsidR="00C64919">
        <w:t>,</w:t>
      </w:r>
      <w:r>
        <w:t xml:space="preserve"> hodnotící celkovou schopnost podniku</w:t>
      </w:r>
      <w:r w:rsidR="00C64919">
        <w:t>,</w:t>
      </w:r>
      <w:r>
        <w:t xml:space="preserve"> se pak vypočítá jako </w:t>
      </w:r>
      <w:r w:rsidR="00C64919">
        <w:t>aritmetický průměr známek jednotlivých ukazatelů.</w:t>
      </w:r>
    </w:p>
    <w:p w:rsidR="00AE0C79" w:rsidRDefault="00A61E00" w:rsidP="00FA7B84">
      <w:pPr>
        <w:spacing w:line="276" w:lineRule="auto"/>
      </w:pPr>
      <w:r>
        <w:t>Kromě tohoto hodnocení můžeme také podnik zhod</w:t>
      </w:r>
      <w:r w:rsidR="00C64919">
        <w:t>notit zprůměrováním známek ukazatelů kvóty vlastního kapitálu a doby splácení dluhu z cash flow, což</w:t>
      </w:r>
      <w:r>
        <w:t xml:space="preserve"> nám poskytne výslednou </w:t>
      </w:r>
      <w:r>
        <w:lastRenderedPageBreak/>
        <w:t xml:space="preserve">známku finanční stability podniku. Zprůměrování </w:t>
      </w:r>
      <w:r w:rsidR="00C64919">
        <w:t>známek ukazatelů cash flow v tržbách a ROA</w:t>
      </w:r>
      <w:r>
        <w:t xml:space="preserve"> pak hodnotí výnosovou situaci podniku.</w:t>
      </w:r>
      <w:r>
        <w:rPr>
          <w:rStyle w:val="Znakapoznpodarou"/>
        </w:rPr>
        <w:footnoteReference w:id="51"/>
      </w:r>
    </w:p>
    <w:p w:rsidR="00AE0C79" w:rsidRDefault="00A61E00" w:rsidP="00FA7B84">
      <w:pPr>
        <w:pStyle w:val="Nadpis3"/>
        <w:spacing w:line="276" w:lineRule="auto"/>
      </w:pPr>
      <w:bookmarkStart w:id="26" w:name="_Toc324932894"/>
      <w:r>
        <w:t>IN Index</w:t>
      </w:r>
      <w:bookmarkEnd w:id="26"/>
    </w:p>
    <w:p w:rsidR="00AE0C79" w:rsidRDefault="00A61E00" w:rsidP="00FA7B84">
      <w:pPr>
        <w:spacing w:line="276" w:lineRule="auto"/>
      </w:pPr>
      <w:r>
        <w:t>IN index je výsledkem práce manželů Neumaierových, kteří se snažili vytvořit model, který by byl vhodný pro posouzení finančního zdraví českých podniků.</w:t>
      </w:r>
      <w:r>
        <w:rPr>
          <w:rStyle w:val="Znakapoznpodarou"/>
        </w:rPr>
        <w:footnoteReference w:id="52"/>
      </w:r>
      <w:r>
        <w:t xml:space="preserve"> Největší výhodou použití IN indexu v českém prostředí tedy je, že pro něj byl speciálně vytvořen. Není to tudíž model, který byl vytvořen pro jiné trhy, a který by nezohledňoval specifika českého prostředí, jako je tomu například u známějšího Altmanova modelu. Index IN01 vypočítáme následujícím způsobem.</w:t>
      </w:r>
      <w:r>
        <w:rPr>
          <w:rStyle w:val="Znakapoznpodarou"/>
        </w:rPr>
        <w:footnoteReference w:id="53"/>
      </w:r>
    </w:p>
    <w:p w:rsidR="00AE0C79" w:rsidRDefault="00AE0C79" w:rsidP="00FA7B84">
      <w:pPr>
        <w:spacing w:line="276" w:lineRule="auto"/>
      </w:pPr>
    </w:p>
    <w:p w:rsidR="00AE0C79" w:rsidRDefault="00A61E00" w:rsidP="00FA7B84">
      <w:pPr>
        <w:spacing w:line="276" w:lineRule="auto"/>
        <w:rPr>
          <w:rFonts w:eastAsiaTheme="minorEastAsia"/>
        </w:rPr>
      </w:pPr>
      <m:oMathPara>
        <m:oMath>
          <m:r>
            <m:rPr>
              <m:sty m:val="p"/>
            </m:rPr>
            <w:rPr>
              <w:rFonts w:ascii="Cambria Math"/>
            </w:rPr>
            <m:t>IN01=0,13</m:t>
          </m:r>
          <m:r>
            <m:rPr>
              <m:sty m:val="p"/>
            </m:rPr>
            <w:rPr>
              <w:rFonts w:ascii="Cambria Math" w:hAnsi="Cambria Math"/>
            </w:rPr>
            <m:t>×</m:t>
          </m:r>
          <m:f>
            <m:fPr>
              <m:ctrlPr>
                <w:rPr>
                  <w:rFonts w:ascii="Cambria Math" w:hAnsi="Cambria Math"/>
                </w:rPr>
              </m:ctrlPr>
            </m:fPr>
            <m:num>
              <m:r>
                <m:rPr>
                  <m:sty m:val="p"/>
                </m:rPr>
                <w:rPr>
                  <w:rFonts w:ascii="Cambria Math"/>
                </w:rPr>
                <m:t>Aktiva</m:t>
              </m:r>
            </m:num>
            <m:den>
              <m:r>
                <m:rPr>
                  <m:sty m:val="p"/>
                </m:rPr>
                <w:rPr>
                  <w:rFonts w:ascii="Cambria Math"/>
                </w:rPr>
                <m:t>Ciz</m:t>
              </m:r>
              <m:r>
                <m:rPr>
                  <m:sty m:val="p"/>
                </m:rPr>
                <w:rPr>
                  <w:rFonts w:ascii="Cambria Math"/>
                </w:rPr>
                <m:t>í</m:t>
              </m:r>
              <m:r>
                <m:rPr>
                  <m:sty m:val="p"/>
                </m:rPr>
                <w:rPr>
                  <w:rFonts w:ascii="Cambria Math"/>
                </w:rPr>
                <m:t xml:space="preserve"> zdroje</m:t>
              </m:r>
            </m:den>
          </m:f>
          <m:r>
            <m:rPr>
              <m:sty m:val="p"/>
            </m:rPr>
            <w:rPr>
              <w:rFonts w:ascii="Cambria Math"/>
            </w:rPr>
            <m:t>+0,04</m:t>
          </m:r>
          <m:r>
            <m:rPr>
              <m:sty m:val="p"/>
            </m:rPr>
            <w:rPr>
              <w:rFonts w:ascii="Cambria Math" w:hAnsi="Cambria Math"/>
            </w:rPr>
            <m:t>×</m:t>
          </m:r>
          <m:f>
            <m:fPr>
              <m:ctrlPr>
                <w:rPr>
                  <w:rFonts w:ascii="Cambria Math" w:hAnsi="Cambria Math"/>
                </w:rPr>
              </m:ctrlPr>
            </m:fPr>
            <m:num>
              <m:r>
                <m:rPr>
                  <m:sty m:val="p"/>
                </m:rPr>
                <w:rPr>
                  <w:rFonts w:ascii="Cambria Math"/>
                </w:rPr>
                <m:t>EBIT</m:t>
              </m:r>
            </m:num>
            <m:den>
              <m:r>
                <m:rPr>
                  <m:sty m:val="p"/>
                </m:rPr>
                <w:rPr>
                  <w:rFonts w:ascii="Cambria Math"/>
                </w:rPr>
                <m:t>N</m:t>
              </m:r>
              <m:r>
                <m:rPr>
                  <m:sty m:val="p"/>
                </m:rPr>
                <w:rPr>
                  <w:rFonts w:ascii="Cambria Math"/>
                </w:rPr>
                <m:t>á</m:t>
              </m:r>
              <m:r>
                <m:rPr>
                  <m:sty m:val="p"/>
                </m:rPr>
                <w:rPr>
                  <w:rFonts w:ascii="Cambria Math"/>
                </w:rPr>
                <m:t>kladov</m:t>
              </m:r>
              <m:r>
                <m:rPr>
                  <m:sty m:val="p"/>
                </m:rPr>
                <w:rPr>
                  <w:rFonts w:ascii="Cambria Math"/>
                </w:rPr>
                <m:t>é</m:t>
              </m:r>
              <m:r>
                <m:rPr>
                  <m:sty m:val="p"/>
                </m:rPr>
                <w:rPr>
                  <w:rFonts w:ascii="Cambria Math"/>
                </w:rPr>
                <m:t xml:space="preserve"> </m:t>
              </m:r>
              <m:r>
                <m:rPr>
                  <m:sty m:val="p"/>
                </m:rPr>
                <w:rPr>
                  <w:rFonts w:ascii="Cambria Math"/>
                </w:rPr>
                <m:t>ú</m:t>
              </m:r>
              <m:r>
                <m:rPr>
                  <m:sty m:val="p"/>
                </m:rPr>
                <w:rPr>
                  <w:rFonts w:ascii="Cambria Math"/>
                </w:rPr>
                <m:t>roky</m:t>
              </m:r>
            </m:den>
          </m:f>
          <m:r>
            <m:rPr>
              <m:sty m:val="p"/>
            </m:rPr>
            <w:rPr>
              <w:rFonts w:ascii="Cambria Math"/>
            </w:rPr>
            <m:t>+3,92</m:t>
          </m:r>
          <m:r>
            <m:rPr>
              <m:sty m:val="p"/>
            </m:rPr>
            <w:rPr>
              <w:rFonts w:ascii="Cambria Math" w:hAnsi="Cambria Math"/>
            </w:rPr>
            <m:t>×</m:t>
          </m:r>
          <m:f>
            <m:fPr>
              <m:ctrlPr>
                <w:rPr>
                  <w:rFonts w:ascii="Cambria Math" w:hAnsi="Cambria Math"/>
                </w:rPr>
              </m:ctrlPr>
            </m:fPr>
            <m:num>
              <m:r>
                <m:rPr>
                  <m:sty m:val="p"/>
                </m:rPr>
                <w:rPr>
                  <w:rFonts w:ascii="Cambria Math"/>
                </w:rPr>
                <m:t>EBIT</m:t>
              </m:r>
            </m:num>
            <m:den>
              <m:r>
                <m:rPr>
                  <m:sty m:val="p"/>
                </m:rPr>
                <w:rPr>
                  <w:rFonts w:ascii="Cambria Math"/>
                </w:rPr>
                <m:t>Aktiva</m:t>
              </m:r>
            </m:den>
          </m:f>
          <m:r>
            <m:rPr>
              <m:sty m:val="p"/>
            </m:rPr>
            <w:rPr>
              <w:rFonts w:ascii="Cambria Math"/>
            </w:rPr>
            <m:t>+0,21</m:t>
          </m:r>
          <m:r>
            <m:rPr>
              <m:sty m:val="p"/>
            </m:rPr>
            <w:rPr>
              <w:rFonts w:ascii="Cambria Math" w:hAnsi="Cambria Math"/>
            </w:rPr>
            <m:t>×</m:t>
          </m:r>
          <m:f>
            <m:fPr>
              <m:ctrlPr>
                <w:rPr>
                  <w:rFonts w:ascii="Cambria Math" w:hAnsi="Cambria Math"/>
                </w:rPr>
              </m:ctrlPr>
            </m:fPr>
            <m:num>
              <m:r>
                <m:rPr>
                  <m:sty m:val="p"/>
                </m:rPr>
                <w:rPr>
                  <w:rFonts w:ascii="Cambria Math"/>
                </w:rPr>
                <m:t>V</m:t>
              </m:r>
              <m:r>
                <m:rPr>
                  <m:sty m:val="p"/>
                </m:rPr>
                <w:rPr>
                  <w:rFonts w:ascii="Cambria Math"/>
                </w:rPr>
                <m:t>ý</m:t>
              </m:r>
              <m:r>
                <m:rPr>
                  <m:sty m:val="p"/>
                </m:rPr>
                <w:rPr>
                  <w:rFonts w:ascii="Cambria Math"/>
                </w:rPr>
                <m:t>nosy</m:t>
              </m:r>
            </m:num>
            <m:den>
              <m:r>
                <m:rPr>
                  <m:sty m:val="p"/>
                </m:rPr>
                <w:rPr>
                  <w:rFonts w:ascii="Cambria Math"/>
                </w:rPr>
                <m:t>Aktiva</m:t>
              </m:r>
            </m:den>
          </m:f>
          <m:r>
            <m:rPr>
              <m:sty m:val="p"/>
            </m:rPr>
            <w:rPr>
              <w:rFonts w:ascii="Cambria Math"/>
            </w:rPr>
            <m:t>+0,09</m:t>
          </m:r>
          <m:r>
            <m:rPr>
              <m:sty m:val="p"/>
            </m:rPr>
            <w:rPr>
              <w:rFonts w:ascii="Cambria Math" w:hAnsi="Cambria Math"/>
            </w:rPr>
            <m:t>×</m:t>
          </m:r>
          <m:f>
            <m:fPr>
              <m:ctrlPr>
                <w:rPr>
                  <w:rFonts w:ascii="Cambria Math" w:hAnsi="Cambria Math"/>
                </w:rPr>
              </m:ctrlPr>
            </m:fPr>
            <m:num>
              <m:r>
                <m:rPr>
                  <m:sty m:val="p"/>
                </m:rPr>
                <w:rPr>
                  <w:rFonts w:ascii="Cambria Math"/>
                </w:rPr>
                <m:t>Ob</m:t>
              </m:r>
              <m:r>
                <m:rPr>
                  <m:sty m:val="p"/>
                </m:rPr>
                <w:rPr>
                  <w:rFonts w:ascii="Cambria Math"/>
                </w:rPr>
                <m:t>ěž</m:t>
              </m:r>
              <m:r>
                <m:rPr>
                  <m:sty m:val="p"/>
                </m:rPr>
                <w:rPr>
                  <w:rFonts w:ascii="Cambria Math"/>
                </w:rPr>
                <m:t>n</m:t>
              </m:r>
              <m:r>
                <m:rPr>
                  <m:sty m:val="p"/>
                </m:rPr>
                <w:rPr>
                  <w:rFonts w:ascii="Cambria Math"/>
                </w:rPr>
                <m:t>á</m:t>
              </m:r>
              <m:r>
                <m:rPr>
                  <m:sty m:val="p"/>
                </m:rPr>
                <w:rPr>
                  <w:rFonts w:ascii="Cambria Math"/>
                </w:rPr>
                <m:t xml:space="preserve"> aktiva</m:t>
              </m:r>
            </m:num>
            <m:den>
              <m:r>
                <m:rPr>
                  <m:sty m:val="p"/>
                </m:rPr>
                <w:rPr>
                  <w:rFonts w:ascii="Cambria Math"/>
                </w:rPr>
                <m:t>Kr</m:t>
              </m:r>
              <m:r>
                <m:rPr>
                  <m:sty m:val="p"/>
                </m:rPr>
                <w:rPr>
                  <w:rFonts w:ascii="Cambria Math"/>
                </w:rPr>
                <m:t>á</m:t>
              </m:r>
              <m:r>
                <m:rPr>
                  <m:sty m:val="p"/>
                </m:rPr>
                <w:rPr>
                  <w:rFonts w:ascii="Cambria Math"/>
                </w:rPr>
                <m:t>tkodob</m:t>
              </m:r>
              <m:r>
                <m:rPr>
                  <m:sty m:val="p"/>
                </m:rPr>
                <w:rPr>
                  <w:rFonts w:ascii="Cambria Math"/>
                </w:rPr>
                <m:t>é</m:t>
              </m:r>
              <m:r>
                <m:rPr>
                  <m:sty m:val="p"/>
                </m:rPr>
                <w:rPr>
                  <w:rFonts w:ascii="Cambria Math"/>
                </w:rPr>
                <m:t xml:space="preserve"> z</m:t>
              </m:r>
              <m:r>
                <m:rPr>
                  <m:sty m:val="p"/>
                </m:rPr>
                <w:rPr>
                  <w:rFonts w:ascii="Cambria Math"/>
                </w:rPr>
                <m:t>á</m:t>
              </m:r>
              <m:r>
                <m:rPr>
                  <m:sty m:val="p"/>
                </m:rPr>
                <w:rPr>
                  <w:rFonts w:ascii="Cambria Math"/>
                </w:rPr>
                <m:t>vazky+Kr</m:t>
              </m:r>
              <m:r>
                <m:rPr>
                  <m:sty m:val="p"/>
                </m:rPr>
                <w:rPr>
                  <w:rFonts w:ascii="Cambria Math"/>
                </w:rPr>
                <m:t>á</m:t>
              </m:r>
              <m:r>
                <m:rPr>
                  <m:sty m:val="p"/>
                </m:rPr>
                <w:rPr>
                  <w:rFonts w:ascii="Cambria Math"/>
                </w:rPr>
                <m:t>tkodob</m:t>
              </m:r>
              <m:r>
                <m:rPr>
                  <m:sty m:val="p"/>
                </m:rPr>
                <w:rPr>
                  <w:rFonts w:ascii="Cambria Math"/>
                </w:rPr>
                <m:t>é</m:t>
              </m:r>
              <m:r>
                <m:rPr>
                  <m:sty m:val="p"/>
                </m:rPr>
                <w:rPr>
                  <w:rFonts w:ascii="Cambria Math"/>
                </w:rPr>
                <m:t xml:space="preserve"> bankovn</m:t>
              </m:r>
              <m:r>
                <m:rPr>
                  <m:sty m:val="p"/>
                </m:rPr>
                <w:rPr>
                  <w:rFonts w:ascii="Cambria Math"/>
                </w:rPr>
                <m:t>í</m:t>
              </m:r>
              <m:r>
                <m:rPr>
                  <m:sty m:val="p"/>
                </m:rPr>
                <w:rPr>
                  <w:rFonts w:ascii="Cambria Math"/>
                </w:rPr>
                <m:t xml:space="preserve"> </m:t>
              </m:r>
              <m:r>
                <m:rPr>
                  <m:sty m:val="p"/>
                </m:rPr>
                <w:rPr>
                  <w:rFonts w:ascii="Cambria Math"/>
                </w:rPr>
                <m:t>ú</m:t>
              </m:r>
              <m:r>
                <m:rPr>
                  <m:sty m:val="p"/>
                </m:rPr>
                <w:rPr>
                  <w:rFonts w:ascii="Cambria Math"/>
                </w:rPr>
                <m:t>v</m:t>
              </m:r>
              <m:r>
                <m:rPr>
                  <m:sty m:val="p"/>
                </m:rPr>
                <w:rPr>
                  <w:rFonts w:ascii="Cambria Math"/>
                </w:rPr>
                <m:t>ě</m:t>
              </m:r>
              <m:r>
                <m:rPr>
                  <m:sty m:val="p"/>
                </m:rPr>
                <w:rPr>
                  <w:rFonts w:ascii="Cambria Math"/>
                </w:rPr>
                <m:t>ry</m:t>
              </m:r>
            </m:den>
          </m:f>
        </m:oMath>
      </m:oMathPara>
    </w:p>
    <w:p w:rsidR="00AE0C79" w:rsidRDefault="00A61E00" w:rsidP="00FA7B84">
      <w:pPr>
        <w:spacing w:line="276" w:lineRule="auto"/>
        <w:rPr>
          <w:rFonts w:eastAsiaTheme="minorEastAsia"/>
        </w:rPr>
      </w:pPr>
      <w:r>
        <w:rPr>
          <w:rFonts w:eastAsiaTheme="minorEastAsia"/>
        </w:rPr>
        <w:t>Na základě vypočítané hodnoty poté můžeme podnik slovně ohodnotit podle tabulky:</w:t>
      </w:r>
    </w:p>
    <w:p w:rsidR="00AE0C79" w:rsidRDefault="00A61E00" w:rsidP="00FA7B84">
      <w:pPr>
        <w:pStyle w:val="Titulek"/>
        <w:keepNext/>
        <w:spacing w:line="276" w:lineRule="auto"/>
      </w:pPr>
      <w:bookmarkStart w:id="27" w:name="_Toc324932924"/>
      <w:r>
        <w:t xml:space="preserve">Tabulka </w:t>
      </w:r>
      <w:fldSimple w:instr=" SEQ Tabulka \* ARABIC ">
        <w:r w:rsidR="00F5284D">
          <w:rPr>
            <w:noProof/>
          </w:rPr>
          <w:t>2</w:t>
        </w:r>
      </w:fldSimple>
      <w:r>
        <w:t>: Hodnocení indexu IN01</w:t>
      </w:r>
      <w:bookmarkEnd w:id="27"/>
    </w:p>
    <w:tbl>
      <w:tblPr>
        <w:tblStyle w:val="Mkatabulky"/>
        <w:tblW w:w="0" w:type="auto"/>
        <w:tblLook w:val="04A0"/>
      </w:tblPr>
      <w:tblGrid>
        <w:gridCol w:w="1567"/>
        <w:gridCol w:w="2349"/>
      </w:tblGrid>
      <w:tr w:rsidR="00AE0C79">
        <w:tc>
          <w:tcPr>
            <w:tcW w:w="0" w:type="auto"/>
            <w:shd w:val="clear" w:color="auto" w:fill="8DB3E2" w:themeFill="text2" w:themeFillTint="66"/>
          </w:tcPr>
          <w:p w:rsidR="00AE0C79" w:rsidRDefault="00A61E00" w:rsidP="00FA7B84">
            <w:pPr>
              <w:spacing w:line="276" w:lineRule="auto"/>
            </w:pPr>
            <w:r>
              <w:t>Hodnota IN01</w:t>
            </w:r>
          </w:p>
        </w:tc>
        <w:tc>
          <w:tcPr>
            <w:tcW w:w="0" w:type="auto"/>
            <w:shd w:val="clear" w:color="auto" w:fill="8DB3E2" w:themeFill="text2" w:themeFillTint="66"/>
          </w:tcPr>
          <w:p w:rsidR="00AE0C79" w:rsidRDefault="00A61E00" w:rsidP="00FA7B84">
            <w:pPr>
              <w:spacing w:line="276" w:lineRule="auto"/>
            </w:pPr>
            <w:r>
              <w:t>Slovní hodnocení</w:t>
            </w:r>
          </w:p>
        </w:tc>
      </w:tr>
      <w:tr w:rsidR="00AE0C79">
        <w:tc>
          <w:tcPr>
            <w:tcW w:w="0" w:type="auto"/>
          </w:tcPr>
          <w:p w:rsidR="00AE0C79" w:rsidRDefault="00A61E00" w:rsidP="00FA7B84">
            <w:pPr>
              <w:spacing w:line="276" w:lineRule="auto"/>
            </w:pPr>
            <w:r>
              <w:t>Menší než 0,75</w:t>
            </w:r>
          </w:p>
        </w:tc>
        <w:tc>
          <w:tcPr>
            <w:tcW w:w="0" w:type="auto"/>
          </w:tcPr>
          <w:p w:rsidR="00AE0C79" w:rsidRDefault="00A61E00" w:rsidP="00FA7B84">
            <w:pPr>
              <w:spacing w:line="276" w:lineRule="auto"/>
            </w:pPr>
            <w:r>
              <w:t>Podnik spěje k bankrotu</w:t>
            </w:r>
          </w:p>
        </w:tc>
      </w:tr>
      <w:tr w:rsidR="00AE0C79">
        <w:tc>
          <w:tcPr>
            <w:tcW w:w="0" w:type="auto"/>
          </w:tcPr>
          <w:p w:rsidR="00AE0C79" w:rsidRDefault="00A61E00" w:rsidP="00FA7B84">
            <w:pPr>
              <w:spacing w:line="276" w:lineRule="auto"/>
            </w:pPr>
            <w:r>
              <w:t>0,75 – 1,77</w:t>
            </w:r>
          </w:p>
        </w:tc>
        <w:tc>
          <w:tcPr>
            <w:tcW w:w="0" w:type="auto"/>
          </w:tcPr>
          <w:p w:rsidR="00AE0C79" w:rsidRDefault="00A61E00" w:rsidP="00FA7B84">
            <w:pPr>
              <w:spacing w:line="276" w:lineRule="auto"/>
            </w:pPr>
            <w:r>
              <w:t>Šedá zóna</w:t>
            </w:r>
          </w:p>
        </w:tc>
      </w:tr>
      <w:tr w:rsidR="00AE0C79">
        <w:tc>
          <w:tcPr>
            <w:tcW w:w="0" w:type="auto"/>
          </w:tcPr>
          <w:p w:rsidR="00AE0C79" w:rsidRDefault="00A61E00" w:rsidP="00FA7B84">
            <w:pPr>
              <w:spacing w:line="276" w:lineRule="auto"/>
            </w:pPr>
            <w:r>
              <w:t>Větší než 1,77</w:t>
            </w:r>
          </w:p>
        </w:tc>
        <w:tc>
          <w:tcPr>
            <w:tcW w:w="0" w:type="auto"/>
          </w:tcPr>
          <w:p w:rsidR="00AE0C79" w:rsidRDefault="00A61E00" w:rsidP="00FA7B84">
            <w:pPr>
              <w:spacing w:line="276" w:lineRule="auto"/>
            </w:pPr>
            <w:r>
              <w:t>Podnik tvoří hodnotu</w:t>
            </w:r>
          </w:p>
        </w:tc>
      </w:tr>
    </w:tbl>
    <w:p w:rsidR="00AE0C79" w:rsidRDefault="00A61E00" w:rsidP="00FA7B84">
      <w:pPr>
        <w:spacing w:line="276" w:lineRule="auto"/>
        <w:rPr>
          <w:i/>
          <w:sz w:val="20"/>
          <w:szCs w:val="20"/>
        </w:rPr>
      </w:pPr>
      <w:r>
        <w:rPr>
          <w:i/>
          <w:sz w:val="20"/>
          <w:szCs w:val="20"/>
        </w:rPr>
        <w:t xml:space="preserve">Zdroj: Upraveno podle SUCHÁNEK, P. Finanční </w:t>
      </w:r>
      <w:r w:rsidR="00965EEF">
        <w:rPr>
          <w:i/>
          <w:sz w:val="20"/>
          <w:szCs w:val="20"/>
        </w:rPr>
        <w:t>managemen</w:t>
      </w:r>
      <w:r>
        <w:rPr>
          <w:i/>
          <w:sz w:val="20"/>
          <w:szCs w:val="20"/>
        </w:rPr>
        <w:t>t</w:t>
      </w:r>
      <w:r w:rsidR="00965EEF">
        <w:rPr>
          <w:i/>
          <w:sz w:val="20"/>
          <w:szCs w:val="20"/>
        </w:rPr>
        <w:t>,</w:t>
      </w:r>
      <w:r>
        <w:rPr>
          <w:i/>
          <w:sz w:val="20"/>
          <w:szCs w:val="20"/>
        </w:rPr>
        <w:t xml:space="preserve"> s. 104</w:t>
      </w:r>
      <w:r w:rsidR="005A7802">
        <w:rPr>
          <w:i/>
          <w:sz w:val="20"/>
          <w:szCs w:val="20"/>
        </w:rPr>
        <w:t>.</w:t>
      </w:r>
    </w:p>
    <w:p w:rsidR="00AE0C79" w:rsidRDefault="00AE0C79" w:rsidP="00FA7B84">
      <w:pPr>
        <w:spacing w:line="276" w:lineRule="auto"/>
      </w:pPr>
    </w:p>
    <w:p w:rsidR="00AE0C79" w:rsidRDefault="00A61E00" w:rsidP="00FA7B84">
      <w:pPr>
        <w:spacing w:line="276" w:lineRule="auto"/>
        <w:rPr>
          <w:rFonts w:eastAsiaTheme="majorEastAsia" w:cstheme="majorBidi"/>
          <w:b/>
          <w:bCs/>
          <w:sz w:val="32"/>
          <w:szCs w:val="28"/>
        </w:rPr>
      </w:pPr>
      <w:r>
        <w:br w:type="page"/>
      </w:r>
    </w:p>
    <w:p w:rsidR="00AE0C79" w:rsidRDefault="00A61E00" w:rsidP="00FA7B84">
      <w:pPr>
        <w:pStyle w:val="Nadpis1"/>
        <w:numPr>
          <w:ilvl w:val="0"/>
          <w:numId w:val="0"/>
        </w:numPr>
        <w:spacing w:line="276" w:lineRule="auto"/>
      </w:pPr>
      <w:bookmarkStart w:id="28" w:name="_Toc324932895"/>
      <w:r>
        <w:lastRenderedPageBreak/>
        <w:t>Praktická část</w:t>
      </w:r>
      <w:bookmarkEnd w:id="28"/>
    </w:p>
    <w:p w:rsidR="00AE0C79" w:rsidRDefault="00A61E00" w:rsidP="00FA7B84">
      <w:pPr>
        <w:pStyle w:val="Nadpis1"/>
        <w:spacing w:line="276" w:lineRule="auto"/>
      </w:pPr>
      <w:bookmarkStart w:id="29" w:name="_Toc324932896"/>
      <w:r>
        <w:t>Základní informace o společnosti</w:t>
      </w:r>
      <w:bookmarkEnd w:id="29"/>
    </w:p>
    <w:p w:rsidR="00AE0C79" w:rsidRDefault="00A61E00" w:rsidP="00FA7B84">
      <w:pPr>
        <w:spacing w:line="276" w:lineRule="auto"/>
      </w:pPr>
      <w:r>
        <w:t>Společnost Dentamed s.r.o. působí na českém trhu již od roku 1996, za tu dobu si získala množství stálých a spokojených zákazníků. Předmětem podnikání této společnosti je prodej dentálních nástrojů, přístrojů a dalších potřeb pro dentální pracovníky. Samozřejmostí jsou také služby související s těmito produkty, jako například instalace zařízení a jejich oprava. Dentamed s.r.o. patří do obchodní skupiny European Dental Partners, která je tvořena zahraničními společnostmi. Tyto společnosti pak představují hlavního dovozce zboží, určeného k dalšímu prodeji. Následující informace jsou souhrnem z obchodního rejstříku</w:t>
      </w:r>
      <w:r>
        <w:rPr>
          <w:rStyle w:val="Znakapoznpodarou"/>
        </w:rPr>
        <w:footnoteReference w:id="54"/>
      </w:r>
      <w:r>
        <w:t>:</w:t>
      </w:r>
    </w:p>
    <w:tbl>
      <w:tblPr>
        <w:tblW w:w="13680" w:type="dxa"/>
        <w:tblBorders>
          <w:bottom w:val="single" w:sz="6" w:space="0" w:color="DDDDDD"/>
        </w:tblBorders>
        <w:shd w:val="clear" w:color="auto" w:fill="FFFFFF"/>
        <w:tblCellMar>
          <w:left w:w="0" w:type="dxa"/>
          <w:right w:w="0" w:type="dxa"/>
        </w:tblCellMar>
        <w:tblLook w:val="04A0"/>
      </w:tblPr>
      <w:tblGrid>
        <w:gridCol w:w="3000"/>
        <w:gridCol w:w="10680"/>
      </w:tblGrid>
      <w:tr w:rsidR="00AE0C79">
        <w:tc>
          <w:tcPr>
            <w:tcW w:w="3000" w:type="dxa"/>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b/>
                <w:lang w:eastAsia="cs-CZ"/>
              </w:rPr>
            </w:pPr>
            <w:r>
              <w:rPr>
                <w:b/>
                <w:lang w:eastAsia="cs-CZ"/>
              </w:rPr>
              <w:t>Datum zápisu:</w:t>
            </w:r>
          </w:p>
        </w:tc>
        <w:tc>
          <w:tcPr>
            <w:tcW w:w="0" w:type="auto"/>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lang w:eastAsia="cs-CZ"/>
              </w:rPr>
            </w:pPr>
            <w:r>
              <w:rPr>
                <w:lang w:eastAsia="cs-CZ"/>
              </w:rPr>
              <w:t>15.října 1996</w:t>
            </w:r>
          </w:p>
        </w:tc>
      </w:tr>
      <w:tr w:rsidR="00AE0C79">
        <w:tc>
          <w:tcPr>
            <w:tcW w:w="3000" w:type="dxa"/>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b/>
                <w:lang w:eastAsia="cs-CZ"/>
              </w:rPr>
            </w:pPr>
            <w:r>
              <w:rPr>
                <w:b/>
                <w:lang w:eastAsia="cs-CZ"/>
              </w:rPr>
              <w:t>Obchodní firma:</w:t>
            </w:r>
          </w:p>
        </w:tc>
        <w:tc>
          <w:tcPr>
            <w:tcW w:w="0" w:type="auto"/>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lang w:eastAsia="cs-CZ"/>
              </w:rPr>
            </w:pPr>
            <w:r>
              <w:rPr>
                <w:lang w:eastAsia="cs-CZ"/>
              </w:rPr>
              <w:t>Dentamed (ČR), spol. s r.o.</w:t>
            </w:r>
          </w:p>
        </w:tc>
      </w:tr>
      <w:tr w:rsidR="00AE0C79">
        <w:tc>
          <w:tcPr>
            <w:tcW w:w="3000" w:type="dxa"/>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b/>
                <w:lang w:eastAsia="cs-CZ"/>
              </w:rPr>
            </w:pPr>
            <w:r>
              <w:rPr>
                <w:b/>
                <w:lang w:eastAsia="cs-CZ"/>
              </w:rPr>
              <w:t>Sídlo:</w:t>
            </w:r>
          </w:p>
        </w:tc>
        <w:tc>
          <w:tcPr>
            <w:tcW w:w="0" w:type="auto"/>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lang w:eastAsia="cs-CZ"/>
              </w:rPr>
            </w:pPr>
            <w:r>
              <w:rPr>
                <w:lang w:eastAsia="cs-CZ"/>
              </w:rPr>
              <w:t>Praha 3, Pod Lipami 2602/41, PSČ 130 00</w:t>
            </w:r>
          </w:p>
        </w:tc>
      </w:tr>
      <w:tr w:rsidR="00AE0C79">
        <w:tc>
          <w:tcPr>
            <w:tcW w:w="3000" w:type="dxa"/>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b/>
                <w:lang w:eastAsia="cs-CZ"/>
              </w:rPr>
            </w:pPr>
            <w:r>
              <w:rPr>
                <w:b/>
                <w:lang w:eastAsia="cs-CZ"/>
              </w:rPr>
              <w:t>Právní forma:</w:t>
            </w:r>
          </w:p>
        </w:tc>
        <w:tc>
          <w:tcPr>
            <w:tcW w:w="0" w:type="auto"/>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lang w:eastAsia="cs-CZ"/>
              </w:rPr>
            </w:pPr>
            <w:r>
              <w:rPr>
                <w:lang w:eastAsia="cs-CZ"/>
              </w:rPr>
              <w:t>Společnost s ručením omezeným </w:t>
            </w:r>
          </w:p>
        </w:tc>
      </w:tr>
      <w:tr w:rsidR="00AE0C79">
        <w:tc>
          <w:tcPr>
            <w:tcW w:w="13680" w:type="dxa"/>
            <w:gridSpan w:val="2"/>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b/>
                <w:lang w:eastAsia="cs-CZ"/>
              </w:rPr>
            </w:pPr>
            <w:r>
              <w:rPr>
                <w:b/>
                <w:lang w:eastAsia="cs-CZ"/>
              </w:rPr>
              <w:t>Předmět podnikání:</w:t>
            </w:r>
          </w:p>
        </w:tc>
      </w:tr>
      <w:tr w:rsidR="00AE0C79">
        <w:tc>
          <w:tcPr>
            <w:tcW w:w="13680" w:type="dxa"/>
            <w:gridSpan w:val="2"/>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lang w:eastAsia="cs-CZ"/>
              </w:rPr>
            </w:pPr>
            <w:r>
              <w:rPr>
                <w:lang w:eastAsia="cs-CZ"/>
              </w:rPr>
              <w:t>-  výroba, obchod a služby neuvedené v přílohách 1 až 3 živnostenského zákona</w:t>
            </w:r>
          </w:p>
        </w:tc>
      </w:tr>
      <w:tr w:rsidR="00AE0C79">
        <w:tc>
          <w:tcPr>
            <w:tcW w:w="0" w:type="auto"/>
            <w:gridSpan w:val="2"/>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b/>
                <w:lang w:eastAsia="cs-CZ"/>
              </w:rPr>
            </w:pPr>
            <w:r>
              <w:rPr>
                <w:b/>
                <w:lang w:eastAsia="cs-CZ"/>
              </w:rPr>
              <w:t>Společníci:</w:t>
            </w:r>
          </w:p>
        </w:tc>
      </w:tr>
      <w:tr w:rsidR="00AE0C79">
        <w:tc>
          <w:tcPr>
            <w:tcW w:w="13680" w:type="dxa"/>
            <w:gridSpan w:val="2"/>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lang w:eastAsia="cs-CZ"/>
              </w:rPr>
            </w:pPr>
            <w:r>
              <w:rPr>
                <w:lang w:eastAsia="cs-CZ"/>
              </w:rPr>
              <w:t>EDP European Dental Partners Holding GmbH, reg.č. HRB 7331 HL</w:t>
            </w:r>
            <w:r>
              <w:rPr>
                <w:lang w:eastAsia="cs-CZ"/>
              </w:rPr>
              <w:br/>
              <w:t>Lübeck </w:t>
            </w:r>
            <w:r>
              <w:rPr>
                <w:bdr w:val="none" w:sz="0" w:space="0" w:color="auto" w:frame="1"/>
                <w:lang w:eastAsia="cs-CZ"/>
              </w:rPr>
              <w:br/>
            </w:r>
            <w:r>
              <w:rPr>
                <w:lang w:eastAsia="cs-CZ"/>
              </w:rPr>
              <w:t>Spolková republika Německo</w:t>
            </w:r>
            <w:r>
              <w:rPr>
                <w:lang w:eastAsia="cs-CZ"/>
              </w:rPr>
              <w:br/>
              <w:t>Vklad: 5 000 000,- Kč</w:t>
            </w:r>
            <w:r>
              <w:rPr>
                <w:lang w:eastAsia="cs-CZ"/>
              </w:rPr>
              <w:br/>
              <w:t>Splaceno: 100 % </w:t>
            </w:r>
            <w:r>
              <w:rPr>
                <w:lang w:eastAsia="cs-CZ"/>
              </w:rPr>
              <w:br/>
              <w:t>Obchodní podíl: 100% </w:t>
            </w:r>
          </w:p>
        </w:tc>
      </w:tr>
      <w:tr w:rsidR="00AE0C79">
        <w:tc>
          <w:tcPr>
            <w:tcW w:w="3000" w:type="dxa"/>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b/>
                <w:lang w:eastAsia="cs-CZ"/>
              </w:rPr>
            </w:pPr>
            <w:r>
              <w:rPr>
                <w:b/>
                <w:lang w:eastAsia="cs-CZ"/>
              </w:rPr>
              <w:t>Základní kapitál:</w:t>
            </w:r>
          </w:p>
        </w:tc>
        <w:tc>
          <w:tcPr>
            <w:tcW w:w="0" w:type="auto"/>
            <w:tcBorders>
              <w:top w:val="nil"/>
              <w:left w:val="nil"/>
              <w:bottom w:val="nil"/>
              <w:right w:val="nil"/>
            </w:tcBorders>
            <w:shd w:val="clear" w:color="auto" w:fill="FFFFFF"/>
            <w:tcMar>
              <w:top w:w="75" w:type="dxa"/>
              <w:left w:w="0" w:type="dxa"/>
              <w:bottom w:w="75" w:type="dxa"/>
              <w:right w:w="0" w:type="dxa"/>
            </w:tcMar>
            <w:hideMark/>
          </w:tcPr>
          <w:p w:rsidR="00AE0C79" w:rsidRDefault="00A61E00" w:rsidP="00FA7B84">
            <w:pPr>
              <w:spacing w:line="276" w:lineRule="auto"/>
              <w:jc w:val="left"/>
              <w:rPr>
                <w:lang w:eastAsia="cs-CZ"/>
              </w:rPr>
            </w:pPr>
            <w:r>
              <w:rPr>
                <w:lang w:eastAsia="cs-CZ"/>
              </w:rPr>
              <w:t>5 000 000,- Kč</w:t>
            </w:r>
          </w:p>
          <w:p w:rsidR="00AE0C79" w:rsidRDefault="00AE0C79" w:rsidP="00FA7B84">
            <w:pPr>
              <w:spacing w:line="276" w:lineRule="auto"/>
              <w:jc w:val="left"/>
              <w:rPr>
                <w:lang w:eastAsia="cs-CZ"/>
              </w:rPr>
            </w:pPr>
          </w:p>
        </w:tc>
      </w:tr>
    </w:tbl>
    <w:p w:rsidR="00AE0C79" w:rsidRDefault="00A61E00" w:rsidP="00FA7B84">
      <w:pPr>
        <w:spacing w:line="276" w:lineRule="auto"/>
        <w:jc w:val="left"/>
      </w:pPr>
      <w:r>
        <w:br w:type="page"/>
      </w:r>
    </w:p>
    <w:p w:rsidR="00AE0C79" w:rsidRDefault="00A61E00" w:rsidP="00FA7B84">
      <w:pPr>
        <w:pStyle w:val="Nadpis1"/>
        <w:spacing w:line="276" w:lineRule="auto"/>
      </w:pPr>
      <w:bookmarkStart w:id="30" w:name="_Toc324932897"/>
      <w:r>
        <w:lastRenderedPageBreak/>
        <w:t>Finanční analýza společnosti Dentamed s.r.o.</w:t>
      </w:r>
      <w:bookmarkEnd w:id="30"/>
    </w:p>
    <w:p w:rsidR="00AE0C79" w:rsidRDefault="00A61E00" w:rsidP="00FA7B84">
      <w:pPr>
        <w:spacing w:line="276" w:lineRule="auto"/>
      </w:pPr>
      <w:r>
        <w:t>Pro vytvoření finanční analýzy podniku Dentamed s.r.o. využiji metody finanční analýzy, popsané v teoretické části této práce. Tyto metody aplikuji na účetní data podniku za období 2003 – 2010 a porovnám s výsledky pěti konkurenčních podniků za stejné období.</w:t>
      </w:r>
      <w:r>
        <w:rPr>
          <w:rStyle w:val="Znakapoznpodarou"/>
        </w:rPr>
        <w:footnoteReference w:id="55"/>
      </w:r>
      <w:r>
        <w:t xml:space="preserve"> </w:t>
      </w:r>
    </w:p>
    <w:p w:rsidR="00AE0C79" w:rsidRDefault="00A61E00" w:rsidP="00FA7B84">
      <w:pPr>
        <w:pStyle w:val="Nadpis2"/>
        <w:spacing w:line="276" w:lineRule="auto"/>
      </w:pPr>
      <w:bookmarkStart w:id="31" w:name="_Toc324932898"/>
      <w:r>
        <w:t>Horizontální analýza rozvahy</w:t>
      </w:r>
      <w:bookmarkEnd w:id="31"/>
    </w:p>
    <w:p w:rsidR="00AE0C79" w:rsidRDefault="00A61E00" w:rsidP="00FA7B84">
      <w:pPr>
        <w:pStyle w:val="Nadpis3"/>
        <w:spacing w:line="276" w:lineRule="auto"/>
      </w:pPr>
      <w:bookmarkStart w:id="32" w:name="_Toc324932899"/>
      <w:r>
        <w:t>Horizontální analýza aktiv</w:t>
      </w:r>
      <w:bookmarkEnd w:id="32"/>
    </w:p>
    <w:p w:rsidR="00AE0C79" w:rsidRDefault="00A61E00" w:rsidP="00FA7B84">
      <w:pPr>
        <w:spacing w:line="276" w:lineRule="auto"/>
      </w:pPr>
      <w:r>
        <w:t xml:space="preserve">Jak ukazuje následující tabulka, za sledované období došlo k výraznému vzrůstu celkové sumy aktiv. V roce 2003 celková aktiva dosahovala hodnoty 69 218 tis. Kč, zatímco na konci roku 2010 již 114 966 tis. Kč, což je nárust o 66,09 %. Čím je tedy tento nárust způsoben? </w:t>
      </w:r>
    </w:p>
    <w:p w:rsidR="00AE0C79" w:rsidRDefault="00A61E00" w:rsidP="00FA7B84">
      <w:pPr>
        <w:pStyle w:val="Titulek"/>
        <w:keepNext/>
        <w:spacing w:line="276" w:lineRule="auto"/>
      </w:pPr>
      <w:bookmarkStart w:id="33" w:name="_Toc324932925"/>
      <w:r>
        <w:t xml:space="preserve">Tabulka </w:t>
      </w:r>
      <w:fldSimple w:instr=" SEQ Tabulka \* ARABIC ">
        <w:r w:rsidR="00F5284D">
          <w:rPr>
            <w:noProof/>
          </w:rPr>
          <w:t>3</w:t>
        </w:r>
      </w:fldSimple>
      <w:r>
        <w:t>: Horizontální analýza aktiv společnosti Dentamed s.r.o.</w:t>
      </w:r>
      <w:bookmarkEnd w:id="33"/>
    </w:p>
    <w:tbl>
      <w:tblPr>
        <w:tblStyle w:val="Mkatabulky"/>
        <w:tblW w:w="0" w:type="auto"/>
        <w:tblLook w:val="04A0"/>
      </w:tblPr>
      <w:tblGrid>
        <w:gridCol w:w="2168"/>
        <w:gridCol w:w="821"/>
        <w:gridCol w:w="821"/>
        <w:gridCol w:w="821"/>
        <w:gridCol w:w="931"/>
        <w:gridCol w:w="931"/>
        <w:gridCol w:w="931"/>
        <w:gridCol w:w="931"/>
        <w:gridCol w:w="931"/>
      </w:tblGrid>
      <w:tr w:rsidR="00AE0C79">
        <w:tc>
          <w:tcPr>
            <w:tcW w:w="0" w:type="auto"/>
            <w:shd w:val="clear" w:color="auto" w:fill="8DB3E2" w:themeFill="text2" w:themeFillTint="66"/>
          </w:tcPr>
          <w:p w:rsidR="00AE0C79" w:rsidRDefault="00A61E00" w:rsidP="00FA7B84">
            <w:pPr>
              <w:spacing w:line="276" w:lineRule="auto"/>
              <w:rPr>
                <w:b/>
              </w:rPr>
            </w:pPr>
            <w:r>
              <w:rPr>
                <w:b/>
              </w:rPr>
              <w:t>V %</w:t>
            </w:r>
          </w:p>
        </w:tc>
        <w:tc>
          <w:tcPr>
            <w:tcW w:w="0" w:type="auto"/>
            <w:shd w:val="clear" w:color="auto" w:fill="8DB3E2" w:themeFill="text2" w:themeFillTint="66"/>
          </w:tcPr>
          <w:p w:rsidR="00AE0C79" w:rsidRDefault="00A61E00" w:rsidP="00FA7B84">
            <w:pPr>
              <w:spacing w:line="276" w:lineRule="auto"/>
              <w:rPr>
                <w:b/>
              </w:rPr>
            </w:pPr>
            <w:r>
              <w:rPr>
                <w:b/>
              </w:rPr>
              <w:t>2003</w:t>
            </w:r>
          </w:p>
        </w:tc>
        <w:tc>
          <w:tcPr>
            <w:tcW w:w="0" w:type="auto"/>
            <w:shd w:val="clear" w:color="auto" w:fill="8DB3E2" w:themeFill="text2" w:themeFillTint="66"/>
          </w:tcPr>
          <w:p w:rsidR="00AE0C79" w:rsidRDefault="00A61E00" w:rsidP="00FA7B84">
            <w:pPr>
              <w:spacing w:line="276" w:lineRule="auto"/>
              <w:rPr>
                <w:b/>
              </w:rPr>
            </w:pPr>
            <w:r>
              <w:rPr>
                <w:b/>
              </w:rPr>
              <w:t>2004</w:t>
            </w:r>
          </w:p>
        </w:tc>
        <w:tc>
          <w:tcPr>
            <w:tcW w:w="0" w:type="auto"/>
            <w:shd w:val="clear" w:color="auto" w:fill="8DB3E2" w:themeFill="text2" w:themeFillTint="66"/>
          </w:tcPr>
          <w:p w:rsidR="00AE0C79" w:rsidRDefault="00A61E00" w:rsidP="00FA7B84">
            <w:pPr>
              <w:spacing w:line="276" w:lineRule="auto"/>
              <w:rPr>
                <w:b/>
              </w:rPr>
            </w:pPr>
            <w:r>
              <w:rPr>
                <w:b/>
              </w:rPr>
              <w:t>2005</w:t>
            </w:r>
          </w:p>
        </w:tc>
        <w:tc>
          <w:tcPr>
            <w:tcW w:w="0" w:type="auto"/>
            <w:shd w:val="clear" w:color="auto" w:fill="8DB3E2" w:themeFill="text2" w:themeFillTint="66"/>
          </w:tcPr>
          <w:p w:rsidR="00AE0C79" w:rsidRDefault="00A61E00" w:rsidP="00FA7B84">
            <w:pPr>
              <w:spacing w:line="276" w:lineRule="auto"/>
              <w:rPr>
                <w:b/>
              </w:rPr>
            </w:pPr>
            <w:r>
              <w:rPr>
                <w:b/>
              </w:rPr>
              <w:t>2006</w:t>
            </w:r>
          </w:p>
        </w:tc>
        <w:tc>
          <w:tcPr>
            <w:tcW w:w="0" w:type="auto"/>
            <w:shd w:val="clear" w:color="auto" w:fill="8DB3E2" w:themeFill="text2" w:themeFillTint="66"/>
          </w:tcPr>
          <w:p w:rsidR="00AE0C79" w:rsidRDefault="00A61E00" w:rsidP="00FA7B84">
            <w:pPr>
              <w:spacing w:line="276" w:lineRule="auto"/>
              <w:rPr>
                <w:b/>
              </w:rPr>
            </w:pPr>
            <w:r>
              <w:rPr>
                <w:b/>
              </w:rPr>
              <w:t>2007</w:t>
            </w:r>
          </w:p>
        </w:tc>
        <w:tc>
          <w:tcPr>
            <w:tcW w:w="0" w:type="auto"/>
            <w:shd w:val="clear" w:color="auto" w:fill="8DB3E2" w:themeFill="text2" w:themeFillTint="66"/>
          </w:tcPr>
          <w:p w:rsidR="00AE0C79" w:rsidRDefault="00A61E00" w:rsidP="00FA7B84">
            <w:pPr>
              <w:spacing w:line="276" w:lineRule="auto"/>
              <w:rPr>
                <w:b/>
              </w:rPr>
            </w:pPr>
            <w:r>
              <w:rPr>
                <w:b/>
              </w:rPr>
              <w:t>2008</w:t>
            </w:r>
          </w:p>
        </w:tc>
        <w:tc>
          <w:tcPr>
            <w:tcW w:w="0" w:type="auto"/>
            <w:shd w:val="clear" w:color="auto" w:fill="8DB3E2" w:themeFill="text2" w:themeFillTint="66"/>
          </w:tcPr>
          <w:p w:rsidR="00AE0C79" w:rsidRDefault="00A61E00" w:rsidP="00FA7B84">
            <w:pPr>
              <w:spacing w:line="276" w:lineRule="auto"/>
              <w:rPr>
                <w:b/>
              </w:rPr>
            </w:pPr>
            <w:r>
              <w:rPr>
                <w:b/>
              </w:rPr>
              <w:t>2009</w:t>
            </w:r>
          </w:p>
        </w:tc>
        <w:tc>
          <w:tcPr>
            <w:tcW w:w="0" w:type="auto"/>
            <w:shd w:val="clear" w:color="auto" w:fill="8DB3E2" w:themeFill="text2" w:themeFillTint="66"/>
          </w:tcPr>
          <w:p w:rsidR="00AE0C79" w:rsidRDefault="00A61E00" w:rsidP="00FA7B84">
            <w:pPr>
              <w:spacing w:line="276" w:lineRule="auto"/>
              <w:rPr>
                <w:b/>
              </w:rPr>
            </w:pPr>
            <w:r>
              <w:rPr>
                <w:b/>
              </w:rPr>
              <w:t>2010</w:t>
            </w:r>
          </w:p>
        </w:tc>
      </w:tr>
      <w:tr w:rsidR="00AE0C79">
        <w:tc>
          <w:tcPr>
            <w:tcW w:w="0" w:type="auto"/>
            <w:shd w:val="clear" w:color="auto" w:fill="C6D9F1" w:themeFill="text2" w:themeFillTint="33"/>
          </w:tcPr>
          <w:p w:rsidR="00AE0C79" w:rsidRDefault="00A61E00" w:rsidP="00FA7B84">
            <w:pPr>
              <w:spacing w:line="276" w:lineRule="auto"/>
              <w:rPr>
                <w:b/>
              </w:rPr>
            </w:pPr>
            <w:r>
              <w:rPr>
                <w:b/>
              </w:rPr>
              <w:t>Aktiva</w:t>
            </w:r>
          </w:p>
        </w:tc>
        <w:tc>
          <w:tcPr>
            <w:tcW w:w="0" w:type="auto"/>
            <w:shd w:val="clear" w:color="auto" w:fill="C6D9F1" w:themeFill="text2" w:themeFillTint="33"/>
          </w:tcPr>
          <w:p w:rsidR="00AE0C79" w:rsidRDefault="00A61E00" w:rsidP="00FA7B84">
            <w:pPr>
              <w:spacing w:line="276" w:lineRule="auto"/>
              <w:rPr>
                <w:b/>
              </w:rPr>
            </w:pPr>
            <w:r>
              <w:rPr>
                <w:b/>
              </w:rPr>
              <w:t>100,00</w:t>
            </w:r>
          </w:p>
        </w:tc>
        <w:tc>
          <w:tcPr>
            <w:tcW w:w="0" w:type="auto"/>
            <w:shd w:val="clear" w:color="auto" w:fill="C6D9F1" w:themeFill="text2" w:themeFillTint="33"/>
          </w:tcPr>
          <w:p w:rsidR="00AE0C79" w:rsidRDefault="00A61E00" w:rsidP="00FA7B84">
            <w:pPr>
              <w:spacing w:line="276" w:lineRule="auto"/>
              <w:rPr>
                <w:b/>
              </w:rPr>
            </w:pPr>
            <w:r>
              <w:rPr>
                <w:b/>
              </w:rPr>
              <w:t>112,47</w:t>
            </w:r>
          </w:p>
        </w:tc>
        <w:tc>
          <w:tcPr>
            <w:tcW w:w="0" w:type="auto"/>
            <w:shd w:val="clear" w:color="auto" w:fill="C6D9F1" w:themeFill="text2" w:themeFillTint="33"/>
          </w:tcPr>
          <w:p w:rsidR="00AE0C79" w:rsidRDefault="00A61E00" w:rsidP="00FA7B84">
            <w:pPr>
              <w:spacing w:line="276" w:lineRule="auto"/>
              <w:rPr>
                <w:b/>
              </w:rPr>
            </w:pPr>
            <w:r>
              <w:rPr>
                <w:b/>
              </w:rPr>
              <w:t>98,81</w:t>
            </w:r>
          </w:p>
        </w:tc>
        <w:tc>
          <w:tcPr>
            <w:tcW w:w="0" w:type="auto"/>
            <w:shd w:val="clear" w:color="auto" w:fill="C6D9F1" w:themeFill="text2" w:themeFillTint="33"/>
          </w:tcPr>
          <w:p w:rsidR="00AE0C79" w:rsidRDefault="00A61E00" w:rsidP="00FA7B84">
            <w:pPr>
              <w:spacing w:line="276" w:lineRule="auto"/>
              <w:rPr>
                <w:b/>
              </w:rPr>
            </w:pPr>
            <w:r>
              <w:rPr>
                <w:b/>
              </w:rPr>
              <w:t>103,00</w:t>
            </w:r>
          </w:p>
        </w:tc>
        <w:tc>
          <w:tcPr>
            <w:tcW w:w="0" w:type="auto"/>
            <w:shd w:val="clear" w:color="auto" w:fill="C6D9F1" w:themeFill="text2" w:themeFillTint="33"/>
          </w:tcPr>
          <w:p w:rsidR="00AE0C79" w:rsidRDefault="00A61E00" w:rsidP="00FA7B84">
            <w:pPr>
              <w:spacing w:line="276" w:lineRule="auto"/>
              <w:rPr>
                <w:b/>
              </w:rPr>
            </w:pPr>
            <w:r>
              <w:rPr>
                <w:b/>
              </w:rPr>
              <w:t>152,52</w:t>
            </w:r>
          </w:p>
        </w:tc>
        <w:tc>
          <w:tcPr>
            <w:tcW w:w="0" w:type="auto"/>
            <w:shd w:val="clear" w:color="auto" w:fill="C6D9F1" w:themeFill="text2" w:themeFillTint="33"/>
          </w:tcPr>
          <w:p w:rsidR="00AE0C79" w:rsidRDefault="00A61E00" w:rsidP="00FA7B84">
            <w:pPr>
              <w:spacing w:line="276" w:lineRule="auto"/>
              <w:rPr>
                <w:b/>
              </w:rPr>
            </w:pPr>
            <w:r>
              <w:rPr>
                <w:b/>
              </w:rPr>
              <w:t>143,55</w:t>
            </w:r>
          </w:p>
        </w:tc>
        <w:tc>
          <w:tcPr>
            <w:tcW w:w="0" w:type="auto"/>
            <w:shd w:val="clear" w:color="auto" w:fill="C6D9F1" w:themeFill="text2" w:themeFillTint="33"/>
          </w:tcPr>
          <w:p w:rsidR="00AE0C79" w:rsidRDefault="00A61E00" w:rsidP="00FA7B84">
            <w:pPr>
              <w:spacing w:line="276" w:lineRule="auto"/>
              <w:rPr>
                <w:b/>
              </w:rPr>
            </w:pPr>
            <w:r>
              <w:rPr>
                <w:b/>
              </w:rPr>
              <w:t>146,16</w:t>
            </w:r>
          </w:p>
        </w:tc>
        <w:tc>
          <w:tcPr>
            <w:tcW w:w="0" w:type="auto"/>
            <w:shd w:val="clear" w:color="auto" w:fill="C6D9F1" w:themeFill="text2" w:themeFillTint="33"/>
          </w:tcPr>
          <w:p w:rsidR="00AE0C79" w:rsidRDefault="00A61E00" w:rsidP="00FA7B84">
            <w:pPr>
              <w:spacing w:line="276" w:lineRule="auto"/>
              <w:rPr>
                <w:b/>
              </w:rPr>
            </w:pPr>
            <w:r>
              <w:rPr>
                <w:b/>
              </w:rPr>
              <w:t>166,09</w:t>
            </w:r>
          </w:p>
        </w:tc>
      </w:tr>
      <w:tr w:rsidR="00AE0C79">
        <w:tc>
          <w:tcPr>
            <w:tcW w:w="0" w:type="auto"/>
            <w:shd w:val="clear" w:color="auto" w:fill="C6D9F1" w:themeFill="text2" w:themeFillTint="33"/>
          </w:tcPr>
          <w:p w:rsidR="00AE0C79" w:rsidRDefault="00A61E00" w:rsidP="00FA7B84">
            <w:pPr>
              <w:spacing w:line="276" w:lineRule="auto"/>
              <w:rPr>
                <w:b/>
              </w:rPr>
            </w:pPr>
            <w:r>
              <w:rPr>
                <w:b/>
              </w:rPr>
              <w:t>Dlouhodobý majetek</w:t>
            </w:r>
          </w:p>
        </w:tc>
        <w:tc>
          <w:tcPr>
            <w:tcW w:w="0" w:type="auto"/>
            <w:shd w:val="clear" w:color="auto" w:fill="C6D9F1" w:themeFill="text2" w:themeFillTint="33"/>
          </w:tcPr>
          <w:p w:rsidR="00AE0C79" w:rsidRDefault="00A61E00" w:rsidP="00FA7B84">
            <w:pPr>
              <w:spacing w:line="276" w:lineRule="auto"/>
              <w:rPr>
                <w:b/>
              </w:rPr>
            </w:pPr>
            <w:r>
              <w:rPr>
                <w:b/>
              </w:rPr>
              <w:t>100,00</w:t>
            </w:r>
          </w:p>
        </w:tc>
        <w:tc>
          <w:tcPr>
            <w:tcW w:w="0" w:type="auto"/>
            <w:shd w:val="clear" w:color="auto" w:fill="C6D9F1" w:themeFill="text2" w:themeFillTint="33"/>
          </w:tcPr>
          <w:p w:rsidR="00AE0C79" w:rsidRDefault="00A61E00" w:rsidP="00FA7B84">
            <w:pPr>
              <w:spacing w:line="276" w:lineRule="auto"/>
              <w:rPr>
                <w:b/>
              </w:rPr>
            </w:pPr>
            <w:r>
              <w:rPr>
                <w:b/>
              </w:rPr>
              <w:t>97,84</w:t>
            </w:r>
          </w:p>
        </w:tc>
        <w:tc>
          <w:tcPr>
            <w:tcW w:w="0" w:type="auto"/>
            <w:shd w:val="clear" w:color="auto" w:fill="C6D9F1" w:themeFill="text2" w:themeFillTint="33"/>
          </w:tcPr>
          <w:p w:rsidR="00AE0C79" w:rsidRDefault="00A61E00" w:rsidP="00FA7B84">
            <w:pPr>
              <w:spacing w:line="276" w:lineRule="auto"/>
              <w:rPr>
                <w:b/>
              </w:rPr>
            </w:pPr>
            <w:r>
              <w:rPr>
                <w:b/>
              </w:rPr>
              <w:t>103,67</w:t>
            </w:r>
          </w:p>
        </w:tc>
        <w:tc>
          <w:tcPr>
            <w:tcW w:w="0" w:type="auto"/>
            <w:shd w:val="clear" w:color="auto" w:fill="C6D9F1" w:themeFill="text2" w:themeFillTint="33"/>
          </w:tcPr>
          <w:p w:rsidR="00AE0C79" w:rsidRDefault="00A61E00" w:rsidP="00FA7B84">
            <w:pPr>
              <w:spacing w:line="276" w:lineRule="auto"/>
              <w:rPr>
                <w:b/>
              </w:rPr>
            </w:pPr>
            <w:r>
              <w:rPr>
                <w:b/>
              </w:rPr>
              <w:t>30,80</w:t>
            </w:r>
          </w:p>
        </w:tc>
        <w:tc>
          <w:tcPr>
            <w:tcW w:w="0" w:type="auto"/>
            <w:shd w:val="clear" w:color="auto" w:fill="C6D9F1" w:themeFill="text2" w:themeFillTint="33"/>
          </w:tcPr>
          <w:p w:rsidR="00AE0C79" w:rsidRDefault="00A61E00" w:rsidP="00FA7B84">
            <w:pPr>
              <w:spacing w:line="276" w:lineRule="auto"/>
              <w:rPr>
                <w:b/>
              </w:rPr>
            </w:pPr>
            <w:r>
              <w:rPr>
                <w:b/>
              </w:rPr>
              <w:t>84,75</w:t>
            </w:r>
          </w:p>
        </w:tc>
        <w:tc>
          <w:tcPr>
            <w:tcW w:w="0" w:type="auto"/>
            <w:shd w:val="clear" w:color="auto" w:fill="C6D9F1" w:themeFill="text2" w:themeFillTint="33"/>
          </w:tcPr>
          <w:p w:rsidR="00AE0C79" w:rsidRDefault="00A61E00" w:rsidP="00FA7B84">
            <w:pPr>
              <w:spacing w:line="276" w:lineRule="auto"/>
              <w:rPr>
                <w:b/>
              </w:rPr>
            </w:pPr>
            <w:r>
              <w:rPr>
                <w:b/>
              </w:rPr>
              <w:t>61,78</w:t>
            </w:r>
          </w:p>
        </w:tc>
        <w:tc>
          <w:tcPr>
            <w:tcW w:w="0" w:type="auto"/>
            <w:shd w:val="clear" w:color="auto" w:fill="C6D9F1" w:themeFill="text2" w:themeFillTint="33"/>
          </w:tcPr>
          <w:p w:rsidR="00AE0C79" w:rsidRDefault="00A61E00" w:rsidP="00FA7B84">
            <w:pPr>
              <w:spacing w:line="276" w:lineRule="auto"/>
              <w:rPr>
                <w:b/>
              </w:rPr>
            </w:pPr>
            <w:r>
              <w:rPr>
                <w:b/>
              </w:rPr>
              <w:t>58,66</w:t>
            </w:r>
          </w:p>
        </w:tc>
        <w:tc>
          <w:tcPr>
            <w:tcW w:w="0" w:type="auto"/>
            <w:shd w:val="clear" w:color="auto" w:fill="C6D9F1" w:themeFill="text2" w:themeFillTint="33"/>
          </w:tcPr>
          <w:p w:rsidR="00AE0C79" w:rsidRDefault="00A61E00" w:rsidP="00FA7B84">
            <w:pPr>
              <w:spacing w:line="276" w:lineRule="auto"/>
              <w:rPr>
                <w:b/>
              </w:rPr>
            </w:pPr>
            <w:r>
              <w:rPr>
                <w:b/>
              </w:rPr>
              <w:t>96,62</w:t>
            </w:r>
          </w:p>
        </w:tc>
      </w:tr>
      <w:tr w:rsidR="00AE0C79">
        <w:tc>
          <w:tcPr>
            <w:tcW w:w="0" w:type="auto"/>
          </w:tcPr>
          <w:p w:rsidR="00AE0C79" w:rsidRDefault="00A61E00" w:rsidP="00FA7B84">
            <w:pPr>
              <w:spacing w:line="276" w:lineRule="auto"/>
            </w:pPr>
            <w:r>
              <w:t>Hmotný</w:t>
            </w:r>
          </w:p>
        </w:tc>
        <w:tc>
          <w:tcPr>
            <w:tcW w:w="0" w:type="auto"/>
          </w:tcPr>
          <w:p w:rsidR="00AE0C79" w:rsidRDefault="00A61E00" w:rsidP="00FA7B84">
            <w:pPr>
              <w:spacing w:line="276" w:lineRule="auto"/>
            </w:pPr>
            <w:r>
              <w:t>100,00</w:t>
            </w:r>
          </w:p>
        </w:tc>
        <w:tc>
          <w:tcPr>
            <w:tcW w:w="0" w:type="auto"/>
          </w:tcPr>
          <w:p w:rsidR="00AE0C79" w:rsidRDefault="00A61E00" w:rsidP="00FA7B84">
            <w:pPr>
              <w:spacing w:line="276" w:lineRule="auto"/>
            </w:pPr>
            <w:r>
              <w:t>97,83</w:t>
            </w:r>
          </w:p>
        </w:tc>
        <w:tc>
          <w:tcPr>
            <w:tcW w:w="0" w:type="auto"/>
          </w:tcPr>
          <w:p w:rsidR="00AE0C79" w:rsidRDefault="00A61E00" w:rsidP="00FA7B84">
            <w:pPr>
              <w:spacing w:line="276" w:lineRule="auto"/>
            </w:pPr>
            <w:r>
              <w:t>102,64</w:t>
            </w:r>
          </w:p>
        </w:tc>
        <w:tc>
          <w:tcPr>
            <w:tcW w:w="0" w:type="auto"/>
          </w:tcPr>
          <w:p w:rsidR="00AE0C79" w:rsidRDefault="00A61E00" w:rsidP="00FA7B84">
            <w:pPr>
              <w:spacing w:line="276" w:lineRule="auto"/>
            </w:pPr>
            <w:r>
              <w:t>14,60</w:t>
            </w:r>
          </w:p>
        </w:tc>
        <w:tc>
          <w:tcPr>
            <w:tcW w:w="0" w:type="auto"/>
          </w:tcPr>
          <w:p w:rsidR="00AE0C79" w:rsidRDefault="00A61E00" w:rsidP="00FA7B84">
            <w:pPr>
              <w:spacing w:line="276" w:lineRule="auto"/>
            </w:pPr>
            <w:r>
              <w:t>40,75</w:t>
            </w:r>
          </w:p>
        </w:tc>
        <w:tc>
          <w:tcPr>
            <w:tcW w:w="0" w:type="auto"/>
          </w:tcPr>
          <w:p w:rsidR="00AE0C79" w:rsidRDefault="00A61E00" w:rsidP="00FA7B84">
            <w:pPr>
              <w:spacing w:line="276" w:lineRule="auto"/>
            </w:pPr>
            <w:r>
              <w:t>59,74</w:t>
            </w:r>
          </w:p>
        </w:tc>
        <w:tc>
          <w:tcPr>
            <w:tcW w:w="0" w:type="auto"/>
          </w:tcPr>
          <w:p w:rsidR="00AE0C79" w:rsidRDefault="00A61E00" w:rsidP="00FA7B84">
            <w:pPr>
              <w:spacing w:line="276" w:lineRule="auto"/>
            </w:pPr>
            <w:r>
              <w:t>57,49</w:t>
            </w:r>
          </w:p>
        </w:tc>
        <w:tc>
          <w:tcPr>
            <w:tcW w:w="0" w:type="auto"/>
          </w:tcPr>
          <w:p w:rsidR="00AE0C79" w:rsidRDefault="00A61E00" w:rsidP="00FA7B84">
            <w:pPr>
              <w:spacing w:line="276" w:lineRule="auto"/>
            </w:pPr>
            <w:r>
              <w:t>45,39</w:t>
            </w:r>
          </w:p>
        </w:tc>
      </w:tr>
      <w:tr w:rsidR="00AE0C79">
        <w:tc>
          <w:tcPr>
            <w:tcW w:w="0" w:type="auto"/>
          </w:tcPr>
          <w:p w:rsidR="00AE0C79" w:rsidRDefault="00A61E00" w:rsidP="00FA7B84">
            <w:pPr>
              <w:spacing w:line="276" w:lineRule="auto"/>
            </w:pPr>
            <w:r>
              <w:t>finanční</w:t>
            </w:r>
          </w:p>
        </w:tc>
        <w:tc>
          <w:tcPr>
            <w:tcW w:w="0" w:type="auto"/>
          </w:tcPr>
          <w:p w:rsidR="00AE0C79" w:rsidRDefault="00A61E00" w:rsidP="00FA7B84">
            <w:pPr>
              <w:spacing w:line="276" w:lineRule="auto"/>
            </w:pPr>
            <w:r>
              <w:t>100,00</w:t>
            </w:r>
          </w:p>
        </w:tc>
        <w:tc>
          <w:tcPr>
            <w:tcW w:w="0" w:type="auto"/>
          </w:tcPr>
          <w:p w:rsidR="00AE0C79" w:rsidRDefault="00A61E00" w:rsidP="00FA7B84">
            <w:pPr>
              <w:spacing w:line="276" w:lineRule="auto"/>
            </w:pPr>
            <w:r>
              <w:t>100,00</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1792,92</w:t>
            </w:r>
          </w:p>
        </w:tc>
        <w:tc>
          <w:tcPr>
            <w:tcW w:w="0" w:type="auto"/>
          </w:tcPr>
          <w:p w:rsidR="00AE0C79" w:rsidRDefault="00A61E00" w:rsidP="00FA7B84">
            <w:pPr>
              <w:spacing w:line="276" w:lineRule="auto"/>
            </w:pPr>
            <w:r>
              <w:t>5638,05</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7079,65</w:t>
            </w:r>
          </w:p>
        </w:tc>
      </w:tr>
      <w:tr w:rsidR="00AE0C79">
        <w:tc>
          <w:tcPr>
            <w:tcW w:w="0" w:type="auto"/>
            <w:shd w:val="clear" w:color="auto" w:fill="C6D9F1" w:themeFill="text2" w:themeFillTint="33"/>
          </w:tcPr>
          <w:p w:rsidR="00AE0C79" w:rsidRDefault="00A61E00" w:rsidP="00FA7B84">
            <w:pPr>
              <w:spacing w:line="276" w:lineRule="auto"/>
              <w:rPr>
                <w:b/>
              </w:rPr>
            </w:pPr>
            <w:r>
              <w:rPr>
                <w:b/>
              </w:rPr>
              <w:t>Oběžná aktiva</w:t>
            </w:r>
          </w:p>
        </w:tc>
        <w:tc>
          <w:tcPr>
            <w:tcW w:w="0" w:type="auto"/>
            <w:shd w:val="clear" w:color="auto" w:fill="C6D9F1" w:themeFill="text2" w:themeFillTint="33"/>
          </w:tcPr>
          <w:p w:rsidR="00AE0C79" w:rsidRDefault="00A61E00" w:rsidP="00FA7B84">
            <w:pPr>
              <w:spacing w:line="276" w:lineRule="auto"/>
              <w:rPr>
                <w:b/>
              </w:rPr>
            </w:pPr>
            <w:r>
              <w:rPr>
                <w:b/>
              </w:rPr>
              <w:t>100,00</w:t>
            </w:r>
          </w:p>
        </w:tc>
        <w:tc>
          <w:tcPr>
            <w:tcW w:w="0" w:type="auto"/>
            <w:shd w:val="clear" w:color="auto" w:fill="C6D9F1" w:themeFill="text2" w:themeFillTint="33"/>
          </w:tcPr>
          <w:p w:rsidR="00AE0C79" w:rsidRDefault="00A61E00" w:rsidP="00FA7B84">
            <w:pPr>
              <w:spacing w:line="276" w:lineRule="auto"/>
              <w:rPr>
                <w:b/>
              </w:rPr>
            </w:pPr>
            <w:r>
              <w:rPr>
                <w:b/>
              </w:rPr>
              <w:t>116,65</w:t>
            </w:r>
          </w:p>
        </w:tc>
        <w:tc>
          <w:tcPr>
            <w:tcW w:w="0" w:type="auto"/>
            <w:shd w:val="clear" w:color="auto" w:fill="C6D9F1" w:themeFill="text2" w:themeFillTint="33"/>
          </w:tcPr>
          <w:p w:rsidR="00AE0C79" w:rsidRDefault="00A61E00" w:rsidP="00FA7B84">
            <w:pPr>
              <w:spacing w:line="276" w:lineRule="auto"/>
              <w:rPr>
                <w:b/>
              </w:rPr>
            </w:pPr>
            <w:r>
              <w:rPr>
                <w:b/>
              </w:rPr>
              <w:t>96,41</w:t>
            </w:r>
          </w:p>
        </w:tc>
        <w:tc>
          <w:tcPr>
            <w:tcW w:w="0" w:type="auto"/>
            <w:shd w:val="clear" w:color="auto" w:fill="C6D9F1" w:themeFill="text2" w:themeFillTint="33"/>
          </w:tcPr>
          <w:p w:rsidR="00AE0C79" w:rsidRDefault="00A61E00" w:rsidP="00FA7B84">
            <w:pPr>
              <w:spacing w:line="276" w:lineRule="auto"/>
              <w:rPr>
                <w:b/>
              </w:rPr>
            </w:pPr>
            <w:r>
              <w:rPr>
                <w:b/>
              </w:rPr>
              <w:t>123,96</w:t>
            </w:r>
          </w:p>
        </w:tc>
        <w:tc>
          <w:tcPr>
            <w:tcW w:w="0" w:type="auto"/>
            <w:shd w:val="clear" w:color="auto" w:fill="C6D9F1" w:themeFill="text2" w:themeFillTint="33"/>
          </w:tcPr>
          <w:p w:rsidR="00AE0C79" w:rsidRDefault="00A61E00" w:rsidP="00FA7B84">
            <w:pPr>
              <w:spacing w:line="276" w:lineRule="auto"/>
              <w:rPr>
                <w:b/>
              </w:rPr>
            </w:pPr>
            <w:r>
              <w:rPr>
                <w:b/>
              </w:rPr>
              <w:t>172,91</w:t>
            </w:r>
          </w:p>
        </w:tc>
        <w:tc>
          <w:tcPr>
            <w:tcW w:w="0" w:type="auto"/>
            <w:shd w:val="clear" w:color="auto" w:fill="C6D9F1" w:themeFill="text2" w:themeFillTint="33"/>
          </w:tcPr>
          <w:p w:rsidR="00AE0C79" w:rsidRDefault="00A61E00" w:rsidP="00FA7B84">
            <w:pPr>
              <w:spacing w:line="276" w:lineRule="auto"/>
              <w:rPr>
                <w:b/>
              </w:rPr>
            </w:pPr>
            <w:r>
              <w:rPr>
                <w:b/>
              </w:rPr>
              <w:t>169,43</w:t>
            </w:r>
          </w:p>
        </w:tc>
        <w:tc>
          <w:tcPr>
            <w:tcW w:w="0" w:type="auto"/>
            <w:shd w:val="clear" w:color="auto" w:fill="C6D9F1" w:themeFill="text2" w:themeFillTint="33"/>
          </w:tcPr>
          <w:p w:rsidR="00AE0C79" w:rsidRDefault="00A61E00" w:rsidP="00FA7B84">
            <w:pPr>
              <w:spacing w:line="276" w:lineRule="auto"/>
              <w:rPr>
                <w:b/>
              </w:rPr>
            </w:pPr>
            <w:r>
              <w:rPr>
                <w:b/>
              </w:rPr>
              <w:t>170,49</w:t>
            </w:r>
          </w:p>
        </w:tc>
        <w:tc>
          <w:tcPr>
            <w:tcW w:w="0" w:type="auto"/>
            <w:shd w:val="clear" w:color="auto" w:fill="C6D9F1" w:themeFill="text2" w:themeFillTint="33"/>
          </w:tcPr>
          <w:p w:rsidR="00AE0C79" w:rsidRDefault="00A61E00" w:rsidP="00FA7B84">
            <w:pPr>
              <w:spacing w:line="276" w:lineRule="auto"/>
              <w:rPr>
                <w:b/>
              </w:rPr>
            </w:pPr>
            <w:r>
              <w:rPr>
                <w:b/>
              </w:rPr>
              <w:t>189,48</w:t>
            </w:r>
          </w:p>
        </w:tc>
      </w:tr>
      <w:tr w:rsidR="00AE0C79">
        <w:tc>
          <w:tcPr>
            <w:tcW w:w="0" w:type="auto"/>
          </w:tcPr>
          <w:p w:rsidR="00AE0C79" w:rsidRDefault="00A61E00" w:rsidP="00FA7B84">
            <w:pPr>
              <w:spacing w:line="276" w:lineRule="auto"/>
            </w:pPr>
            <w:r>
              <w:t>Zásoby</w:t>
            </w:r>
          </w:p>
        </w:tc>
        <w:tc>
          <w:tcPr>
            <w:tcW w:w="0" w:type="auto"/>
          </w:tcPr>
          <w:p w:rsidR="00AE0C79" w:rsidRDefault="00A61E00" w:rsidP="00FA7B84">
            <w:pPr>
              <w:spacing w:line="276" w:lineRule="auto"/>
            </w:pPr>
            <w:r>
              <w:t xml:space="preserve">100,00 </w:t>
            </w:r>
          </w:p>
        </w:tc>
        <w:tc>
          <w:tcPr>
            <w:tcW w:w="0" w:type="auto"/>
          </w:tcPr>
          <w:p w:rsidR="00AE0C79" w:rsidRDefault="00A61E00" w:rsidP="00FA7B84">
            <w:pPr>
              <w:spacing w:line="276" w:lineRule="auto"/>
            </w:pPr>
            <w:r>
              <w:t xml:space="preserve">117,35 </w:t>
            </w:r>
          </w:p>
        </w:tc>
        <w:tc>
          <w:tcPr>
            <w:tcW w:w="0" w:type="auto"/>
          </w:tcPr>
          <w:p w:rsidR="00AE0C79" w:rsidRDefault="00A61E00" w:rsidP="00FA7B84">
            <w:pPr>
              <w:spacing w:line="276" w:lineRule="auto"/>
            </w:pPr>
            <w:r>
              <w:t xml:space="preserve">109,62 </w:t>
            </w:r>
          </w:p>
        </w:tc>
        <w:tc>
          <w:tcPr>
            <w:tcW w:w="0" w:type="auto"/>
          </w:tcPr>
          <w:p w:rsidR="00AE0C79" w:rsidRDefault="00A61E00" w:rsidP="00FA7B84">
            <w:pPr>
              <w:spacing w:line="276" w:lineRule="auto"/>
            </w:pPr>
            <w:r>
              <w:t xml:space="preserve">127,38 </w:t>
            </w:r>
          </w:p>
        </w:tc>
        <w:tc>
          <w:tcPr>
            <w:tcW w:w="0" w:type="auto"/>
          </w:tcPr>
          <w:p w:rsidR="00AE0C79" w:rsidRDefault="00A61E00" w:rsidP="00FA7B84">
            <w:pPr>
              <w:spacing w:line="276" w:lineRule="auto"/>
            </w:pPr>
            <w:r>
              <w:t xml:space="preserve">145,47 </w:t>
            </w:r>
          </w:p>
        </w:tc>
        <w:tc>
          <w:tcPr>
            <w:tcW w:w="0" w:type="auto"/>
          </w:tcPr>
          <w:p w:rsidR="00AE0C79" w:rsidRDefault="00A61E00" w:rsidP="00FA7B84">
            <w:pPr>
              <w:spacing w:line="276" w:lineRule="auto"/>
            </w:pPr>
            <w:r>
              <w:t xml:space="preserve">135,07 </w:t>
            </w:r>
          </w:p>
        </w:tc>
        <w:tc>
          <w:tcPr>
            <w:tcW w:w="0" w:type="auto"/>
          </w:tcPr>
          <w:p w:rsidR="00AE0C79" w:rsidRDefault="00A61E00" w:rsidP="00FA7B84">
            <w:pPr>
              <w:spacing w:line="276" w:lineRule="auto"/>
            </w:pPr>
            <w:r>
              <w:t xml:space="preserve">156,37 </w:t>
            </w:r>
          </w:p>
        </w:tc>
        <w:tc>
          <w:tcPr>
            <w:tcW w:w="0" w:type="auto"/>
          </w:tcPr>
          <w:p w:rsidR="00AE0C79" w:rsidRDefault="00A61E00" w:rsidP="00FA7B84">
            <w:pPr>
              <w:spacing w:line="276" w:lineRule="auto"/>
            </w:pPr>
            <w:r>
              <w:t xml:space="preserve">172,31 </w:t>
            </w:r>
          </w:p>
        </w:tc>
      </w:tr>
      <w:tr w:rsidR="00AE0C79">
        <w:tc>
          <w:tcPr>
            <w:tcW w:w="0" w:type="auto"/>
          </w:tcPr>
          <w:p w:rsidR="00AE0C79" w:rsidRDefault="00A61E00" w:rsidP="00FA7B84">
            <w:pPr>
              <w:spacing w:line="276" w:lineRule="auto"/>
            </w:pPr>
            <w:r>
              <w:t>Krátkodobé pohledávky</w:t>
            </w:r>
          </w:p>
        </w:tc>
        <w:tc>
          <w:tcPr>
            <w:tcW w:w="0" w:type="auto"/>
          </w:tcPr>
          <w:p w:rsidR="00AE0C79" w:rsidRDefault="00A61E00" w:rsidP="00FA7B84">
            <w:pPr>
              <w:spacing w:line="276" w:lineRule="auto"/>
            </w:pPr>
            <w:r>
              <w:t>100,00</w:t>
            </w:r>
          </w:p>
        </w:tc>
        <w:tc>
          <w:tcPr>
            <w:tcW w:w="0" w:type="auto"/>
          </w:tcPr>
          <w:p w:rsidR="00AE0C79" w:rsidRDefault="00A61E00" w:rsidP="00FA7B84">
            <w:pPr>
              <w:spacing w:line="276" w:lineRule="auto"/>
            </w:pPr>
            <w:r>
              <w:t>115,63</w:t>
            </w:r>
          </w:p>
        </w:tc>
        <w:tc>
          <w:tcPr>
            <w:tcW w:w="0" w:type="auto"/>
          </w:tcPr>
          <w:p w:rsidR="00AE0C79" w:rsidRDefault="00A61E00" w:rsidP="00FA7B84">
            <w:pPr>
              <w:spacing w:line="276" w:lineRule="auto"/>
            </w:pPr>
            <w:r>
              <w:t>50,94</w:t>
            </w:r>
          </w:p>
        </w:tc>
        <w:tc>
          <w:tcPr>
            <w:tcW w:w="0" w:type="auto"/>
          </w:tcPr>
          <w:p w:rsidR="00AE0C79" w:rsidRDefault="00A61E00" w:rsidP="00FA7B84">
            <w:pPr>
              <w:spacing w:line="276" w:lineRule="auto"/>
            </w:pPr>
            <w:r>
              <w:t>83,90</w:t>
            </w:r>
          </w:p>
        </w:tc>
        <w:tc>
          <w:tcPr>
            <w:tcW w:w="0" w:type="auto"/>
          </w:tcPr>
          <w:p w:rsidR="00AE0C79" w:rsidRDefault="00A61E00" w:rsidP="00FA7B84">
            <w:pPr>
              <w:spacing w:line="276" w:lineRule="auto"/>
            </w:pPr>
            <w:r>
              <w:t>131,77</w:t>
            </w:r>
          </w:p>
        </w:tc>
        <w:tc>
          <w:tcPr>
            <w:tcW w:w="0" w:type="auto"/>
          </w:tcPr>
          <w:p w:rsidR="00AE0C79" w:rsidRDefault="00A61E00" w:rsidP="00FA7B84">
            <w:pPr>
              <w:spacing w:line="276" w:lineRule="auto"/>
            </w:pPr>
            <w:r>
              <w:t>89,59</w:t>
            </w:r>
          </w:p>
        </w:tc>
        <w:tc>
          <w:tcPr>
            <w:tcW w:w="0" w:type="auto"/>
          </w:tcPr>
          <w:p w:rsidR="00AE0C79" w:rsidRDefault="00A61E00" w:rsidP="00FA7B84">
            <w:pPr>
              <w:spacing w:line="276" w:lineRule="auto"/>
            </w:pPr>
            <w:r>
              <w:t>88,85</w:t>
            </w:r>
          </w:p>
        </w:tc>
        <w:tc>
          <w:tcPr>
            <w:tcW w:w="0" w:type="auto"/>
          </w:tcPr>
          <w:p w:rsidR="00AE0C79" w:rsidRDefault="00A61E00" w:rsidP="00FA7B84">
            <w:pPr>
              <w:spacing w:line="276" w:lineRule="auto"/>
            </w:pPr>
            <w:r>
              <w:t>115,24</w:t>
            </w:r>
          </w:p>
        </w:tc>
      </w:tr>
      <w:tr w:rsidR="00AE0C79">
        <w:tc>
          <w:tcPr>
            <w:tcW w:w="0" w:type="auto"/>
          </w:tcPr>
          <w:p w:rsidR="00AE0C79" w:rsidRDefault="00A61E00" w:rsidP="00FA7B84">
            <w:pPr>
              <w:spacing w:line="276" w:lineRule="auto"/>
            </w:pPr>
            <w:r>
              <w:t>Krátkodobý finanční majetek</w:t>
            </w:r>
          </w:p>
        </w:tc>
        <w:tc>
          <w:tcPr>
            <w:tcW w:w="0" w:type="auto"/>
          </w:tcPr>
          <w:p w:rsidR="00AE0C79" w:rsidRDefault="00A61E00" w:rsidP="00FA7B84">
            <w:pPr>
              <w:spacing w:line="276" w:lineRule="auto"/>
            </w:pPr>
            <w:r>
              <w:t>100,00</w:t>
            </w:r>
          </w:p>
        </w:tc>
        <w:tc>
          <w:tcPr>
            <w:tcW w:w="0" w:type="auto"/>
          </w:tcPr>
          <w:p w:rsidR="00AE0C79" w:rsidRDefault="00A61E00" w:rsidP="00FA7B84">
            <w:pPr>
              <w:spacing w:line="276" w:lineRule="auto"/>
            </w:pPr>
            <w:r>
              <w:t>118,54</w:t>
            </w:r>
          </w:p>
        </w:tc>
        <w:tc>
          <w:tcPr>
            <w:tcW w:w="0" w:type="auto"/>
          </w:tcPr>
          <w:p w:rsidR="00AE0C79" w:rsidRDefault="00A61E00" w:rsidP="00FA7B84">
            <w:pPr>
              <w:spacing w:line="276" w:lineRule="auto"/>
            </w:pPr>
            <w:r>
              <w:t>560,70</w:t>
            </w:r>
          </w:p>
        </w:tc>
        <w:tc>
          <w:tcPr>
            <w:tcW w:w="0" w:type="auto"/>
          </w:tcPr>
          <w:p w:rsidR="00AE0C79" w:rsidRDefault="00A61E00" w:rsidP="00FA7B84">
            <w:pPr>
              <w:spacing w:line="276" w:lineRule="auto"/>
            </w:pPr>
            <w:r>
              <w:t>1347,86</w:t>
            </w:r>
          </w:p>
        </w:tc>
        <w:tc>
          <w:tcPr>
            <w:tcW w:w="0" w:type="auto"/>
          </w:tcPr>
          <w:p w:rsidR="00AE0C79" w:rsidRDefault="00A61E00" w:rsidP="00FA7B84">
            <w:pPr>
              <w:spacing w:line="276" w:lineRule="auto"/>
            </w:pPr>
            <w:r>
              <w:t>2766,88</w:t>
            </w:r>
          </w:p>
        </w:tc>
        <w:tc>
          <w:tcPr>
            <w:tcW w:w="0" w:type="auto"/>
          </w:tcPr>
          <w:p w:rsidR="00AE0C79" w:rsidRDefault="00A61E00" w:rsidP="00FA7B84">
            <w:pPr>
              <w:spacing w:line="276" w:lineRule="auto"/>
            </w:pPr>
            <w:r>
              <w:t>4548,18</w:t>
            </w:r>
          </w:p>
        </w:tc>
        <w:tc>
          <w:tcPr>
            <w:tcW w:w="0" w:type="auto"/>
          </w:tcPr>
          <w:p w:rsidR="00AE0C79" w:rsidRDefault="00A61E00" w:rsidP="00FA7B84">
            <w:pPr>
              <w:spacing w:line="276" w:lineRule="auto"/>
            </w:pPr>
            <w:r>
              <w:t>3606,02</w:t>
            </w:r>
          </w:p>
        </w:tc>
        <w:tc>
          <w:tcPr>
            <w:tcW w:w="0" w:type="auto"/>
          </w:tcPr>
          <w:p w:rsidR="00AE0C79" w:rsidRDefault="00A61E00" w:rsidP="00FA7B84">
            <w:pPr>
              <w:spacing w:line="276" w:lineRule="auto"/>
            </w:pPr>
            <w:r>
              <w:t>3573,53</w:t>
            </w:r>
          </w:p>
        </w:tc>
      </w:tr>
      <w:tr w:rsidR="00AE0C79">
        <w:tc>
          <w:tcPr>
            <w:tcW w:w="0" w:type="auto"/>
            <w:shd w:val="clear" w:color="auto" w:fill="C6D9F1" w:themeFill="text2" w:themeFillTint="33"/>
          </w:tcPr>
          <w:p w:rsidR="00AE0C79" w:rsidRDefault="00A61E00" w:rsidP="00FA7B84">
            <w:pPr>
              <w:spacing w:line="276" w:lineRule="auto"/>
              <w:rPr>
                <w:b/>
              </w:rPr>
            </w:pPr>
            <w:r>
              <w:rPr>
                <w:b/>
              </w:rPr>
              <w:t>Časové rozlišení</w:t>
            </w:r>
          </w:p>
        </w:tc>
        <w:tc>
          <w:tcPr>
            <w:tcW w:w="0" w:type="auto"/>
            <w:shd w:val="clear" w:color="auto" w:fill="C6D9F1" w:themeFill="text2" w:themeFillTint="33"/>
          </w:tcPr>
          <w:p w:rsidR="00AE0C79" w:rsidRDefault="00A61E00" w:rsidP="00FA7B84">
            <w:pPr>
              <w:spacing w:line="276" w:lineRule="auto"/>
              <w:rPr>
                <w:b/>
              </w:rPr>
            </w:pPr>
            <w:r>
              <w:rPr>
                <w:b/>
              </w:rPr>
              <w:t>100,00</w:t>
            </w:r>
          </w:p>
        </w:tc>
        <w:tc>
          <w:tcPr>
            <w:tcW w:w="0" w:type="auto"/>
            <w:shd w:val="clear" w:color="auto" w:fill="C6D9F1" w:themeFill="text2" w:themeFillTint="33"/>
          </w:tcPr>
          <w:p w:rsidR="00AE0C79" w:rsidRDefault="00A61E00" w:rsidP="00FA7B84">
            <w:pPr>
              <w:spacing w:line="276" w:lineRule="auto"/>
              <w:rPr>
                <w:b/>
              </w:rPr>
            </w:pPr>
            <w:r>
              <w:rPr>
                <w:b/>
              </w:rPr>
              <w:t>121,38</w:t>
            </w:r>
          </w:p>
        </w:tc>
        <w:tc>
          <w:tcPr>
            <w:tcW w:w="0" w:type="auto"/>
            <w:shd w:val="clear" w:color="auto" w:fill="C6D9F1" w:themeFill="text2" w:themeFillTint="33"/>
          </w:tcPr>
          <w:p w:rsidR="00AE0C79" w:rsidRDefault="00A61E00" w:rsidP="00FA7B84">
            <w:pPr>
              <w:spacing w:line="276" w:lineRule="auto"/>
              <w:rPr>
                <w:b/>
              </w:rPr>
            </w:pPr>
            <w:r>
              <w:rPr>
                <w:b/>
              </w:rPr>
              <w:t>149,59</w:t>
            </w:r>
          </w:p>
        </w:tc>
        <w:tc>
          <w:tcPr>
            <w:tcW w:w="0" w:type="auto"/>
            <w:shd w:val="clear" w:color="auto" w:fill="C6D9F1" w:themeFill="text2" w:themeFillTint="33"/>
          </w:tcPr>
          <w:p w:rsidR="00AE0C79" w:rsidRDefault="00A61E00" w:rsidP="00FA7B84">
            <w:pPr>
              <w:spacing w:line="276" w:lineRule="auto"/>
              <w:rPr>
                <w:b/>
              </w:rPr>
            </w:pPr>
            <w:r>
              <w:rPr>
                <w:b/>
              </w:rPr>
              <w:t>129,94</w:t>
            </w:r>
          </w:p>
        </w:tc>
        <w:tc>
          <w:tcPr>
            <w:tcW w:w="0" w:type="auto"/>
            <w:shd w:val="clear" w:color="auto" w:fill="C6D9F1" w:themeFill="text2" w:themeFillTint="33"/>
          </w:tcPr>
          <w:p w:rsidR="00AE0C79" w:rsidRDefault="00A61E00" w:rsidP="00FA7B84">
            <w:pPr>
              <w:spacing w:line="276" w:lineRule="auto"/>
              <w:rPr>
                <w:b/>
              </w:rPr>
            </w:pPr>
            <w:r>
              <w:rPr>
                <w:b/>
              </w:rPr>
              <w:t>138,59</w:t>
            </w:r>
          </w:p>
        </w:tc>
        <w:tc>
          <w:tcPr>
            <w:tcW w:w="0" w:type="auto"/>
            <w:shd w:val="clear" w:color="auto" w:fill="C6D9F1" w:themeFill="text2" w:themeFillTint="33"/>
          </w:tcPr>
          <w:p w:rsidR="00AE0C79" w:rsidRDefault="00A61E00" w:rsidP="00FA7B84">
            <w:pPr>
              <w:spacing w:line="276" w:lineRule="auto"/>
              <w:rPr>
                <w:b/>
              </w:rPr>
            </w:pPr>
            <w:r>
              <w:rPr>
                <w:b/>
              </w:rPr>
              <w:t>58,55</w:t>
            </w:r>
          </w:p>
        </w:tc>
        <w:tc>
          <w:tcPr>
            <w:tcW w:w="0" w:type="auto"/>
            <w:shd w:val="clear" w:color="auto" w:fill="C6D9F1" w:themeFill="text2" w:themeFillTint="33"/>
          </w:tcPr>
          <w:p w:rsidR="00AE0C79" w:rsidRDefault="00A61E00" w:rsidP="00FA7B84">
            <w:pPr>
              <w:spacing w:line="276" w:lineRule="auto"/>
              <w:rPr>
                <w:b/>
              </w:rPr>
            </w:pPr>
            <w:r>
              <w:rPr>
                <w:b/>
              </w:rPr>
              <w:t>235,44</w:t>
            </w:r>
            <w:r>
              <w:rPr>
                <w:b/>
              </w:rPr>
              <w:tab/>
            </w:r>
          </w:p>
        </w:tc>
        <w:tc>
          <w:tcPr>
            <w:tcW w:w="0" w:type="auto"/>
            <w:shd w:val="clear" w:color="auto" w:fill="C6D9F1" w:themeFill="text2" w:themeFillTint="33"/>
          </w:tcPr>
          <w:p w:rsidR="00AE0C79" w:rsidRDefault="00A61E00" w:rsidP="00FA7B84">
            <w:pPr>
              <w:spacing w:line="276" w:lineRule="auto"/>
              <w:rPr>
                <w:b/>
              </w:rPr>
            </w:pPr>
            <w:r>
              <w:rPr>
                <w:b/>
              </w:rPr>
              <w:t>19,35</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Hodnota dlouhodobého majetku je na počátku i na konci sledovaného období téměř stejná. Nejvyšší hodnoty dosahoval v roce 2005 a nejnižší naopak hned v následujícím roce. Tento propad je způsoben prodejem dlouhodobého majetku, který byl zastaven bance, a jehož prodejem se dluh bance splatil (položka bankovní úvěry v pasivech). Po tomto prodeji významně poklesla hodnota položky staveb a již se výrazněji nezvýšila. Růst hodnoty dlouhodobého hmotného majetku tak zapříčinil růst účtu samostatné movité věci (viz příloha č. 1).</w:t>
      </w:r>
    </w:p>
    <w:p w:rsidR="00AE0C79" w:rsidRDefault="00A61E00" w:rsidP="00FA7B84">
      <w:pPr>
        <w:spacing w:line="276" w:lineRule="auto"/>
      </w:pPr>
      <w:r>
        <w:t>Dlouhodobý finanční majetek podnik výrazněji použil v letech 2006, 2007 a 2010. V roce 2006 se jeho hodnota zvýšila díky získání podílu ve firmě Stomatol s.r.o. a v roce 2007 se dále zvyšovala díky přecenění tohoto podílu. Následující rok podnik tento podíl prodal a hodnota finančního majetku klesla na 0. Největší hodnoty dosáhl dlouhodobý finanční majetek v posledním sledovaném roce, kdy podnik poskytl půjčku firmě ABA Group s.r.o. ve výši 8 mil. Kč.</w:t>
      </w:r>
    </w:p>
    <w:p w:rsidR="00AE0C79" w:rsidRDefault="00A61E00" w:rsidP="00FA7B84">
      <w:pPr>
        <w:spacing w:line="276" w:lineRule="auto"/>
      </w:pPr>
      <w:r>
        <w:lastRenderedPageBreak/>
        <w:t xml:space="preserve">Jak jsem již zmínil, hodnota dlouhodobého majetku je na počátku i na konci období téměř stejná. Vzrůst sumy aktiv tak zapříčinil výhradně růst oběžných aktiv. Oběžná aktiva, stejně jako celková suma aktiv, zaznamenala růst v každém roce sledovaného období, s výjimkou ekonomicky neúspěšných let 2005 a 2008, kdy jejich hodnota naopak poklesla. Nejvýraznější procentní vzrůst za sledované období náleží krátkodobému finančnímu majetku, jeho hodnota v roce 2010 dosahovala více než 35 -ti násobku hodnoty z roku 2003. Růst jeho hodnoty se zastavil v roce 2008 a poslední 2 roky klesá. Významný růst je znatelný také u zásob, jejichž hodnota je tvořena výhradně zbožím. Zvýšení hodnoty vykazují také krátkodobé pohledávky, i když mnohem menší. </w:t>
      </w:r>
    </w:p>
    <w:p w:rsidR="00AE0C79" w:rsidRDefault="00A61E00" w:rsidP="00FA7B84">
      <w:pPr>
        <w:pStyle w:val="Titulek"/>
        <w:keepNext/>
        <w:spacing w:line="276" w:lineRule="auto"/>
      </w:pPr>
      <w:bookmarkStart w:id="34" w:name="_Toc324932943"/>
      <w:r>
        <w:t xml:space="preserve">Graf </w:t>
      </w:r>
      <w:fldSimple w:instr=" SEQ Graf \* ARABIC ">
        <w:r w:rsidR="00F5284D">
          <w:rPr>
            <w:noProof/>
          </w:rPr>
          <w:t>1</w:t>
        </w:r>
      </w:fldSimple>
      <w:r>
        <w:t>: Vývoj aktiv společnosti Dentamed s.r.o.</w:t>
      </w:r>
      <w:bookmarkEnd w:id="34"/>
    </w:p>
    <w:p w:rsidR="00AE0C79" w:rsidRDefault="00A61E00" w:rsidP="00FA7B84">
      <w:pPr>
        <w:spacing w:line="276" w:lineRule="auto"/>
        <w:rPr>
          <w:i/>
          <w:sz w:val="20"/>
          <w:szCs w:val="20"/>
        </w:rPr>
      </w:pPr>
      <w:r>
        <w:rPr>
          <w:noProof/>
          <w:lang w:eastAsia="cs-CZ"/>
        </w:rPr>
        <w:drawing>
          <wp:inline distT="0" distB="0" distL="0" distR="0">
            <wp:extent cx="5423225" cy="2880000"/>
            <wp:effectExtent l="19050" t="0" r="25075"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i/>
          <w:sz w:val="20"/>
          <w:szCs w:val="20"/>
        </w:rPr>
        <w:t xml:space="preserve"> Zdroj: Vlastní výpočty autora na základě finančních výkazů společnosti Dentamed, s.r.o.</w:t>
      </w:r>
    </w:p>
    <w:p w:rsidR="00AE0C79" w:rsidRDefault="00A61E00" w:rsidP="00FA7B84">
      <w:pPr>
        <w:pStyle w:val="Nadpis3"/>
        <w:spacing w:line="276" w:lineRule="auto"/>
      </w:pPr>
      <w:bookmarkStart w:id="35" w:name="_Toc324932900"/>
      <w:r>
        <w:t>Horizontální analýza pasiv</w:t>
      </w:r>
      <w:bookmarkEnd w:id="35"/>
    </w:p>
    <w:p w:rsidR="00F5284D" w:rsidRDefault="00A61E00" w:rsidP="00FA7B84">
      <w:pPr>
        <w:spacing w:line="276" w:lineRule="auto"/>
      </w:pPr>
      <w:r>
        <w:t>Pro celkovou sumu pasiv samozřejmě platí to samé, jako pro celkovou sumu aktiv, tedy, že mají, s výjimkou hospodářsky slabých let, růstovou tendenci. Růst pasiv je zapříčiněn především růstem cizích zdrojů i přes to, že vlastní kapitál vzrostl o mnohem větší podíl. Cizí zdroje mají totiž mnohem vyšší hodnotu než vlastní kapitál, jak ukáže i pozdější vertikální analýza.</w:t>
      </w:r>
    </w:p>
    <w:p w:rsidR="006522B5" w:rsidRDefault="006522B5" w:rsidP="00FA7B84">
      <w:pPr>
        <w:spacing w:line="276" w:lineRule="auto"/>
      </w:pPr>
    </w:p>
    <w:p w:rsidR="006522B5" w:rsidRDefault="006522B5" w:rsidP="00FA7B84">
      <w:pPr>
        <w:spacing w:line="276" w:lineRule="auto"/>
      </w:pPr>
    </w:p>
    <w:p w:rsidR="006522B5" w:rsidRDefault="006522B5" w:rsidP="00FA7B84">
      <w:pPr>
        <w:spacing w:line="276" w:lineRule="auto"/>
      </w:pPr>
    </w:p>
    <w:p w:rsidR="006522B5" w:rsidRDefault="006522B5" w:rsidP="00FA7B84">
      <w:pPr>
        <w:spacing w:line="276" w:lineRule="auto"/>
      </w:pPr>
    </w:p>
    <w:p w:rsidR="006522B5" w:rsidRDefault="006522B5" w:rsidP="00FA7B84">
      <w:pPr>
        <w:spacing w:line="276" w:lineRule="auto"/>
      </w:pPr>
    </w:p>
    <w:p w:rsidR="00AE0C79" w:rsidRDefault="00A61E00" w:rsidP="00FA7B84">
      <w:pPr>
        <w:pStyle w:val="Titulek"/>
        <w:keepNext/>
        <w:spacing w:line="276" w:lineRule="auto"/>
      </w:pPr>
      <w:bookmarkStart w:id="36" w:name="_Toc324932926"/>
      <w:r>
        <w:lastRenderedPageBreak/>
        <w:t xml:space="preserve">Tabulka </w:t>
      </w:r>
      <w:fldSimple w:instr=" SEQ Tabulka \* ARABIC ">
        <w:r w:rsidR="00F5284D">
          <w:rPr>
            <w:noProof/>
          </w:rPr>
          <w:t>4</w:t>
        </w:r>
      </w:fldSimple>
      <w:r>
        <w:t>: Horizontální analýza pasiv společnosti Dentamed s.r.o.</w:t>
      </w:r>
      <w:bookmarkEnd w:id="36"/>
    </w:p>
    <w:tbl>
      <w:tblPr>
        <w:tblStyle w:val="Mkatabulky"/>
        <w:tblW w:w="0" w:type="auto"/>
        <w:tblLook w:val="04A0"/>
      </w:tblPr>
      <w:tblGrid>
        <w:gridCol w:w="1788"/>
        <w:gridCol w:w="821"/>
        <w:gridCol w:w="931"/>
        <w:gridCol w:w="956"/>
        <w:gridCol w:w="931"/>
        <w:gridCol w:w="931"/>
        <w:gridCol w:w="956"/>
        <w:gridCol w:w="1041"/>
        <w:gridCol w:w="931"/>
      </w:tblGrid>
      <w:tr w:rsidR="00AE0C79" w:rsidRPr="00F5284D" w:rsidTr="003D7A2A">
        <w:trPr>
          <w:cantSplit/>
        </w:trPr>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V %</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2003</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2004</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2005</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2006</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2007</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2008</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2009</w:t>
            </w:r>
          </w:p>
        </w:tc>
        <w:tc>
          <w:tcPr>
            <w:tcW w:w="0" w:type="auto"/>
            <w:shd w:val="clear" w:color="auto" w:fill="8DB3E2" w:themeFill="text2" w:themeFillTint="66"/>
          </w:tcPr>
          <w:p w:rsidR="00AE0C79" w:rsidRPr="00F5284D" w:rsidRDefault="00A61E00" w:rsidP="00FA7B84">
            <w:pPr>
              <w:spacing w:line="276" w:lineRule="auto"/>
              <w:rPr>
                <w:rFonts w:cs="Times New Roman"/>
                <w:b/>
              </w:rPr>
            </w:pPr>
            <w:r w:rsidRPr="00F5284D">
              <w:rPr>
                <w:rFonts w:cs="Times New Roman"/>
                <w:b/>
              </w:rPr>
              <w:t>2010</w:t>
            </w:r>
          </w:p>
        </w:tc>
      </w:tr>
      <w:tr w:rsidR="00AE0C79" w:rsidRPr="00F5284D" w:rsidTr="003D7A2A">
        <w:trPr>
          <w:cantSplit/>
        </w:trPr>
        <w:tc>
          <w:tcPr>
            <w:tcW w:w="0" w:type="auto"/>
            <w:shd w:val="clear" w:color="auto" w:fill="FFFFFF" w:themeFill="background1"/>
          </w:tcPr>
          <w:p w:rsidR="00AE0C79" w:rsidRPr="00F5284D" w:rsidRDefault="00A61E00" w:rsidP="00FA7B84">
            <w:pPr>
              <w:spacing w:line="276" w:lineRule="auto"/>
              <w:rPr>
                <w:rFonts w:cs="Times New Roman"/>
                <w:b/>
              </w:rPr>
            </w:pPr>
            <w:r w:rsidRPr="00F5284D">
              <w:rPr>
                <w:rFonts w:cs="Times New Roman"/>
                <w:b/>
              </w:rPr>
              <w:t>Pasiva</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100,00</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112,47</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98,81</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103,00</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152,52</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143,55</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146,16</w:t>
            </w:r>
          </w:p>
        </w:tc>
        <w:tc>
          <w:tcPr>
            <w:tcW w:w="0" w:type="auto"/>
            <w:shd w:val="clear" w:color="auto" w:fill="FFFFFF" w:themeFill="background1"/>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166,09</w:t>
            </w:r>
          </w:p>
        </w:tc>
      </w:tr>
      <w:tr w:rsidR="00AE0C79" w:rsidRPr="00F5284D" w:rsidTr="003D7A2A">
        <w:trPr>
          <w:cantSplit/>
        </w:trPr>
        <w:tc>
          <w:tcPr>
            <w:tcW w:w="0" w:type="auto"/>
            <w:shd w:val="clear" w:color="auto" w:fill="C6D9F1" w:themeFill="text2" w:themeFillTint="33"/>
          </w:tcPr>
          <w:p w:rsidR="00AE0C79" w:rsidRPr="00F5284D" w:rsidRDefault="00A61E00" w:rsidP="00FA7B84">
            <w:pPr>
              <w:spacing w:line="276" w:lineRule="auto"/>
              <w:rPr>
                <w:rFonts w:cs="Times New Roman"/>
                <w:b/>
              </w:rPr>
            </w:pPr>
            <w:r w:rsidRPr="00F5284D">
              <w:rPr>
                <w:rFonts w:cs="Times New Roman"/>
                <w:b/>
              </w:rPr>
              <w:t>Vlastní kapitál</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100,00</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131,01</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61,20</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150,45</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423,31</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231,35</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179,70</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431,74</w:t>
            </w:r>
          </w:p>
        </w:tc>
      </w:tr>
      <w:tr w:rsidR="00AE0C79" w:rsidRPr="00F5284D" w:rsidTr="003D7A2A">
        <w:trPr>
          <w:cantSplit/>
        </w:trPr>
        <w:tc>
          <w:tcPr>
            <w:tcW w:w="0" w:type="auto"/>
          </w:tcPr>
          <w:p w:rsidR="00AE0C79" w:rsidRPr="00F5284D" w:rsidRDefault="00A61E00" w:rsidP="00FA7B84">
            <w:pPr>
              <w:spacing w:line="276" w:lineRule="auto"/>
              <w:rPr>
                <w:rFonts w:cs="Times New Roman"/>
              </w:rPr>
            </w:pPr>
            <w:r w:rsidRPr="00F5284D">
              <w:rPr>
                <w:rFonts w:cs="Times New Roman"/>
              </w:rPr>
              <w:t>Základní kapitál</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5000,00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5000,00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5000,00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5000,00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5000,00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5000,00</w:t>
            </w:r>
          </w:p>
        </w:tc>
      </w:tr>
      <w:tr w:rsidR="00AE0C79" w:rsidRPr="00F5284D" w:rsidTr="003D7A2A">
        <w:trPr>
          <w:cantSplit/>
        </w:trPr>
        <w:tc>
          <w:tcPr>
            <w:tcW w:w="0" w:type="auto"/>
          </w:tcPr>
          <w:p w:rsidR="00AE0C79" w:rsidRPr="00F5284D" w:rsidRDefault="00A61E00" w:rsidP="00FA7B84">
            <w:pPr>
              <w:spacing w:line="276" w:lineRule="auto"/>
              <w:rPr>
                <w:rFonts w:cs="Times New Roman"/>
              </w:rPr>
            </w:pPr>
            <w:r w:rsidRPr="00F5284D">
              <w:rPr>
                <w:rFonts w:cs="Times New Roman"/>
              </w:rPr>
              <w:t>Rezervní a ostatní fondy</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15,63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134,38</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134,38</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390,63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390,63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390,63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781,25</w:t>
            </w:r>
          </w:p>
        </w:tc>
      </w:tr>
      <w:tr w:rsidR="00AE0C79" w:rsidRPr="00F5284D" w:rsidTr="003D7A2A">
        <w:trPr>
          <w:cantSplit/>
        </w:trPr>
        <w:tc>
          <w:tcPr>
            <w:tcW w:w="0" w:type="auto"/>
          </w:tcPr>
          <w:p w:rsidR="00AE0C79" w:rsidRPr="00F5284D" w:rsidRDefault="00A61E00" w:rsidP="00FA7B84">
            <w:pPr>
              <w:spacing w:line="276" w:lineRule="auto"/>
              <w:rPr>
                <w:rFonts w:cs="Times New Roman"/>
              </w:rPr>
            </w:pPr>
            <w:r w:rsidRPr="00F5284D">
              <w:rPr>
                <w:rFonts w:cs="Times New Roman"/>
              </w:rPr>
              <w:t>VH minulých let</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116,13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152,91</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-53,29</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157,45</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375,34</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75,86</w:t>
            </w:r>
          </w:p>
        </w:tc>
      </w:tr>
      <w:tr w:rsidR="00AE0C79" w:rsidRPr="00F5284D" w:rsidTr="003D7A2A">
        <w:trPr>
          <w:cantSplit/>
        </w:trPr>
        <w:tc>
          <w:tcPr>
            <w:tcW w:w="0" w:type="auto"/>
          </w:tcPr>
          <w:p w:rsidR="00AE0C79" w:rsidRPr="00F5284D" w:rsidRDefault="00A61E00" w:rsidP="00FA7B84">
            <w:pPr>
              <w:spacing w:line="276" w:lineRule="auto"/>
              <w:rPr>
                <w:rFonts w:cs="Times New Roman"/>
              </w:rPr>
            </w:pPr>
            <w:r w:rsidRPr="00F5284D">
              <w:rPr>
                <w:rFonts w:cs="Times New Roman"/>
              </w:rPr>
              <w:t>VH běžného období</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239,87</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-1278,32</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1332,44</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1350,63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-1431,96</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509,65</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1879,75</w:t>
            </w:r>
          </w:p>
        </w:tc>
      </w:tr>
      <w:tr w:rsidR="00AE0C79" w:rsidRPr="00F5284D" w:rsidTr="003D7A2A">
        <w:trPr>
          <w:cantSplit/>
        </w:trPr>
        <w:tc>
          <w:tcPr>
            <w:tcW w:w="0" w:type="auto"/>
            <w:shd w:val="clear" w:color="auto" w:fill="C6D9F1" w:themeFill="text2" w:themeFillTint="33"/>
          </w:tcPr>
          <w:p w:rsidR="00AE0C79" w:rsidRPr="00F5284D" w:rsidRDefault="00A61E00" w:rsidP="00FA7B84">
            <w:pPr>
              <w:spacing w:line="276" w:lineRule="auto"/>
              <w:rPr>
                <w:rFonts w:cs="Times New Roman"/>
                <w:b/>
              </w:rPr>
            </w:pPr>
            <w:r w:rsidRPr="00F5284D">
              <w:rPr>
                <w:rFonts w:cs="Times New Roman"/>
                <w:b/>
              </w:rPr>
              <w:t>Cizí zdroje</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100,00</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110,71</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99,98</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98,54</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132,79</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137,26</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143,87</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143,39</w:t>
            </w:r>
          </w:p>
        </w:tc>
      </w:tr>
      <w:tr w:rsidR="00AE0C79" w:rsidRPr="00F5284D" w:rsidTr="003D7A2A">
        <w:trPr>
          <w:cantSplit/>
        </w:trPr>
        <w:tc>
          <w:tcPr>
            <w:tcW w:w="0" w:type="auto"/>
          </w:tcPr>
          <w:p w:rsidR="00AE0C79" w:rsidRPr="00F5284D" w:rsidRDefault="00A61E00" w:rsidP="00FA7B84">
            <w:pPr>
              <w:spacing w:line="276" w:lineRule="auto"/>
              <w:rPr>
                <w:rFonts w:cs="Times New Roman"/>
              </w:rPr>
            </w:pPr>
            <w:r w:rsidRPr="00F5284D">
              <w:rPr>
                <w:rFonts w:cs="Times New Roman"/>
              </w:rPr>
              <w:t>Dlouhodobé závazky</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7020,16</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5521,47</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6456,28</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5792,15</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6000,79</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10212,30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8592,93</w:t>
            </w:r>
          </w:p>
        </w:tc>
      </w:tr>
      <w:tr w:rsidR="00AE0C79" w:rsidRPr="00F5284D" w:rsidTr="003D7A2A">
        <w:trPr>
          <w:cantSplit/>
        </w:trPr>
        <w:tc>
          <w:tcPr>
            <w:tcW w:w="0" w:type="auto"/>
          </w:tcPr>
          <w:p w:rsidR="00AE0C79" w:rsidRPr="00F5284D" w:rsidRDefault="00A61E00" w:rsidP="00FA7B84">
            <w:pPr>
              <w:spacing w:line="276" w:lineRule="auto"/>
              <w:rPr>
                <w:rFonts w:cs="Times New Roman"/>
              </w:rPr>
            </w:pPr>
            <w:r w:rsidRPr="00F5284D">
              <w:rPr>
                <w:rFonts w:cs="Times New Roman"/>
              </w:rPr>
              <w:t>Krátkodobé závazky</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63,25</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54,27</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62,89</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114,21</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109,91</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88,34</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95,99</w:t>
            </w:r>
          </w:p>
        </w:tc>
      </w:tr>
      <w:tr w:rsidR="00AE0C79" w:rsidRPr="00F5284D" w:rsidTr="003D7A2A">
        <w:trPr>
          <w:cantSplit/>
        </w:trPr>
        <w:tc>
          <w:tcPr>
            <w:tcW w:w="0" w:type="auto"/>
          </w:tcPr>
          <w:p w:rsidR="00AE0C79" w:rsidRPr="00F5284D" w:rsidRDefault="00A61E00" w:rsidP="00FA7B84">
            <w:pPr>
              <w:spacing w:line="276" w:lineRule="auto"/>
              <w:rPr>
                <w:rFonts w:cs="Times New Roman"/>
              </w:rPr>
            </w:pPr>
            <w:r w:rsidRPr="00F5284D">
              <w:rPr>
                <w:rFonts w:cs="Times New Roman"/>
              </w:rPr>
              <w:t>Bankovní úvěry a výpomoci</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100,00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96,53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90,63</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0,00</w:t>
            </w:r>
          </w:p>
        </w:tc>
        <w:tc>
          <w:tcPr>
            <w:tcW w:w="0" w:type="auto"/>
            <w:vAlign w:val="bottom"/>
          </w:tcPr>
          <w:p w:rsidR="00AE0C79" w:rsidRPr="00F5284D" w:rsidRDefault="00A61E00" w:rsidP="00FA7B84">
            <w:pPr>
              <w:spacing w:line="276" w:lineRule="auto"/>
              <w:rPr>
                <w:rFonts w:eastAsia="Times New Roman" w:cs="Times New Roman"/>
                <w:color w:val="000000"/>
                <w:lang w:eastAsia="cs-CZ"/>
              </w:rPr>
            </w:pPr>
            <w:r w:rsidRPr="00F5284D">
              <w:rPr>
                <w:rFonts w:eastAsia="Times New Roman" w:cs="Times New Roman"/>
                <w:color w:val="000000"/>
                <w:lang w:eastAsia="cs-CZ"/>
              </w:rPr>
              <w:t>71,96</w:t>
            </w:r>
          </w:p>
        </w:tc>
      </w:tr>
      <w:tr w:rsidR="00AE0C79" w:rsidRPr="00F5284D" w:rsidTr="003D7A2A">
        <w:trPr>
          <w:cantSplit/>
        </w:trPr>
        <w:tc>
          <w:tcPr>
            <w:tcW w:w="0" w:type="auto"/>
            <w:shd w:val="clear" w:color="auto" w:fill="C6D9F1" w:themeFill="text2" w:themeFillTint="33"/>
          </w:tcPr>
          <w:p w:rsidR="00AE0C79" w:rsidRPr="00F5284D" w:rsidRDefault="00A61E00" w:rsidP="00FA7B84">
            <w:pPr>
              <w:spacing w:line="276" w:lineRule="auto"/>
              <w:rPr>
                <w:rFonts w:cs="Times New Roman"/>
                <w:b/>
              </w:rPr>
            </w:pPr>
            <w:r w:rsidRPr="00F5284D">
              <w:rPr>
                <w:rFonts w:cs="Times New Roman"/>
                <w:b/>
              </w:rPr>
              <w:t>Časové rozlišení</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100,00</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390,43</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1185,11</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785,11</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92,55</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51,06</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30,85</w:t>
            </w:r>
          </w:p>
        </w:tc>
        <w:tc>
          <w:tcPr>
            <w:tcW w:w="0" w:type="auto"/>
            <w:shd w:val="clear" w:color="auto" w:fill="C6D9F1" w:themeFill="text2" w:themeFillTint="33"/>
            <w:vAlign w:val="bottom"/>
          </w:tcPr>
          <w:p w:rsidR="00AE0C79" w:rsidRPr="00F5284D" w:rsidRDefault="00A61E00" w:rsidP="00FA7B84">
            <w:pPr>
              <w:spacing w:line="276" w:lineRule="auto"/>
              <w:rPr>
                <w:rFonts w:eastAsia="Times New Roman" w:cs="Times New Roman"/>
                <w:b/>
                <w:color w:val="000000"/>
                <w:lang w:eastAsia="cs-CZ"/>
              </w:rPr>
            </w:pPr>
            <w:r w:rsidRPr="00F5284D">
              <w:rPr>
                <w:rFonts w:eastAsia="Times New Roman" w:cs="Times New Roman"/>
                <w:b/>
                <w:color w:val="000000"/>
                <w:lang w:eastAsia="cs-CZ"/>
              </w:rPr>
              <w:t>2400,00</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Hodnota vlastního kapitálu kopíruje hospodářský úspěch podniku. Díky tomu, že obsahuje položky výsledků hospodaření, klesá v ekonomicky neúspěšných letech 2005 a 2008, kdy podnik dosáhl záporného hospodářského výsledku. V ostatních letech hodnota vlastního kapitálu roste, výjimkou je rok 2009, kdy se jeho hodnota snížila i přes kladný hospodářský výsledek. Příčinou této změny je vyplacení podílů na zisku, čímž se hodnota výsledků hospodaření minulých let snížila na 0. V roce 2005 také došlo ke zvýšení základního kapitálu, což snížilo propad hodnoty vlastního kapitálu z důvodu záporného hospodářského výsledku.</w:t>
      </w:r>
    </w:p>
    <w:p w:rsidR="00AE0C79" w:rsidRDefault="00A61E00" w:rsidP="00FA7B84">
      <w:pPr>
        <w:spacing w:line="276" w:lineRule="auto"/>
      </w:pPr>
      <w:r>
        <w:t>K největšímu zvýšení došlo u dlouhodobých závazků. Zatímco v roce 2003 podnik nevykazoval téměř žádné dlouhodobé závazky, hned v následujícím roce se staly podstatnou součástí cizích zdrojů. Nejvyšší hodnoty dosáhly v letech 2009 a 2010. Krátkodobé závazky měly klesající tendenci až do roku 2005, kdy dosáhly svého minima. Od tohoto hospodářsky neúspěšného roku se ale jejich hodnota zvýšila a přesáhla i úroveň z roku 2003. V posledních dvou letech opět klesly pod tuto úroveň, zároveň ale vykazují opět růstovou tendenci. Bankovní úvěry firma využívala až do roku 2005, poté až v roce 2010. Úvěry získává podnik spíše od své mateřské společnosti a dalších propojených firem. V účetnictví můžeme nalézt tyto úvěry v dlouhodobých závazcích.</w:t>
      </w:r>
    </w:p>
    <w:p w:rsidR="00AE0C79" w:rsidRDefault="00A61E00" w:rsidP="00FA7B84">
      <w:pPr>
        <w:pStyle w:val="Titulek"/>
        <w:keepNext/>
        <w:spacing w:line="276" w:lineRule="auto"/>
      </w:pPr>
      <w:bookmarkStart w:id="37" w:name="_Toc324932944"/>
      <w:r>
        <w:lastRenderedPageBreak/>
        <w:t xml:space="preserve">Graf </w:t>
      </w:r>
      <w:fldSimple w:instr=" SEQ Graf \* ARABIC ">
        <w:r w:rsidR="00F5284D">
          <w:rPr>
            <w:noProof/>
          </w:rPr>
          <w:t>2</w:t>
        </w:r>
      </w:fldSimple>
      <w:r>
        <w:t>: Vývoj pasiv společnosti Dentamed s.r.o.</w:t>
      </w:r>
      <w:bookmarkEnd w:id="37"/>
    </w:p>
    <w:p w:rsidR="00AE0C79" w:rsidRDefault="00A61E00" w:rsidP="00FA7B84">
      <w:pPr>
        <w:spacing w:line="276" w:lineRule="auto"/>
        <w:rPr>
          <w:i/>
        </w:rPr>
      </w:pPr>
      <w:r>
        <w:rPr>
          <w:i/>
          <w:noProof/>
          <w:lang w:eastAsia="cs-CZ"/>
        </w:rPr>
        <w:drawing>
          <wp:inline distT="0" distB="0" distL="0" distR="0">
            <wp:extent cx="5415915" cy="2952000"/>
            <wp:effectExtent l="19050" t="0" r="13335" b="75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Nadpis2"/>
        <w:spacing w:line="276" w:lineRule="auto"/>
      </w:pPr>
      <w:bookmarkStart w:id="38" w:name="_Toc324932901"/>
      <w:r>
        <w:t>Vertikální analýza rozvahy</w:t>
      </w:r>
      <w:bookmarkEnd w:id="38"/>
    </w:p>
    <w:p w:rsidR="00AE0C79" w:rsidRDefault="00A61E00" w:rsidP="00FA7B84">
      <w:pPr>
        <w:pStyle w:val="Nadpis3"/>
        <w:spacing w:line="276" w:lineRule="auto"/>
      </w:pPr>
      <w:bookmarkStart w:id="39" w:name="_Toc324932902"/>
      <w:r>
        <w:t>Vertikální analýza aktiv</w:t>
      </w:r>
      <w:bookmarkEnd w:id="39"/>
    </w:p>
    <w:p w:rsidR="00AE0C79" w:rsidRDefault="00A61E00" w:rsidP="00FA7B84">
      <w:pPr>
        <w:spacing w:line="276" w:lineRule="auto"/>
      </w:pPr>
      <w:r>
        <w:t>Z vertikální analýzy aktiv vyplývá, že majetek podniku je tvořen především oběžnými aktivy. Za celé sledované období jejich podíl na celkové sumě aktiv neklesl pod 74 %. Největšího podílu dosáhla oběžná aktiva v letech 2006 a 2008.</w:t>
      </w:r>
    </w:p>
    <w:p w:rsidR="00AE0C79" w:rsidRDefault="00A61E00" w:rsidP="00FA7B84">
      <w:pPr>
        <w:pStyle w:val="Titulek"/>
        <w:keepNext/>
        <w:spacing w:line="276" w:lineRule="auto"/>
      </w:pPr>
      <w:bookmarkStart w:id="40" w:name="_Toc324932927"/>
      <w:r>
        <w:t xml:space="preserve">Tabulka </w:t>
      </w:r>
      <w:fldSimple w:instr=" SEQ Tabulka \* ARABIC ">
        <w:r w:rsidR="00F5284D">
          <w:rPr>
            <w:noProof/>
          </w:rPr>
          <w:t>5</w:t>
        </w:r>
      </w:fldSimple>
      <w:r>
        <w:t>: Vertikální analýza aktiv společnosti Dentamed s.r.o.</w:t>
      </w:r>
      <w:bookmarkEnd w:id="40"/>
    </w:p>
    <w:tbl>
      <w:tblPr>
        <w:tblStyle w:val="Mkatabulky"/>
        <w:tblW w:w="0" w:type="auto"/>
        <w:tblLook w:val="04A0"/>
      </w:tblPr>
      <w:tblGrid>
        <w:gridCol w:w="2795"/>
        <w:gridCol w:w="711"/>
        <w:gridCol w:w="925"/>
        <w:gridCol w:w="711"/>
        <w:gridCol w:w="711"/>
        <w:gridCol w:w="711"/>
        <w:gridCol w:w="711"/>
        <w:gridCol w:w="711"/>
        <w:gridCol w:w="711"/>
      </w:tblGrid>
      <w:tr w:rsidR="00AE0C79">
        <w:tc>
          <w:tcPr>
            <w:tcW w:w="0" w:type="auto"/>
            <w:shd w:val="clear" w:color="auto" w:fill="8DB3E2" w:themeFill="text2" w:themeFillTint="66"/>
          </w:tcPr>
          <w:p w:rsidR="00AE0C79" w:rsidRDefault="00A61E00" w:rsidP="00FA7B84">
            <w:pPr>
              <w:spacing w:line="276" w:lineRule="auto"/>
              <w:rPr>
                <w:b/>
              </w:rPr>
            </w:pPr>
            <w:r>
              <w:rPr>
                <w:b/>
              </w:rPr>
              <w:t>V %</w:t>
            </w:r>
          </w:p>
        </w:tc>
        <w:tc>
          <w:tcPr>
            <w:tcW w:w="0" w:type="auto"/>
            <w:shd w:val="clear" w:color="auto" w:fill="8DB3E2" w:themeFill="text2" w:themeFillTint="66"/>
          </w:tcPr>
          <w:p w:rsidR="00AE0C79" w:rsidRDefault="00A61E00" w:rsidP="00FA7B84">
            <w:pPr>
              <w:spacing w:line="276" w:lineRule="auto"/>
              <w:rPr>
                <w:b/>
              </w:rPr>
            </w:pPr>
            <w:r>
              <w:rPr>
                <w:b/>
              </w:rPr>
              <w:t>2003</w:t>
            </w:r>
          </w:p>
        </w:tc>
        <w:tc>
          <w:tcPr>
            <w:tcW w:w="0" w:type="auto"/>
            <w:shd w:val="clear" w:color="auto" w:fill="8DB3E2" w:themeFill="text2" w:themeFillTint="66"/>
          </w:tcPr>
          <w:p w:rsidR="00AE0C79" w:rsidRDefault="00A61E00" w:rsidP="00FA7B84">
            <w:pPr>
              <w:spacing w:line="276" w:lineRule="auto"/>
              <w:rPr>
                <w:b/>
              </w:rPr>
            </w:pPr>
            <w:r>
              <w:rPr>
                <w:b/>
              </w:rPr>
              <w:t>2004</w:t>
            </w:r>
          </w:p>
        </w:tc>
        <w:tc>
          <w:tcPr>
            <w:tcW w:w="0" w:type="auto"/>
            <w:shd w:val="clear" w:color="auto" w:fill="8DB3E2" w:themeFill="text2" w:themeFillTint="66"/>
          </w:tcPr>
          <w:p w:rsidR="00AE0C79" w:rsidRDefault="00A61E00" w:rsidP="00FA7B84">
            <w:pPr>
              <w:spacing w:line="276" w:lineRule="auto"/>
              <w:rPr>
                <w:b/>
              </w:rPr>
            </w:pPr>
            <w:r>
              <w:rPr>
                <w:b/>
              </w:rPr>
              <w:t>2005</w:t>
            </w:r>
          </w:p>
        </w:tc>
        <w:tc>
          <w:tcPr>
            <w:tcW w:w="0" w:type="auto"/>
            <w:shd w:val="clear" w:color="auto" w:fill="8DB3E2" w:themeFill="text2" w:themeFillTint="66"/>
          </w:tcPr>
          <w:p w:rsidR="00AE0C79" w:rsidRDefault="00A61E00" w:rsidP="00FA7B84">
            <w:pPr>
              <w:spacing w:line="276" w:lineRule="auto"/>
              <w:rPr>
                <w:b/>
              </w:rPr>
            </w:pPr>
            <w:r>
              <w:rPr>
                <w:b/>
              </w:rPr>
              <w:t>2006</w:t>
            </w:r>
          </w:p>
        </w:tc>
        <w:tc>
          <w:tcPr>
            <w:tcW w:w="0" w:type="auto"/>
            <w:shd w:val="clear" w:color="auto" w:fill="8DB3E2" w:themeFill="text2" w:themeFillTint="66"/>
          </w:tcPr>
          <w:p w:rsidR="00AE0C79" w:rsidRDefault="00A61E00" w:rsidP="00FA7B84">
            <w:pPr>
              <w:spacing w:line="276" w:lineRule="auto"/>
              <w:rPr>
                <w:b/>
              </w:rPr>
            </w:pPr>
            <w:r>
              <w:rPr>
                <w:b/>
              </w:rPr>
              <w:t>2007</w:t>
            </w:r>
          </w:p>
        </w:tc>
        <w:tc>
          <w:tcPr>
            <w:tcW w:w="0" w:type="auto"/>
            <w:shd w:val="clear" w:color="auto" w:fill="8DB3E2" w:themeFill="text2" w:themeFillTint="66"/>
          </w:tcPr>
          <w:p w:rsidR="00AE0C79" w:rsidRDefault="00A61E00" w:rsidP="00FA7B84">
            <w:pPr>
              <w:spacing w:line="276" w:lineRule="auto"/>
              <w:rPr>
                <w:b/>
              </w:rPr>
            </w:pPr>
            <w:r>
              <w:rPr>
                <w:b/>
              </w:rPr>
              <w:t>2008</w:t>
            </w:r>
          </w:p>
        </w:tc>
        <w:tc>
          <w:tcPr>
            <w:tcW w:w="0" w:type="auto"/>
            <w:shd w:val="clear" w:color="auto" w:fill="8DB3E2" w:themeFill="text2" w:themeFillTint="66"/>
          </w:tcPr>
          <w:p w:rsidR="00AE0C79" w:rsidRDefault="00A61E00" w:rsidP="00FA7B84">
            <w:pPr>
              <w:spacing w:line="276" w:lineRule="auto"/>
              <w:rPr>
                <w:b/>
              </w:rPr>
            </w:pPr>
            <w:r>
              <w:rPr>
                <w:b/>
              </w:rPr>
              <w:t>2009</w:t>
            </w:r>
          </w:p>
        </w:tc>
        <w:tc>
          <w:tcPr>
            <w:tcW w:w="0" w:type="auto"/>
            <w:shd w:val="clear" w:color="auto" w:fill="8DB3E2" w:themeFill="text2" w:themeFillTint="66"/>
          </w:tcPr>
          <w:p w:rsidR="00AE0C79" w:rsidRDefault="00A61E00" w:rsidP="00FA7B84">
            <w:pPr>
              <w:spacing w:line="276" w:lineRule="auto"/>
              <w:rPr>
                <w:b/>
              </w:rPr>
            </w:pPr>
            <w:r>
              <w:rPr>
                <w:b/>
              </w:rPr>
              <w:t>2010</w:t>
            </w:r>
          </w:p>
        </w:tc>
      </w:tr>
      <w:tr w:rsidR="00AE0C79">
        <w:tc>
          <w:tcPr>
            <w:tcW w:w="0" w:type="auto"/>
            <w:shd w:val="clear" w:color="auto" w:fill="C6D9F1" w:themeFill="text2" w:themeFillTint="33"/>
          </w:tcPr>
          <w:p w:rsidR="00AE0C79" w:rsidRDefault="00A61E00" w:rsidP="00FA7B84">
            <w:pPr>
              <w:spacing w:line="276" w:lineRule="auto"/>
              <w:rPr>
                <w:b/>
              </w:rPr>
            </w:pPr>
            <w:r>
              <w:rPr>
                <w:b/>
              </w:rPr>
              <w:t>Aktiva</w:t>
            </w:r>
          </w:p>
        </w:tc>
        <w:tc>
          <w:tcPr>
            <w:tcW w:w="0" w:type="auto"/>
            <w:shd w:val="clear" w:color="auto" w:fill="C6D9F1" w:themeFill="text2" w:themeFillTint="33"/>
          </w:tcPr>
          <w:p w:rsidR="00AE0C79" w:rsidRDefault="00A61E00" w:rsidP="00FA7B84">
            <w:pPr>
              <w:spacing w:line="276" w:lineRule="auto"/>
              <w:rPr>
                <w:b/>
              </w:rPr>
            </w:pPr>
            <w:r>
              <w:rPr>
                <w:b/>
              </w:rPr>
              <w:t>100</w:t>
            </w:r>
          </w:p>
        </w:tc>
        <w:tc>
          <w:tcPr>
            <w:tcW w:w="0" w:type="auto"/>
            <w:shd w:val="clear" w:color="auto" w:fill="C6D9F1" w:themeFill="text2" w:themeFillTint="33"/>
          </w:tcPr>
          <w:p w:rsidR="00AE0C79" w:rsidRDefault="00A61E00" w:rsidP="00FA7B84">
            <w:pPr>
              <w:spacing w:line="276" w:lineRule="auto"/>
              <w:rPr>
                <w:b/>
              </w:rPr>
            </w:pPr>
            <w:r>
              <w:rPr>
                <w:b/>
              </w:rPr>
              <w:t>100</w:t>
            </w:r>
          </w:p>
        </w:tc>
        <w:tc>
          <w:tcPr>
            <w:tcW w:w="0" w:type="auto"/>
            <w:shd w:val="clear" w:color="auto" w:fill="C6D9F1" w:themeFill="text2" w:themeFillTint="33"/>
          </w:tcPr>
          <w:p w:rsidR="00AE0C79" w:rsidRDefault="00A61E00" w:rsidP="00FA7B84">
            <w:pPr>
              <w:spacing w:line="276" w:lineRule="auto"/>
              <w:rPr>
                <w:b/>
              </w:rPr>
            </w:pPr>
            <w:r>
              <w:rPr>
                <w:b/>
              </w:rPr>
              <w:t>100</w:t>
            </w:r>
          </w:p>
        </w:tc>
        <w:tc>
          <w:tcPr>
            <w:tcW w:w="0" w:type="auto"/>
            <w:shd w:val="clear" w:color="auto" w:fill="C6D9F1" w:themeFill="text2" w:themeFillTint="33"/>
          </w:tcPr>
          <w:p w:rsidR="00AE0C79" w:rsidRDefault="00A61E00" w:rsidP="00FA7B84">
            <w:pPr>
              <w:spacing w:line="276" w:lineRule="auto"/>
              <w:rPr>
                <w:b/>
              </w:rPr>
            </w:pPr>
            <w:r>
              <w:rPr>
                <w:b/>
              </w:rPr>
              <w:t>100</w:t>
            </w:r>
          </w:p>
        </w:tc>
        <w:tc>
          <w:tcPr>
            <w:tcW w:w="0" w:type="auto"/>
            <w:shd w:val="clear" w:color="auto" w:fill="C6D9F1" w:themeFill="text2" w:themeFillTint="33"/>
          </w:tcPr>
          <w:p w:rsidR="00AE0C79" w:rsidRDefault="00A61E00" w:rsidP="00FA7B84">
            <w:pPr>
              <w:spacing w:line="276" w:lineRule="auto"/>
              <w:rPr>
                <w:b/>
              </w:rPr>
            </w:pPr>
            <w:r>
              <w:rPr>
                <w:b/>
              </w:rPr>
              <w:t>100</w:t>
            </w:r>
          </w:p>
        </w:tc>
        <w:tc>
          <w:tcPr>
            <w:tcW w:w="0" w:type="auto"/>
            <w:shd w:val="clear" w:color="auto" w:fill="C6D9F1" w:themeFill="text2" w:themeFillTint="33"/>
          </w:tcPr>
          <w:p w:rsidR="00AE0C79" w:rsidRDefault="00A61E00" w:rsidP="00FA7B84">
            <w:pPr>
              <w:spacing w:line="276" w:lineRule="auto"/>
              <w:rPr>
                <w:b/>
              </w:rPr>
            </w:pPr>
            <w:r>
              <w:rPr>
                <w:b/>
              </w:rPr>
              <w:t>100</w:t>
            </w:r>
          </w:p>
        </w:tc>
        <w:tc>
          <w:tcPr>
            <w:tcW w:w="0" w:type="auto"/>
            <w:shd w:val="clear" w:color="auto" w:fill="C6D9F1" w:themeFill="text2" w:themeFillTint="33"/>
          </w:tcPr>
          <w:p w:rsidR="00AE0C79" w:rsidRDefault="00A61E00" w:rsidP="00FA7B84">
            <w:pPr>
              <w:spacing w:line="276" w:lineRule="auto"/>
              <w:rPr>
                <w:b/>
              </w:rPr>
            </w:pPr>
            <w:r>
              <w:rPr>
                <w:b/>
              </w:rPr>
              <w:t>100</w:t>
            </w:r>
          </w:p>
        </w:tc>
        <w:tc>
          <w:tcPr>
            <w:tcW w:w="0" w:type="auto"/>
            <w:shd w:val="clear" w:color="auto" w:fill="C6D9F1" w:themeFill="text2" w:themeFillTint="33"/>
          </w:tcPr>
          <w:p w:rsidR="00AE0C79" w:rsidRDefault="00A61E00" w:rsidP="00FA7B84">
            <w:pPr>
              <w:spacing w:line="276" w:lineRule="auto"/>
              <w:rPr>
                <w:b/>
              </w:rPr>
            </w:pPr>
            <w:r>
              <w:rPr>
                <w:b/>
              </w:rPr>
              <w:t>100</w:t>
            </w:r>
          </w:p>
        </w:tc>
      </w:tr>
      <w:tr w:rsidR="00AE0C79">
        <w:tc>
          <w:tcPr>
            <w:tcW w:w="0" w:type="auto"/>
            <w:shd w:val="clear" w:color="auto" w:fill="C6D9F1" w:themeFill="text2" w:themeFillTint="33"/>
          </w:tcPr>
          <w:p w:rsidR="00AE0C79" w:rsidRDefault="00A61E00" w:rsidP="00FA7B84">
            <w:pPr>
              <w:spacing w:line="276" w:lineRule="auto"/>
              <w:rPr>
                <w:b/>
              </w:rPr>
            </w:pPr>
            <w:r>
              <w:rPr>
                <w:b/>
              </w:rPr>
              <w:t>Dlouhodobý majetek</w:t>
            </w:r>
          </w:p>
        </w:tc>
        <w:tc>
          <w:tcPr>
            <w:tcW w:w="0" w:type="auto"/>
            <w:shd w:val="clear" w:color="auto" w:fill="C6D9F1" w:themeFill="text2" w:themeFillTint="33"/>
          </w:tcPr>
          <w:p w:rsidR="00AE0C79" w:rsidRDefault="00A61E00" w:rsidP="00FA7B84">
            <w:pPr>
              <w:spacing w:line="276" w:lineRule="auto"/>
              <w:rPr>
                <w:b/>
              </w:rPr>
            </w:pPr>
            <w:r>
              <w:rPr>
                <w:b/>
              </w:rPr>
              <w:t>22,58</w:t>
            </w:r>
          </w:p>
        </w:tc>
        <w:tc>
          <w:tcPr>
            <w:tcW w:w="0" w:type="auto"/>
            <w:shd w:val="clear" w:color="auto" w:fill="C6D9F1" w:themeFill="text2" w:themeFillTint="33"/>
          </w:tcPr>
          <w:p w:rsidR="00AE0C79" w:rsidRDefault="00A61E00" w:rsidP="00FA7B84">
            <w:pPr>
              <w:spacing w:line="276" w:lineRule="auto"/>
              <w:rPr>
                <w:b/>
              </w:rPr>
            </w:pPr>
            <w:r>
              <w:rPr>
                <w:b/>
              </w:rPr>
              <w:t>19,65</w:t>
            </w:r>
          </w:p>
        </w:tc>
        <w:tc>
          <w:tcPr>
            <w:tcW w:w="0" w:type="auto"/>
            <w:shd w:val="clear" w:color="auto" w:fill="C6D9F1" w:themeFill="text2" w:themeFillTint="33"/>
          </w:tcPr>
          <w:p w:rsidR="00AE0C79" w:rsidRDefault="00A61E00" w:rsidP="00FA7B84">
            <w:pPr>
              <w:spacing w:line="276" w:lineRule="auto"/>
              <w:rPr>
                <w:b/>
              </w:rPr>
            </w:pPr>
            <w:r>
              <w:rPr>
                <w:b/>
              </w:rPr>
              <w:t>23,69</w:t>
            </w:r>
          </w:p>
        </w:tc>
        <w:tc>
          <w:tcPr>
            <w:tcW w:w="0" w:type="auto"/>
            <w:shd w:val="clear" w:color="auto" w:fill="C6D9F1" w:themeFill="text2" w:themeFillTint="33"/>
          </w:tcPr>
          <w:p w:rsidR="00AE0C79" w:rsidRDefault="00A61E00" w:rsidP="00FA7B84">
            <w:pPr>
              <w:spacing w:line="276" w:lineRule="auto"/>
              <w:rPr>
                <w:b/>
              </w:rPr>
            </w:pPr>
            <w:r>
              <w:rPr>
                <w:b/>
              </w:rPr>
              <w:t>6,75</w:t>
            </w:r>
          </w:p>
        </w:tc>
        <w:tc>
          <w:tcPr>
            <w:tcW w:w="0" w:type="auto"/>
            <w:shd w:val="clear" w:color="auto" w:fill="C6D9F1" w:themeFill="text2" w:themeFillTint="33"/>
          </w:tcPr>
          <w:p w:rsidR="00AE0C79" w:rsidRDefault="00A61E00" w:rsidP="00FA7B84">
            <w:pPr>
              <w:spacing w:line="276" w:lineRule="auto"/>
              <w:rPr>
                <w:b/>
              </w:rPr>
            </w:pPr>
            <w:r>
              <w:rPr>
                <w:b/>
              </w:rPr>
              <w:t>12,55</w:t>
            </w:r>
          </w:p>
        </w:tc>
        <w:tc>
          <w:tcPr>
            <w:tcW w:w="0" w:type="auto"/>
            <w:shd w:val="clear" w:color="auto" w:fill="C6D9F1" w:themeFill="text2" w:themeFillTint="33"/>
          </w:tcPr>
          <w:p w:rsidR="00AE0C79" w:rsidRDefault="00A61E00" w:rsidP="00FA7B84">
            <w:pPr>
              <w:spacing w:line="276" w:lineRule="auto"/>
              <w:rPr>
                <w:b/>
              </w:rPr>
            </w:pPr>
            <w:r>
              <w:rPr>
                <w:b/>
              </w:rPr>
              <w:t>9,72</w:t>
            </w:r>
          </w:p>
        </w:tc>
        <w:tc>
          <w:tcPr>
            <w:tcW w:w="0" w:type="auto"/>
            <w:shd w:val="clear" w:color="auto" w:fill="C6D9F1" w:themeFill="text2" w:themeFillTint="33"/>
          </w:tcPr>
          <w:p w:rsidR="00AE0C79" w:rsidRDefault="00A61E00" w:rsidP="00FA7B84">
            <w:pPr>
              <w:spacing w:line="276" w:lineRule="auto"/>
              <w:rPr>
                <w:b/>
              </w:rPr>
            </w:pPr>
            <w:r>
              <w:rPr>
                <w:b/>
              </w:rPr>
              <w:t>9,06</w:t>
            </w:r>
          </w:p>
        </w:tc>
        <w:tc>
          <w:tcPr>
            <w:tcW w:w="0" w:type="auto"/>
            <w:shd w:val="clear" w:color="auto" w:fill="C6D9F1" w:themeFill="text2" w:themeFillTint="33"/>
          </w:tcPr>
          <w:p w:rsidR="00AE0C79" w:rsidRDefault="00A61E00" w:rsidP="00FA7B84">
            <w:pPr>
              <w:spacing w:line="276" w:lineRule="auto"/>
              <w:rPr>
                <w:b/>
              </w:rPr>
            </w:pPr>
            <w:r>
              <w:rPr>
                <w:b/>
              </w:rPr>
              <w:t>13,14</w:t>
            </w:r>
          </w:p>
        </w:tc>
      </w:tr>
      <w:tr w:rsidR="00AE0C79">
        <w:tc>
          <w:tcPr>
            <w:tcW w:w="0" w:type="auto"/>
          </w:tcPr>
          <w:p w:rsidR="00AE0C79" w:rsidRDefault="00A61E00" w:rsidP="00FA7B84">
            <w:pPr>
              <w:spacing w:line="276" w:lineRule="auto"/>
            </w:pPr>
            <w:r>
              <w:t>nehmotný</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0,41</w:t>
            </w:r>
          </w:p>
        </w:tc>
        <w:tc>
          <w:tcPr>
            <w:tcW w:w="0" w:type="auto"/>
          </w:tcPr>
          <w:p w:rsidR="00AE0C79" w:rsidRDefault="00A61E00" w:rsidP="00FA7B84">
            <w:pPr>
              <w:spacing w:line="276" w:lineRule="auto"/>
            </w:pPr>
            <w:r>
              <w:t>0,73</w:t>
            </w:r>
          </w:p>
        </w:tc>
        <w:tc>
          <w:tcPr>
            <w:tcW w:w="0" w:type="auto"/>
          </w:tcPr>
          <w:p w:rsidR="00AE0C79" w:rsidRDefault="00A61E00" w:rsidP="00FA7B84">
            <w:pPr>
              <w:spacing w:line="276" w:lineRule="auto"/>
            </w:pPr>
            <w:r>
              <w:t>0,52</w:t>
            </w:r>
          </w:p>
        </w:tc>
        <w:tc>
          <w:tcPr>
            <w:tcW w:w="0" w:type="auto"/>
          </w:tcPr>
          <w:p w:rsidR="00AE0C79" w:rsidRDefault="00A61E00" w:rsidP="00FA7B84">
            <w:pPr>
              <w:spacing w:line="276" w:lineRule="auto"/>
            </w:pPr>
            <w:r>
              <w:t>0,39</w:t>
            </w:r>
          </w:p>
        </w:tc>
        <w:tc>
          <w:tcPr>
            <w:tcW w:w="0" w:type="auto"/>
          </w:tcPr>
          <w:p w:rsidR="00AE0C79" w:rsidRDefault="00A61E00" w:rsidP="00FA7B84">
            <w:pPr>
              <w:spacing w:line="276" w:lineRule="auto"/>
            </w:pPr>
            <w:r>
              <w:t>0,24</w:t>
            </w:r>
          </w:p>
        </w:tc>
        <w:tc>
          <w:tcPr>
            <w:tcW w:w="0" w:type="auto"/>
          </w:tcPr>
          <w:p w:rsidR="00AE0C79" w:rsidRDefault="00A61E00" w:rsidP="00FA7B84">
            <w:pPr>
              <w:spacing w:line="276" w:lineRule="auto"/>
            </w:pPr>
            <w:r>
              <w:t>0,05</w:t>
            </w:r>
          </w:p>
        </w:tc>
      </w:tr>
      <w:tr w:rsidR="00AE0C79">
        <w:tc>
          <w:tcPr>
            <w:tcW w:w="0" w:type="auto"/>
          </w:tcPr>
          <w:p w:rsidR="00AE0C79" w:rsidRDefault="00A61E00" w:rsidP="00FA7B84">
            <w:pPr>
              <w:spacing w:line="276" w:lineRule="auto"/>
            </w:pPr>
            <w:r>
              <w:t>hmotný</w:t>
            </w:r>
          </w:p>
        </w:tc>
        <w:tc>
          <w:tcPr>
            <w:tcW w:w="0" w:type="auto"/>
          </w:tcPr>
          <w:p w:rsidR="00AE0C79" w:rsidRDefault="00A61E00" w:rsidP="00FA7B84">
            <w:pPr>
              <w:spacing w:line="276" w:lineRule="auto"/>
            </w:pPr>
            <w:r>
              <w:t>22,40</w:t>
            </w:r>
          </w:p>
        </w:tc>
        <w:tc>
          <w:tcPr>
            <w:tcW w:w="0" w:type="auto"/>
          </w:tcPr>
          <w:p w:rsidR="00AE0C79" w:rsidRDefault="00A61E00" w:rsidP="00FA7B84">
            <w:pPr>
              <w:spacing w:line="276" w:lineRule="auto"/>
            </w:pPr>
            <w:r>
              <w:t>19,50</w:t>
            </w:r>
            <w:r>
              <w:tab/>
            </w:r>
          </w:p>
        </w:tc>
        <w:tc>
          <w:tcPr>
            <w:tcW w:w="0" w:type="auto"/>
          </w:tcPr>
          <w:p w:rsidR="00AE0C79" w:rsidRDefault="00A61E00" w:rsidP="00FA7B84">
            <w:pPr>
              <w:spacing w:line="276" w:lineRule="auto"/>
            </w:pPr>
            <w:r>
              <w:t>23,29</w:t>
            </w:r>
          </w:p>
        </w:tc>
        <w:tc>
          <w:tcPr>
            <w:tcW w:w="0" w:type="auto"/>
          </w:tcPr>
          <w:p w:rsidR="00AE0C79" w:rsidRDefault="00A61E00" w:rsidP="00FA7B84">
            <w:pPr>
              <w:spacing w:line="276" w:lineRule="auto"/>
            </w:pPr>
            <w:r>
              <w:t>3,18</w:t>
            </w:r>
          </w:p>
        </w:tc>
        <w:tc>
          <w:tcPr>
            <w:tcW w:w="0" w:type="auto"/>
          </w:tcPr>
          <w:p w:rsidR="00AE0C79" w:rsidRDefault="00A61E00" w:rsidP="00FA7B84">
            <w:pPr>
              <w:spacing w:line="276" w:lineRule="auto"/>
            </w:pPr>
            <w:r>
              <w:t>5,99</w:t>
            </w:r>
          </w:p>
        </w:tc>
        <w:tc>
          <w:tcPr>
            <w:tcW w:w="0" w:type="auto"/>
          </w:tcPr>
          <w:p w:rsidR="00AE0C79" w:rsidRDefault="00A61E00" w:rsidP="00FA7B84">
            <w:pPr>
              <w:spacing w:line="276" w:lineRule="auto"/>
            </w:pPr>
            <w:r>
              <w:t>9,33</w:t>
            </w:r>
          </w:p>
        </w:tc>
        <w:tc>
          <w:tcPr>
            <w:tcW w:w="0" w:type="auto"/>
          </w:tcPr>
          <w:p w:rsidR="00AE0C79" w:rsidRDefault="00A61E00" w:rsidP="00FA7B84">
            <w:pPr>
              <w:spacing w:line="276" w:lineRule="auto"/>
            </w:pPr>
            <w:r>
              <w:t>8,82</w:t>
            </w:r>
          </w:p>
        </w:tc>
        <w:tc>
          <w:tcPr>
            <w:tcW w:w="0" w:type="auto"/>
          </w:tcPr>
          <w:p w:rsidR="00AE0C79" w:rsidRDefault="00A61E00" w:rsidP="00FA7B84">
            <w:pPr>
              <w:spacing w:line="276" w:lineRule="auto"/>
            </w:pPr>
            <w:r>
              <w:t>6,13</w:t>
            </w:r>
          </w:p>
        </w:tc>
      </w:tr>
      <w:tr w:rsidR="00AE0C79">
        <w:tc>
          <w:tcPr>
            <w:tcW w:w="0" w:type="auto"/>
          </w:tcPr>
          <w:p w:rsidR="00AE0C79" w:rsidRDefault="00A61E00" w:rsidP="00FA7B84">
            <w:pPr>
              <w:spacing w:line="276" w:lineRule="auto"/>
            </w:pPr>
            <w:r>
              <w:t>finanční</w:t>
            </w:r>
          </w:p>
        </w:tc>
        <w:tc>
          <w:tcPr>
            <w:tcW w:w="0" w:type="auto"/>
          </w:tcPr>
          <w:p w:rsidR="00AE0C79" w:rsidRDefault="00A61E00" w:rsidP="00FA7B84">
            <w:pPr>
              <w:spacing w:line="276" w:lineRule="auto"/>
            </w:pPr>
            <w:r>
              <w:t>0,16</w:t>
            </w:r>
          </w:p>
        </w:tc>
        <w:tc>
          <w:tcPr>
            <w:tcW w:w="0" w:type="auto"/>
          </w:tcPr>
          <w:p w:rsidR="00AE0C79" w:rsidRDefault="00A61E00" w:rsidP="00FA7B84">
            <w:pPr>
              <w:spacing w:line="276" w:lineRule="auto"/>
            </w:pPr>
            <w:r>
              <w:t>0,15</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2,84</w:t>
            </w:r>
          </w:p>
        </w:tc>
        <w:tc>
          <w:tcPr>
            <w:tcW w:w="0" w:type="auto"/>
          </w:tcPr>
          <w:p w:rsidR="00AE0C79" w:rsidRDefault="00A61E00" w:rsidP="00FA7B84">
            <w:pPr>
              <w:spacing w:line="276" w:lineRule="auto"/>
            </w:pPr>
            <w:r>
              <w:t>6,04</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6,96</w:t>
            </w:r>
          </w:p>
        </w:tc>
      </w:tr>
      <w:tr w:rsidR="00AE0C79">
        <w:tc>
          <w:tcPr>
            <w:tcW w:w="0" w:type="auto"/>
          </w:tcPr>
          <w:p w:rsidR="00AE0C79" w:rsidRDefault="00A61E00" w:rsidP="00FA7B84">
            <w:pPr>
              <w:spacing w:line="276" w:lineRule="auto"/>
            </w:pPr>
            <w:r>
              <w:t>Oběžná aktiva</w:t>
            </w:r>
          </w:p>
        </w:tc>
        <w:tc>
          <w:tcPr>
            <w:tcW w:w="0" w:type="auto"/>
          </w:tcPr>
          <w:p w:rsidR="00AE0C79" w:rsidRDefault="00A61E00" w:rsidP="00FA7B84">
            <w:pPr>
              <w:spacing w:line="276" w:lineRule="auto"/>
            </w:pPr>
            <w:r>
              <w:t>75,99</w:t>
            </w:r>
          </w:p>
        </w:tc>
        <w:tc>
          <w:tcPr>
            <w:tcW w:w="0" w:type="auto"/>
          </w:tcPr>
          <w:p w:rsidR="00AE0C79" w:rsidRDefault="00A61E00" w:rsidP="00FA7B84">
            <w:pPr>
              <w:spacing w:line="276" w:lineRule="auto"/>
            </w:pPr>
            <w:r>
              <w:t>78,82</w:t>
            </w:r>
          </w:p>
        </w:tc>
        <w:tc>
          <w:tcPr>
            <w:tcW w:w="0" w:type="auto"/>
          </w:tcPr>
          <w:p w:rsidR="00AE0C79" w:rsidRDefault="00A61E00" w:rsidP="00FA7B84">
            <w:pPr>
              <w:spacing w:line="276" w:lineRule="auto"/>
            </w:pPr>
            <w:r>
              <w:t>74,16</w:t>
            </w:r>
          </w:p>
        </w:tc>
        <w:tc>
          <w:tcPr>
            <w:tcW w:w="0" w:type="auto"/>
          </w:tcPr>
          <w:p w:rsidR="00AE0C79" w:rsidRDefault="00A61E00" w:rsidP="00FA7B84">
            <w:pPr>
              <w:spacing w:line="276" w:lineRule="auto"/>
            </w:pPr>
            <w:r>
              <w:t>91,46</w:t>
            </w:r>
          </w:p>
        </w:tc>
        <w:tc>
          <w:tcPr>
            <w:tcW w:w="0" w:type="auto"/>
          </w:tcPr>
          <w:p w:rsidR="00AE0C79" w:rsidRDefault="00A61E00" w:rsidP="00FA7B84">
            <w:pPr>
              <w:spacing w:line="276" w:lineRule="auto"/>
            </w:pPr>
            <w:r>
              <w:t>86,16</w:t>
            </w:r>
          </w:p>
        </w:tc>
        <w:tc>
          <w:tcPr>
            <w:tcW w:w="0" w:type="auto"/>
          </w:tcPr>
          <w:p w:rsidR="00AE0C79" w:rsidRDefault="00A61E00" w:rsidP="00FA7B84">
            <w:pPr>
              <w:spacing w:line="276" w:lineRule="auto"/>
            </w:pPr>
            <w:r>
              <w:t>89,70</w:t>
            </w:r>
          </w:p>
        </w:tc>
        <w:tc>
          <w:tcPr>
            <w:tcW w:w="0" w:type="auto"/>
          </w:tcPr>
          <w:p w:rsidR="00AE0C79" w:rsidRDefault="00A61E00" w:rsidP="00FA7B84">
            <w:pPr>
              <w:spacing w:line="276" w:lineRule="auto"/>
            </w:pPr>
            <w:r>
              <w:t>88,65</w:t>
            </w:r>
          </w:p>
        </w:tc>
        <w:tc>
          <w:tcPr>
            <w:tcW w:w="0" w:type="auto"/>
          </w:tcPr>
          <w:p w:rsidR="00AE0C79" w:rsidRDefault="00A61E00" w:rsidP="00FA7B84">
            <w:pPr>
              <w:spacing w:line="276" w:lineRule="auto"/>
            </w:pPr>
            <w:r>
              <w:t>86,70</w:t>
            </w:r>
          </w:p>
        </w:tc>
      </w:tr>
      <w:tr w:rsidR="00AE0C79">
        <w:tc>
          <w:tcPr>
            <w:tcW w:w="0" w:type="auto"/>
            <w:shd w:val="clear" w:color="auto" w:fill="C6D9F1" w:themeFill="text2" w:themeFillTint="33"/>
          </w:tcPr>
          <w:p w:rsidR="00AE0C79" w:rsidRDefault="00A61E00" w:rsidP="00FA7B84">
            <w:pPr>
              <w:spacing w:line="276" w:lineRule="auto"/>
              <w:rPr>
                <w:b/>
              </w:rPr>
            </w:pPr>
            <w:r>
              <w:rPr>
                <w:b/>
              </w:rPr>
              <w:t>Zásoby</w:t>
            </w:r>
          </w:p>
        </w:tc>
        <w:tc>
          <w:tcPr>
            <w:tcW w:w="0" w:type="auto"/>
            <w:shd w:val="clear" w:color="auto" w:fill="C6D9F1" w:themeFill="text2" w:themeFillTint="33"/>
          </w:tcPr>
          <w:p w:rsidR="00AE0C79" w:rsidRDefault="00A61E00" w:rsidP="00FA7B84">
            <w:pPr>
              <w:spacing w:line="276" w:lineRule="auto"/>
              <w:rPr>
                <w:b/>
              </w:rPr>
            </w:pPr>
            <w:r>
              <w:rPr>
                <w:b/>
              </w:rPr>
              <w:t xml:space="preserve">43,51 </w:t>
            </w:r>
          </w:p>
        </w:tc>
        <w:tc>
          <w:tcPr>
            <w:tcW w:w="0" w:type="auto"/>
            <w:shd w:val="clear" w:color="auto" w:fill="C6D9F1" w:themeFill="text2" w:themeFillTint="33"/>
          </w:tcPr>
          <w:p w:rsidR="00AE0C79" w:rsidRDefault="00A61E00" w:rsidP="00FA7B84">
            <w:pPr>
              <w:spacing w:line="276" w:lineRule="auto"/>
              <w:rPr>
                <w:b/>
              </w:rPr>
            </w:pPr>
            <w:r>
              <w:rPr>
                <w:b/>
              </w:rPr>
              <w:t xml:space="preserve">45,40 </w:t>
            </w:r>
          </w:p>
        </w:tc>
        <w:tc>
          <w:tcPr>
            <w:tcW w:w="0" w:type="auto"/>
            <w:shd w:val="clear" w:color="auto" w:fill="C6D9F1" w:themeFill="text2" w:themeFillTint="33"/>
          </w:tcPr>
          <w:p w:rsidR="00AE0C79" w:rsidRDefault="00A61E00" w:rsidP="00FA7B84">
            <w:pPr>
              <w:spacing w:line="276" w:lineRule="auto"/>
              <w:rPr>
                <w:b/>
              </w:rPr>
            </w:pPr>
            <w:r>
              <w:rPr>
                <w:b/>
              </w:rPr>
              <w:t xml:space="preserve">48,23 </w:t>
            </w:r>
          </w:p>
        </w:tc>
        <w:tc>
          <w:tcPr>
            <w:tcW w:w="0" w:type="auto"/>
            <w:shd w:val="clear" w:color="auto" w:fill="C6D9F1" w:themeFill="text2" w:themeFillTint="33"/>
          </w:tcPr>
          <w:p w:rsidR="00AE0C79" w:rsidRDefault="00A61E00" w:rsidP="00FA7B84">
            <w:pPr>
              <w:spacing w:line="276" w:lineRule="auto"/>
              <w:rPr>
                <w:b/>
              </w:rPr>
            </w:pPr>
            <w:r>
              <w:rPr>
                <w:b/>
              </w:rPr>
              <w:t xml:space="preserve">53,81 </w:t>
            </w:r>
          </w:p>
        </w:tc>
        <w:tc>
          <w:tcPr>
            <w:tcW w:w="0" w:type="auto"/>
            <w:shd w:val="clear" w:color="auto" w:fill="C6D9F1" w:themeFill="text2" w:themeFillTint="33"/>
          </w:tcPr>
          <w:p w:rsidR="00AE0C79" w:rsidRDefault="00A61E00" w:rsidP="00FA7B84">
            <w:pPr>
              <w:spacing w:line="276" w:lineRule="auto"/>
              <w:rPr>
                <w:b/>
              </w:rPr>
            </w:pPr>
            <w:r>
              <w:rPr>
                <w:b/>
              </w:rPr>
              <w:t xml:space="preserve">41,50 </w:t>
            </w:r>
          </w:p>
        </w:tc>
        <w:tc>
          <w:tcPr>
            <w:tcW w:w="0" w:type="auto"/>
            <w:shd w:val="clear" w:color="auto" w:fill="C6D9F1" w:themeFill="text2" w:themeFillTint="33"/>
          </w:tcPr>
          <w:p w:rsidR="00AE0C79" w:rsidRDefault="00A61E00" w:rsidP="00FA7B84">
            <w:pPr>
              <w:spacing w:line="276" w:lineRule="auto"/>
              <w:rPr>
                <w:b/>
              </w:rPr>
            </w:pPr>
            <w:r>
              <w:rPr>
                <w:b/>
              </w:rPr>
              <w:t xml:space="preserve">40,94 </w:t>
            </w:r>
          </w:p>
        </w:tc>
        <w:tc>
          <w:tcPr>
            <w:tcW w:w="0" w:type="auto"/>
            <w:shd w:val="clear" w:color="auto" w:fill="C6D9F1" w:themeFill="text2" w:themeFillTint="33"/>
          </w:tcPr>
          <w:p w:rsidR="00AE0C79" w:rsidRDefault="00A61E00" w:rsidP="00FA7B84">
            <w:pPr>
              <w:spacing w:line="276" w:lineRule="auto"/>
              <w:rPr>
                <w:b/>
              </w:rPr>
            </w:pPr>
            <w:r>
              <w:rPr>
                <w:b/>
              </w:rPr>
              <w:t xml:space="preserve">46,56 </w:t>
            </w:r>
          </w:p>
        </w:tc>
        <w:tc>
          <w:tcPr>
            <w:tcW w:w="0" w:type="auto"/>
            <w:shd w:val="clear" w:color="auto" w:fill="C6D9F1" w:themeFill="text2" w:themeFillTint="33"/>
          </w:tcPr>
          <w:p w:rsidR="00AE0C79" w:rsidRDefault="00A61E00" w:rsidP="00FA7B84">
            <w:pPr>
              <w:spacing w:line="276" w:lineRule="auto"/>
              <w:rPr>
                <w:b/>
              </w:rPr>
            </w:pPr>
            <w:r>
              <w:rPr>
                <w:b/>
              </w:rPr>
              <w:t xml:space="preserve">45,14 </w:t>
            </w:r>
          </w:p>
        </w:tc>
      </w:tr>
      <w:tr w:rsidR="00AE0C79">
        <w:tc>
          <w:tcPr>
            <w:tcW w:w="0" w:type="auto"/>
          </w:tcPr>
          <w:p w:rsidR="00AE0C79" w:rsidRDefault="00A61E00" w:rsidP="00FA7B84">
            <w:pPr>
              <w:spacing w:line="276" w:lineRule="auto"/>
            </w:pPr>
            <w:r>
              <w:t>Dlouhodobé pohledávky</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4,47</w:t>
            </w:r>
          </w:p>
        </w:tc>
        <w:tc>
          <w:tcPr>
            <w:tcW w:w="0" w:type="auto"/>
          </w:tcPr>
          <w:p w:rsidR="00AE0C79" w:rsidRDefault="00A61E00" w:rsidP="00FA7B84">
            <w:pPr>
              <w:spacing w:line="276" w:lineRule="auto"/>
            </w:pPr>
            <w:r>
              <w:t>0,00</w:t>
            </w:r>
          </w:p>
        </w:tc>
        <w:tc>
          <w:tcPr>
            <w:tcW w:w="0" w:type="auto"/>
          </w:tcPr>
          <w:p w:rsidR="00AE0C79" w:rsidRDefault="00A61E00" w:rsidP="00FA7B84">
            <w:pPr>
              <w:spacing w:line="276" w:lineRule="auto"/>
            </w:pPr>
            <w:r>
              <w:t>0,84</w:t>
            </w:r>
          </w:p>
        </w:tc>
        <w:tc>
          <w:tcPr>
            <w:tcW w:w="0" w:type="auto"/>
          </w:tcPr>
          <w:p w:rsidR="00AE0C79" w:rsidRDefault="00A61E00" w:rsidP="00FA7B84">
            <w:pPr>
              <w:spacing w:line="276" w:lineRule="auto"/>
            </w:pPr>
            <w:r>
              <w:t>0,17</w:t>
            </w:r>
          </w:p>
        </w:tc>
        <w:tc>
          <w:tcPr>
            <w:tcW w:w="0" w:type="auto"/>
          </w:tcPr>
          <w:p w:rsidR="00AE0C79" w:rsidRDefault="00A61E00" w:rsidP="00FA7B84">
            <w:pPr>
              <w:spacing w:line="276" w:lineRule="auto"/>
            </w:pPr>
            <w:r>
              <w:t>0,41</w:t>
            </w:r>
          </w:p>
        </w:tc>
        <w:tc>
          <w:tcPr>
            <w:tcW w:w="0" w:type="auto"/>
          </w:tcPr>
          <w:p w:rsidR="00AE0C79" w:rsidRDefault="00A61E00" w:rsidP="00FA7B84">
            <w:pPr>
              <w:spacing w:line="276" w:lineRule="auto"/>
            </w:pPr>
            <w:r>
              <w:t>0,04</w:t>
            </w:r>
          </w:p>
        </w:tc>
      </w:tr>
      <w:tr w:rsidR="00AE0C79">
        <w:tc>
          <w:tcPr>
            <w:tcW w:w="0" w:type="auto"/>
          </w:tcPr>
          <w:p w:rsidR="00AE0C79" w:rsidRDefault="00A61E00" w:rsidP="00FA7B84">
            <w:pPr>
              <w:spacing w:line="276" w:lineRule="auto"/>
            </w:pPr>
            <w:r>
              <w:t>Krátkodobé pohledávky</w:t>
            </w:r>
          </w:p>
        </w:tc>
        <w:tc>
          <w:tcPr>
            <w:tcW w:w="0" w:type="auto"/>
          </w:tcPr>
          <w:p w:rsidR="00AE0C79" w:rsidRDefault="00A61E00" w:rsidP="00FA7B84">
            <w:pPr>
              <w:spacing w:line="276" w:lineRule="auto"/>
            </w:pPr>
            <w:r>
              <w:t>31,57</w:t>
            </w:r>
          </w:p>
        </w:tc>
        <w:tc>
          <w:tcPr>
            <w:tcW w:w="0" w:type="auto"/>
          </w:tcPr>
          <w:p w:rsidR="00AE0C79" w:rsidRDefault="00A61E00" w:rsidP="00FA7B84">
            <w:pPr>
              <w:spacing w:line="276" w:lineRule="auto"/>
            </w:pPr>
            <w:r>
              <w:t>32,46</w:t>
            </w:r>
          </w:p>
        </w:tc>
        <w:tc>
          <w:tcPr>
            <w:tcW w:w="0" w:type="auto"/>
          </w:tcPr>
          <w:p w:rsidR="00AE0C79" w:rsidRDefault="00A61E00" w:rsidP="00FA7B84">
            <w:pPr>
              <w:spacing w:line="276" w:lineRule="auto"/>
            </w:pPr>
            <w:r>
              <w:t>16,28</w:t>
            </w:r>
          </w:p>
        </w:tc>
        <w:tc>
          <w:tcPr>
            <w:tcW w:w="0" w:type="auto"/>
          </w:tcPr>
          <w:p w:rsidR="00AE0C79" w:rsidRDefault="00A61E00" w:rsidP="00FA7B84">
            <w:pPr>
              <w:spacing w:line="276" w:lineRule="auto"/>
            </w:pPr>
            <w:r>
              <w:t>25,72</w:t>
            </w:r>
          </w:p>
        </w:tc>
        <w:tc>
          <w:tcPr>
            <w:tcW w:w="0" w:type="auto"/>
          </w:tcPr>
          <w:p w:rsidR="00AE0C79" w:rsidRDefault="00A61E00" w:rsidP="00FA7B84">
            <w:pPr>
              <w:spacing w:line="276" w:lineRule="auto"/>
            </w:pPr>
            <w:r>
              <w:t>27,28</w:t>
            </w:r>
          </w:p>
        </w:tc>
        <w:tc>
          <w:tcPr>
            <w:tcW w:w="0" w:type="auto"/>
          </w:tcPr>
          <w:p w:rsidR="00AE0C79" w:rsidRDefault="00A61E00" w:rsidP="00FA7B84">
            <w:pPr>
              <w:spacing w:line="276" w:lineRule="auto"/>
            </w:pPr>
            <w:r>
              <w:t>19,71</w:t>
            </w:r>
          </w:p>
        </w:tc>
        <w:tc>
          <w:tcPr>
            <w:tcW w:w="0" w:type="auto"/>
          </w:tcPr>
          <w:p w:rsidR="00AE0C79" w:rsidRDefault="00A61E00" w:rsidP="00FA7B84">
            <w:pPr>
              <w:spacing w:line="276" w:lineRule="auto"/>
            </w:pPr>
            <w:r>
              <w:t>19,20</w:t>
            </w:r>
          </w:p>
        </w:tc>
        <w:tc>
          <w:tcPr>
            <w:tcW w:w="0" w:type="auto"/>
          </w:tcPr>
          <w:p w:rsidR="00AE0C79" w:rsidRDefault="00A61E00" w:rsidP="00FA7B84">
            <w:pPr>
              <w:spacing w:line="276" w:lineRule="auto"/>
            </w:pPr>
            <w:r>
              <w:t>21,91</w:t>
            </w:r>
          </w:p>
        </w:tc>
      </w:tr>
      <w:tr w:rsidR="00AE0C79">
        <w:tc>
          <w:tcPr>
            <w:tcW w:w="0" w:type="auto"/>
          </w:tcPr>
          <w:p w:rsidR="00AE0C79" w:rsidRDefault="00A61E00" w:rsidP="00FA7B84">
            <w:pPr>
              <w:spacing w:line="276" w:lineRule="auto"/>
            </w:pPr>
            <w:r>
              <w:t>Krátkodobý finanční majetek</w:t>
            </w:r>
          </w:p>
        </w:tc>
        <w:tc>
          <w:tcPr>
            <w:tcW w:w="0" w:type="auto"/>
          </w:tcPr>
          <w:p w:rsidR="00AE0C79" w:rsidRDefault="00A61E00" w:rsidP="00FA7B84">
            <w:pPr>
              <w:spacing w:line="276" w:lineRule="auto"/>
            </w:pPr>
            <w:r>
              <w:t>0,91</w:t>
            </w:r>
          </w:p>
        </w:tc>
        <w:tc>
          <w:tcPr>
            <w:tcW w:w="0" w:type="auto"/>
          </w:tcPr>
          <w:p w:rsidR="00AE0C79" w:rsidRDefault="00A61E00" w:rsidP="00FA7B84">
            <w:pPr>
              <w:spacing w:line="276" w:lineRule="auto"/>
            </w:pPr>
            <w:r>
              <w:t>0,96</w:t>
            </w:r>
          </w:p>
        </w:tc>
        <w:tc>
          <w:tcPr>
            <w:tcW w:w="0" w:type="auto"/>
          </w:tcPr>
          <w:p w:rsidR="00AE0C79" w:rsidRDefault="00A61E00" w:rsidP="00FA7B84">
            <w:pPr>
              <w:spacing w:line="276" w:lineRule="auto"/>
            </w:pPr>
            <w:r>
              <w:t>5,17</w:t>
            </w:r>
          </w:p>
        </w:tc>
        <w:tc>
          <w:tcPr>
            <w:tcW w:w="0" w:type="auto"/>
          </w:tcPr>
          <w:p w:rsidR="00AE0C79" w:rsidRDefault="00A61E00" w:rsidP="00FA7B84">
            <w:pPr>
              <w:spacing w:line="276" w:lineRule="auto"/>
            </w:pPr>
            <w:r>
              <w:t>11,93</w:t>
            </w:r>
          </w:p>
        </w:tc>
        <w:tc>
          <w:tcPr>
            <w:tcW w:w="0" w:type="auto"/>
          </w:tcPr>
          <w:p w:rsidR="00AE0C79" w:rsidRDefault="00A61E00" w:rsidP="00FA7B84">
            <w:pPr>
              <w:spacing w:line="276" w:lineRule="auto"/>
            </w:pPr>
            <w:r>
              <w:t>16,54</w:t>
            </w:r>
          </w:p>
        </w:tc>
        <w:tc>
          <w:tcPr>
            <w:tcW w:w="0" w:type="auto"/>
          </w:tcPr>
          <w:p w:rsidR="00AE0C79" w:rsidRDefault="00A61E00" w:rsidP="00FA7B84">
            <w:pPr>
              <w:spacing w:line="276" w:lineRule="auto"/>
            </w:pPr>
            <w:r>
              <w:t>28,88</w:t>
            </w:r>
          </w:p>
        </w:tc>
        <w:tc>
          <w:tcPr>
            <w:tcW w:w="0" w:type="auto"/>
          </w:tcPr>
          <w:p w:rsidR="00AE0C79" w:rsidRDefault="00A61E00" w:rsidP="00FA7B84">
            <w:pPr>
              <w:spacing w:line="276" w:lineRule="auto"/>
            </w:pPr>
            <w:r>
              <w:t>22,49</w:t>
            </w:r>
          </w:p>
        </w:tc>
        <w:tc>
          <w:tcPr>
            <w:tcW w:w="0" w:type="auto"/>
          </w:tcPr>
          <w:p w:rsidR="00AE0C79" w:rsidRDefault="00A61E00" w:rsidP="00FA7B84">
            <w:pPr>
              <w:spacing w:line="276" w:lineRule="auto"/>
            </w:pPr>
            <w:r>
              <w:t>19,61</w:t>
            </w:r>
          </w:p>
        </w:tc>
      </w:tr>
      <w:tr w:rsidR="00AE0C79">
        <w:tc>
          <w:tcPr>
            <w:tcW w:w="0" w:type="auto"/>
            <w:shd w:val="clear" w:color="auto" w:fill="C6D9F1" w:themeFill="text2" w:themeFillTint="33"/>
          </w:tcPr>
          <w:p w:rsidR="00AE0C79" w:rsidRDefault="00A61E00" w:rsidP="00FA7B84">
            <w:pPr>
              <w:spacing w:line="276" w:lineRule="auto"/>
              <w:rPr>
                <w:b/>
              </w:rPr>
            </w:pPr>
            <w:r>
              <w:rPr>
                <w:b/>
              </w:rPr>
              <w:t>Časové rozlišení pasiv</w:t>
            </w:r>
          </w:p>
        </w:tc>
        <w:tc>
          <w:tcPr>
            <w:tcW w:w="0" w:type="auto"/>
            <w:shd w:val="clear" w:color="auto" w:fill="C6D9F1" w:themeFill="text2" w:themeFillTint="33"/>
          </w:tcPr>
          <w:p w:rsidR="00AE0C79" w:rsidRDefault="00A61E00" w:rsidP="00FA7B84">
            <w:pPr>
              <w:spacing w:line="276" w:lineRule="auto"/>
              <w:rPr>
                <w:b/>
              </w:rPr>
            </w:pPr>
            <w:r>
              <w:rPr>
                <w:b/>
              </w:rPr>
              <w:t>1,42</w:t>
            </w:r>
          </w:p>
        </w:tc>
        <w:tc>
          <w:tcPr>
            <w:tcW w:w="0" w:type="auto"/>
            <w:shd w:val="clear" w:color="auto" w:fill="C6D9F1" w:themeFill="text2" w:themeFillTint="33"/>
          </w:tcPr>
          <w:p w:rsidR="00AE0C79" w:rsidRDefault="00A61E00" w:rsidP="00FA7B84">
            <w:pPr>
              <w:spacing w:line="276" w:lineRule="auto"/>
              <w:rPr>
                <w:b/>
              </w:rPr>
            </w:pPr>
            <w:r>
              <w:rPr>
                <w:b/>
              </w:rPr>
              <w:t>1,53</w:t>
            </w:r>
          </w:p>
        </w:tc>
        <w:tc>
          <w:tcPr>
            <w:tcW w:w="0" w:type="auto"/>
            <w:shd w:val="clear" w:color="auto" w:fill="C6D9F1" w:themeFill="text2" w:themeFillTint="33"/>
          </w:tcPr>
          <w:p w:rsidR="00AE0C79" w:rsidRDefault="00A61E00" w:rsidP="00FA7B84">
            <w:pPr>
              <w:spacing w:line="276" w:lineRule="auto"/>
              <w:rPr>
                <w:b/>
              </w:rPr>
            </w:pPr>
            <w:r>
              <w:rPr>
                <w:b/>
              </w:rPr>
              <w:t>2,15</w:t>
            </w:r>
          </w:p>
        </w:tc>
        <w:tc>
          <w:tcPr>
            <w:tcW w:w="0" w:type="auto"/>
            <w:shd w:val="clear" w:color="auto" w:fill="C6D9F1" w:themeFill="text2" w:themeFillTint="33"/>
          </w:tcPr>
          <w:p w:rsidR="00AE0C79" w:rsidRDefault="00A61E00" w:rsidP="00FA7B84">
            <w:pPr>
              <w:spacing w:line="276" w:lineRule="auto"/>
              <w:rPr>
                <w:b/>
              </w:rPr>
            </w:pPr>
            <w:r>
              <w:rPr>
                <w:b/>
              </w:rPr>
              <w:t>1,79</w:t>
            </w:r>
          </w:p>
        </w:tc>
        <w:tc>
          <w:tcPr>
            <w:tcW w:w="0" w:type="auto"/>
            <w:shd w:val="clear" w:color="auto" w:fill="C6D9F1" w:themeFill="text2" w:themeFillTint="33"/>
          </w:tcPr>
          <w:p w:rsidR="00AE0C79" w:rsidRDefault="00A61E00" w:rsidP="00FA7B84">
            <w:pPr>
              <w:spacing w:line="276" w:lineRule="auto"/>
              <w:rPr>
                <w:b/>
              </w:rPr>
            </w:pPr>
            <w:r>
              <w:rPr>
                <w:b/>
              </w:rPr>
              <w:t>1,29</w:t>
            </w:r>
          </w:p>
        </w:tc>
        <w:tc>
          <w:tcPr>
            <w:tcW w:w="0" w:type="auto"/>
            <w:shd w:val="clear" w:color="auto" w:fill="C6D9F1" w:themeFill="text2" w:themeFillTint="33"/>
          </w:tcPr>
          <w:p w:rsidR="00AE0C79" w:rsidRDefault="00A61E00" w:rsidP="00FA7B84">
            <w:pPr>
              <w:spacing w:line="276" w:lineRule="auto"/>
              <w:rPr>
                <w:b/>
              </w:rPr>
            </w:pPr>
            <w:r>
              <w:rPr>
                <w:b/>
              </w:rPr>
              <w:t>0,58</w:t>
            </w:r>
          </w:p>
        </w:tc>
        <w:tc>
          <w:tcPr>
            <w:tcW w:w="0" w:type="auto"/>
            <w:shd w:val="clear" w:color="auto" w:fill="C6D9F1" w:themeFill="text2" w:themeFillTint="33"/>
          </w:tcPr>
          <w:p w:rsidR="00AE0C79" w:rsidRDefault="00A61E00" w:rsidP="00FA7B84">
            <w:pPr>
              <w:spacing w:line="276" w:lineRule="auto"/>
              <w:rPr>
                <w:b/>
              </w:rPr>
            </w:pPr>
            <w:r>
              <w:rPr>
                <w:b/>
              </w:rPr>
              <w:t>2,29</w:t>
            </w:r>
          </w:p>
        </w:tc>
        <w:tc>
          <w:tcPr>
            <w:tcW w:w="0" w:type="auto"/>
            <w:shd w:val="clear" w:color="auto" w:fill="C6D9F1" w:themeFill="text2" w:themeFillTint="33"/>
          </w:tcPr>
          <w:p w:rsidR="00AE0C79" w:rsidRDefault="00A61E00" w:rsidP="00FA7B84">
            <w:pPr>
              <w:spacing w:line="276" w:lineRule="auto"/>
              <w:rPr>
                <w:b/>
              </w:rPr>
            </w:pPr>
            <w:r>
              <w:rPr>
                <w:b/>
              </w:rPr>
              <w:t>0,17</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 xml:space="preserve">V roce 2006 je tento vzestup spojen se vzrůstem hodnoty jednotlivých položek oběžných aktiv a také s poklesem hodnoty dlouhodobého hmotného majetku, čímž také klesl jeho podíl na celkových aktivech a naopak podíl oběžného majetku výrazně vzrostl. Obecně můžeme říci, že podnik váže jen malou část svého majetku v dlouhodobých aktivech, což může mít </w:t>
      </w:r>
      <w:r>
        <w:lastRenderedPageBreak/>
        <w:t>pozitivní vliv na jeho likviditu. Na druhou stranu položkou s největším podílem na celkové sumě aktiv jsou zásoby. To by také napovídalo o dobré likviditě podniku, ale musíme vzít v potaz také další vlivy, o kterých se zmíním v pozdější analýze ukazatelů likvidity. Zajímavostí je zjištění, že v roce 2007, kdy došlo podle horizontální analýzy k největšímu nárustu hodnoty oběžných aktiv, vykazují podle vertikální analýzy oběžná aktiva 5% pokles podílu na celkovém majetku. Opět je to způsobeno změnou hodnoty dlouhodobého majetku a i tak velký vzrůst v hodnotě oběžných aktiv se při vertikální analýze projeví jako pokles podílu.</w:t>
      </w:r>
    </w:p>
    <w:p w:rsidR="00AE0C79" w:rsidRDefault="00A61E00" w:rsidP="00FA7B84">
      <w:pPr>
        <w:pStyle w:val="Titulek"/>
        <w:keepNext/>
        <w:spacing w:line="276" w:lineRule="auto"/>
      </w:pPr>
      <w:bookmarkStart w:id="41" w:name="_Toc324932945"/>
      <w:r>
        <w:t xml:space="preserve">Graf </w:t>
      </w:r>
      <w:fldSimple w:instr=" SEQ Graf \* ARABIC ">
        <w:r w:rsidR="00F5284D">
          <w:rPr>
            <w:noProof/>
          </w:rPr>
          <w:t>3</w:t>
        </w:r>
      </w:fldSimple>
      <w:r>
        <w:t>: Struktura aktiv společnosti Dentamed s.r.o.</w:t>
      </w:r>
      <w:bookmarkEnd w:id="41"/>
    </w:p>
    <w:p w:rsidR="00AE0C79" w:rsidRDefault="00A61E00" w:rsidP="00FA7B84">
      <w:pPr>
        <w:spacing w:line="276" w:lineRule="auto"/>
      </w:pPr>
      <w:r>
        <w:rPr>
          <w:noProof/>
          <w:lang w:eastAsia="cs-CZ"/>
        </w:rPr>
        <w:drawing>
          <wp:inline distT="0" distB="0" distL="0" distR="0">
            <wp:extent cx="5436235" cy="2844000"/>
            <wp:effectExtent l="19050" t="0" r="12065"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 xml:space="preserve">Podíl dlouhodobého majetku na celkové sumě aktiv se za sledované období pohyboval v rozmezí přibližně 6 – 24%. Až do roku 2005 se jeho podíl pohyboval kolem 20%, ale v roce 2006 došlo kvůli prodeji dlouhodobého hmotného majetku k propadu až na 6,75%. Od té doby se dostal nad 10% podíl pouze v letech 2007 a 2010, v obou případech díky vzrůstu hodnoty dlouhodobého finančního majetku. </w:t>
      </w:r>
    </w:p>
    <w:p w:rsidR="00AE0C79" w:rsidRDefault="00A61E00" w:rsidP="00FA7B84">
      <w:pPr>
        <w:spacing w:line="276" w:lineRule="auto"/>
      </w:pPr>
      <w:r>
        <w:t xml:space="preserve">Mění se také struktura dlouhodobého majetku. Do roku 2005 byl dlouhodobý majetek tvořen téměř výhradně dlouhodobým hmotným majetkem, ale díky již zmiňovanému prodeji majetku a také nárustu hodnoty dlouhodobého finančního majetku jeho podíl významně klesl. V letech 2006, 2007 a 2010 tak tvoří dlouhodobý finanční majetek přibližně polovinu celkového dlouhodobého majetku.  </w:t>
      </w:r>
    </w:p>
    <w:p w:rsidR="00AE0C79" w:rsidRDefault="00A61E00" w:rsidP="00FA7B84">
      <w:pPr>
        <w:pStyle w:val="Titulek"/>
        <w:keepNext/>
        <w:spacing w:line="276" w:lineRule="auto"/>
      </w:pPr>
      <w:bookmarkStart w:id="42" w:name="_Toc324932946"/>
      <w:r>
        <w:lastRenderedPageBreak/>
        <w:t xml:space="preserve">Graf </w:t>
      </w:r>
      <w:fldSimple w:instr=" SEQ Graf \* ARABIC ">
        <w:r w:rsidR="00F5284D">
          <w:rPr>
            <w:noProof/>
          </w:rPr>
          <w:t>4</w:t>
        </w:r>
      </w:fldSimple>
      <w:r>
        <w:t>: Struktura dlouhodobého majetku společnosti Dentamed s.r.o.</w:t>
      </w:r>
      <w:bookmarkEnd w:id="42"/>
    </w:p>
    <w:p w:rsidR="00AE0C79" w:rsidRDefault="00A61E00" w:rsidP="00FA7B84">
      <w:pPr>
        <w:spacing w:line="276" w:lineRule="auto"/>
      </w:pPr>
      <w:r>
        <w:rPr>
          <w:noProof/>
          <w:lang w:eastAsia="cs-CZ"/>
        </w:rPr>
        <w:drawing>
          <wp:inline distT="0" distB="0" distL="0" distR="0">
            <wp:extent cx="5411470" cy="2808000"/>
            <wp:effectExtent l="19050" t="0" r="1778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F5284D" w:rsidRDefault="00A61E00" w:rsidP="00FA7B84">
      <w:pPr>
        <w:spacing w:line="276" w:lineRule="auto"/>
      </w:pPr>
      <w:r>
        <w:t xml:space="preserve">Největší podíl na oběžných aktivech, a také na celkové sumě aktiv společnosti, zaujímají zásoby. Jejich podíl na celkové hodnotě aktiv neklesl za sledované období pod 40% a vykazují poměrně stabilní hladinu podílu na celkové sumě.  Naopak dlouhodobé pohledávky nemá podnik téměř žádné. U krátkodobých pohledávek můžeme pozorovat mírný pokles podílu a naopak u krátkodobého finančního majetku výrazný nárust. Obecně lze říci, že firma váže největší podíl majetku v krátkodobých položkách, což může mít kladný vliv na její likviditu, ale tato krátkodobost položek může mít také vliv na celkovou strukturu oběžných aktiv, která je tak ovlivněna okamžitým stavem zboží na skladu, pohledávek a peněz na bankovním účtu a pokladně k rozvahovému dni. </w:t>
      </w:r>
    </w:p>
    <w:p w:rsidR="00AE0C79" w:rsidRDefault="00A61E00" w:rsidP="00FA7B84">
      <w:pPr>
        <w:pStyle w:val="Titulek"/>
        <w:keepNext/>
        <w:spacing w:line="276" w:lineRule="auto"/>
      </w:pPr>
      <w:bookmarkStart w:id="43" w:name="_Toc324932947"/>
      <w:r>
        <w:t xml:space="preserve">Graf </w:t>
      </w:r>
      <w:fldSimple w:instr=" SEQ Graf \* ARABIC ">
        <w:r w:rsidR="00F5284D">
          <w:rPr>
            <w:noProof/>
          </w:rPr>
          <w:t>5</w:t>
        </w:r>
      </w:fldSimple>
      <w:r>
        <w:t>: Struktura oběžných aktiv společnosti Dentamed s.r.o.</w:t>
      </w:r>
      <w:bookmarkEnd w:id="43"/>
    </w:p>
    <w:p w:rsidR="00AE0C79" w:rsidRDefault="00A61E00" w:rsidP="00FA7B84">
      <w:pPr>
        <w:spacing w:line="276" w:lineRule="auto"/>
      </w:pPr>
      <w:r>
        <w:rPr>
          <w:noProof/>
          <w:lang w:eastAsia="cs-CZ"/>
        </w:rPr>
        <w:drawing>
          <wp:inline distT="0" distB="0" distL="0" distR="0">
            <wp:extent cx="5434965" cy="2808000"/>
            <wp:effectExtent l="19050" t="0" r="13335" b="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Nadpis3"/>
        <w:spacing w:line="276" w:lineRule="auto"/>
      </w:pPr>
      <w:bookmarkStart w:id="44" w:name="_Toc324932903"/>
      <w:r>
        <w:lastRenderedPageBreak/>
        <w:t>Vertikální analýza pasiv</w:t>
      </w:r>
      <w:bookmarkEnd w:id="44"/>
    </w:p>
    <w:p w:rsidR="00AE0C79" w:rsidRDefault="00A61E00" w:rsidP="00FA7B84">
      <w:pPr>
        <w:pStyle w:val="Titulek"/>
        <w:keepNext/>
        <w:spacing w:line="276" w:lineRule="auto"/>
      </w:pPr>
      <w:bookmarkStart w:id="45" w:name="_Toc324932928"/>
      <w:r>
        <w:t xml:space="preserve">Tabulka </w:t>
      </w:r>
      <w:fldSimple w:instr=" SEQ Tabulka \* ARABIC ">
        <w:r w:rsidR="00F5284D">
          <w:rPr>
            <w:noProof/>
          </w:rPr>
          <w:t>6</w:t>
        </w:r>
      </w:fldSimple>
      <w:r>
        <w:t>: Vertikální analýza pasiv společnosti Dentamed s.r.o.</w:t>
      </w:r>
      <w:bookmarkEnd w:id="45"/>
    </w:p>
    <w:tbl>
      <w:tblPr>
        <w:tblStyle w:val="Mkatabulky"/>
        <w:tblW w:w="0" w:type="auto"/>
        <w:tblLook w:val="04A0"/>
      </w:tblPr>
      <w:tblGrid>
        <w:gridCol w:w="2715"/>
        <w:gridCol w:w="766"/>
        <w:gridCol w:w="766"/>
        <w:gridCol w:w="785"/>
        <w:gridCol w:w="766"/>
        <w:gridCol w:w="766"/>
        <w:gridCol w:w="766"/>
        <w:gridCol w:w="766"/>
        <w:gridCol w:w="766"/>
      </w:tblGrid>
      <w:tr w:rsidR="00AE0C79">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V %</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2003</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2004</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2005</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2006</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2007</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2008</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2009</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auto"/>
          </w:tcPr>
          <w:p w:rsidR="00AE0C79" w:rsidRDefault="00A61E00" w:rsidP="00FA7B84">
            <w:pPr>
              <w:spacing w:line="276" w:lineRule="auto"/>
              <w:rPr>
                <w:rFonts w:cs="Times New Roman"/>
                <w:b/>
              </w:rPr>
            </w:pPr>
            <w:r>
              <w:rPr>
                <w:rFonts w:cs="Times New Roman"/>
                <w:b/>
              </w:rPr>
              <w:t>Pasiva</w:t>
            </w:r>
          </w:p>
        </w:tc>
        <w:tc>
          <w:tcPr>
            <w:tcW w:w="0" w:type="auto"/>
          </w:tcPr>
          <w:p w:rsidR="00AE0C79" w:rsidRDefault="00A61E00" w:rsidP="00FA7B84">
            <w:pPr>
              <w:spacing w:line="276" w:lineRule="auto"/>
              <w:rPr>
                <w:rFonts w:cs="Times New Roman"/>
                <w:b/>
              </w:rPr>
            </w:pPr>
            <w:r>
              <w:rPr>
                <w:rFonts w:cs="Times New Roman"/>
                <w:b/>
              </w:rPr>
              <w:t>100%</w:t>
            </w:r>
          </w:p>
        </w:tc>
        <w:tc>
          <w:tcPr>
            <w:tcW w:w="0" w:type="auto"/>
          </w:tcPr>
          <w:p w:rsidR="00AE0C79" w:rsidRDefault="00A61E00" w:rsidP="00FA7B84">
            <w:pPr>
              <w:spacing w:line="276" w:lineRule="auto"/>
              <w:rPr>
                <w:rFonts w:cs="Times New Roman"/>
                <w:b/>
              </w:rPr>
            </w:pPr>
            <w:r>
              <w:rPr>
                <w:rFonts w:cs="Times New Roman"/>
                <w:b/>
              </w:rPr>
              <w:t>100%</w:t>
            </w:r>
          </w:p>
        </w:tc>
        <w:tc>
          <w:tcPr>
            <w:tcW w:w="0" w:type="auto"/>
          </w:tcPr>
          <w:p w:rsidR="00AE0C79" w:rsidRDefault="00A61E00" w:rsidP="00FA7B84">
            <w:pPr>
              <w:spacing w:line="276" w:lineRule="auto"/>
              <w:rPr>
                <w:rFonts w:cs="Times New Roman"/>
                <w:b/>
              </w:rPr>
            </w:pPr>
            <w:r>
              <w:rPr>
                <w:rFonts w:cs="Times New Roman"/>
                <w:b/>
              </w:rPr>
              <w:t>100%</w:t>
            </w:r>
          </w:p>
        </w:tc>
        <w:tc>
          <w:tcPr>
            <w:tcW w:w="0" w:type="auto"/>
          </w:tcPr>
          <w:p w:rsidR="00AE0C79" w:rsidRDefault="00A61E00" w:rsidP="00FA7B84">
            <w:pPr>
              <w:spacing w:line="276" w:lineRule="auto"/>
              <w:rPr>
                <w:rFonts w:cs="Times New Roman"/>
                <w:b/>
              </w:rPr>
            </w:pPr>
            <w:r>
              <w:rPr>
                <w:rFonts w:cs="Times New Roman"/>
                <w:b/>
              </w:rPr>
              <w:t>100%</w:t>
            </w:r>
          </w:p>
        </w:tc>
        <w:tc>
          <w:tcPr>
            <w:tcW w:w="0" w:type="auto"/>
          </w:tcPr>
          <w:p w:rsidR="00AE0C79" w:rsidRDefault="00A61E00" w:rsidP="00FA7B84">
            <w:pPr>
              <w:spacing w:line="276" w:lineRule="auto"/>
              <w:rPr>
                <w:rFonts w:cs="Times New Roman"/>
                <w:b/>
              </w:rPr>
            </w:pPr>
            <w:r>
              <w:rPr>
                <w:rFonts w:cs="Times New Roman"/>
                <w:b/>
              </w:rPr>
              <w:t>100%</w:t>
            </w:r>
          </w:p>
        </w:tc>
        <w:tc>
          <w:tcPr>
            <w:tcW w:w="0" w:type="auto"/>
          </w:tcPr>
          <w:p w:rsidR="00AE0C79" w:rsidRDefault="00A61E00" w:rsidP="00FA7B84">
            <w:pPr>
              <w:spacing w:line="276" w:lineRule="auto"/>
              <w:rPr>
                <w:rFonts w:cs="Times New Roman"/>
                <w:b/>
              </w:rPr>
            </w:pPr>
            <w:r>
              <w:rPr>
                <w:rFonts w:cs="Times New Roman"/>
                <w:b/>
              </w:rPr>
              <w:t>100%</w:t>
            </w:r>
          </w:p>
        </w:tc>
        <w:tc>
          <w:tcPr>
            <w:tcW w:w="0" w:type="auto"/>
          </w:tcPr>
          <w:p w:rsidR="00AE0C79" w:rsidRDefault="00A61E00" w:rsidP="00FA7B84">
            <w:pPr>
              <w:spacing w:line="276" w:lineRule="auto"/>
              <w:rPr>
                <w:rFonts w:cs="Times New Roman"/>
                <w:b/>
              </w:rPr>
            </w:pPr>
            <w:r>
              <w:rPr>
                <w:rFonts w:cs="Times New Roman"/>
                <w:b/>
              </w:rPr>
              <w:t>100%</w:t>
            </w:r>
          </w:p>
        </w:tc>
        <w:tc>
          <w:tcPr>
            <w:tcW w:w="0" w:type="auto"/>
          </w:tcPr>
          <w:p w:rsidR="00AE0C79" w:rsidRDefault="00A61E00" w:rsidP="00FA7B84">
            <w:pPr>
              <w:spacing w:line="276" w:lineRule="auto"/>
              <w:rPr>
                <w:rFonts w:cs="Times New Roman"/>
                <w:b/>
              </w:rPr>
            </w:pPr>
            <w:r>
              <w:rPr>
                <w:rFonts w:cs="Times New Roman"/>
                <w:b/>
              </w:rPr>
              <w:t>100%</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Vlastní kapitál</w:t>
            </w:r>
          </w:p>
        </w:tc>
        <w:tc>
          <w:tcPr>
            <w:tcW w:w="0" w:type="auto"/>
            <w:shd w:val="clear" w:color="auto" w:fill="C6D9F1" w:themeFill="text2" w:themeFillTint="33"/>
          </w:tcPr>
          <w:p w:rsidR="00AE0C79" w:rsidRDefault="00A61E00" w:rsidP="00FA7B84">
            <w:pPr>
              <w:spacing w:line="276" w:lineRule="auto"/>
              <w:rPr>
                <w:rFonts w:cs="Times New Roman"/>
                <w:b/>
                <w:lang w:val="en-US"/>
              </w:rPr>
            </w:pPr>
            <w:r>
              <w:rPr>
                <w:rFonts w:cs="Times New Roman"/>
                <w:b/>
                <w:lang w:val="en-US"/>
              </w:rPr>
              <w:t>6,81</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7,93</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4,22</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9,95</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18,90</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10,98</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8,37</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17,70</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Základní kapitál</w:t>
            </w:r>
          </w:p>
        </w:tc>
        <w:tc>
          <w:tcPr>
            <w:tcW w:w="0" w:type="auto"/>
          </w:tcPr>
          <w:p w:rsidR="00AE0C79" w:rsidRDefault="00A61E00" w:rsidP="00FA7B84">
            <w:pPr>
              <w:spacing w:line="276" w:lineRule="auto"/>
              <w:rPr>
                <w:rFonts w:cs="Times New Roman"/>
              </w:rPr>
            </w:pPr>
            <w:r>
              <w:rPr>
                <w:rFonts w:cs="Times New Roman"/>
              </w:rPr>
              <w:t>0,15</w:t>
            </w:r>
          </w:p>
        </w:tc>
        <w:tc>
          <w:tcPr>
            <w:tcW w:w="0" w:type="auto"/>
          </w:tcPr>
          <w:p w:rsidR="00AE0C79" w:rsidRDefault="00A61E00" w:rsidP="00FA7B84">
            <w:pPr>
              <w:spacing w:line="276" w:lineRule="auto"/>
              <w:rPr>
                <w:rFonts w:cs="Times New Roman"/>
              </w:rPr>
            </w:pPr>
            <w:r>
              <w:rPr>
                <w:rFonts w:cs="Times New Roman"/>
              </w:rPr>
              <w:t>0,13</w:t>
            </w:r>
          </w:p>
        </w:tc>
        <w:tc>
          <w:tcPr>
            <w:tcW w:w="0" w:type="auto"/>
          </w:tcPr>
          <w:p w:rsidR="00AE0C79" w:rsidRDefault="00A61E00" w:rsidP="00FA7B84">
            <w:pPr>
              <w:spacing w:line="276" w:lineRule="auto"/>
              <w:rPr>
                <w:rFonts w:cs="Times New Roman"/>
              </w:rPr>
            </w:pPr>
            <w:r>
              <w:rPr>
                <w:rFonts w:cs="Times New Roman"/>
              </w:rPr>
              <w:t>7,31</w:t>
            </w:r>
          </w:p>
        </w:tc>
        <w:tc>
          <w:tcPr>
            <w:tcW w:w="0" w:type="auto"/>
          </w:tcPr>
          <w:p w:rsidR="00AE0C79" w:rsidRDefault="00A61E00" w:rsidP="00FA7B84">
            <w:pPr>
              <w:spacing w:line="276" w:lineRule="auto"/>
              <w:rPr>
                <w:rFonts w:cs="Times New Roman"/>
              </w:rPr>
            </w:pPr>
            <w:r>
              <w:rPr>
                <w:rFonts w:cs="Times New Roman"/>
              </w:rPr>
              <w:t>7,01</w:t>
            </w:r>
          </w:p>
        </w:tc>
        <w:tc>
          <w:tcPr>
            <w:tcW w:w="0" w:type="auto"/>
          </w:tcPr>
          <w:p w:rsidR="00AE0C79" w:rsidRDefault="00A61E00" w:rsidP="00FA7B84">
            <w:pPr>
              <w:spacing w:line="276" w:lineRule="auto"/>
              <w:rPr>
                <w:rFonts w:cs="Times New Roman"/>
              </w:rPr>
            </w:pPr>
            <w:r>
              <w:rPr>
                <w:rFonts w:cs="Times New Roman"/>
              </w:rPr>
              <w:t>4,74</w:t>
            </w:r>
          </w:p>
        </w:tc>
        <w:tc>
          <w:tcPr>
            <w:tcW w:w="0" w:type="auto"/>
          </w:tcPr>
          <w:p w:rsidR="00AE0C79" w:rsidRDefault="00A61E00" w:rsidP="00FA7B84">
            <w:pPr>
              <w:spacing w:line="276" w:lineRule="auto"/>
              <w:rPr>
                <w:rFonts w:cs="Times New Roman"/>
              </w:rPr>
            </w:pPr>
            <w:r>
              <w:rPr>
                <w:rFonts w:cs="Times New Roman"/>
              </w:rPr>
              <w:t>5,03</w:t>
            </w:r>
          </w:p>
        </w:tc>
        <w:tc>
          <w:tcPr>
            <w:tcW w:w="0" w:type="auto"/>
          </w:tcPr>
          <w:p w:rsidR="00AE0C79" w:rsidRDefault="00A61E00" w:rsidP="00FA7B84">
            <w:pPr>
              <w:spacing w:line="276" w:lineRule="auto"/>
              <w:rPr>
                <w:rFonts w:cs="Times New Roman"/>
              </w:rPr>
            </w:pPr>
            <w:r>
              <w:rPr>
                <w:rFonts w:cs="Times New Roman"/>
              </w:rPr>
              <w:t>4,94</w:t>
            </w:r>
          </w:p>
        </w:tc>
        <w:tc>
          <w:tcPr>
            <w:tcW w:w="0" w:type="auto"/>
          </w:tcPr>
          <w:p w:rsidR="00AE0C79" w:rsidRDefault="00A61E00" w:rsidP="00FA7B84">
            <w:pPr>
              <w:spacing w:line="276" w:lineRule="auto"/>
              <w:rPr>
                <w:rFonts w:cs="Times New Roman"/>
              </w:rPr>
            </w:pPr>
            <w:r>
              <w:rPr>
                <w:rFonts w:cs="Times New Roman"/>
              </w:rPr>
              <w:t>4,35</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Kapitálové fondy</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-0,17</w:t>
            </w:r>
          </w:p>
        </w:tc>
        <w:tc>
          <w:tcPr>
            <w:tcW w:w="0" w:type="auto"/>
          </w:tcPr>
          <w:p w:rsidR="00AE0C79" w:rsidRDefault="00A61E00" w:rsidP="00FA7B84">
            <w:pPr>
              <w:spacing w:line="276" w:lineRule="auto"/>
              <w:rPr>
                <w:rFonts w:cs="Times New Roman"/>
              </w:rPr>
            </w:pPr>
            <w:r>
              <w:rPr>
                <w:rFonts w:cs="Times New Roman"/>
              </w:rPr>
              <w:t>-6,07</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Rezervní fondy</w:t>
            </w:r>
          </w:p>
        </w:tc>
        <w:tc>
          <w:tcPr>
            <w:tcW w:w="0" w:type="auto"/>
          </w:tcPr>
          <w:p w:rsidR="00AE0C79" w:rsidRDefault="00A61E00" w:rsidP="00FA7B84">
            <w:pPr>
              <w:spacing w:line="276" w:lineRule="auto"/>
              <w:rPr>
                <w:rFonts w:cs="Times New Roman"/>
              </w:rPr>
            </w:pPr>
            <w:r>
              <w:rPr>
                <w:rFonts w:cs="Times New Roman"/>
              </w:rPr>
              <w:t>0,09</w:t>
            </w:r>
          </w:p>
        </w:tc>
        <w:tc>
          <w:tcPr>
            <w:tcW w:w="0" w:type="auto"/>
          </w:tcPr>
          <w:p w:rsidR="00AE0C79" w:rsidRDefault="00A61E00" w:rsidP="00FA7B84">
            <w:pPr>
              <w:spacing w:line="276" w:lineRule="auto"/>
              <w:rPr>
                <w:rFonts w:cs="Times New Roman"/>
              </w:rPr>
            </w:pPr>
            <w:r>
              <w:rPr>
                <w:rFonts w:cs="Times New Roman"/>
              </w:rPr>
              <w:t>0,01</w:t>
            </w:r>
          </w:p>
        </w:tc>
        <w:tc>
          <w:tcPr>
            <w:tcW w:w="0" w:type="auto"/>
          </w:tcPr>
          <w:p w:rsidR="00AE0C79" w:rsidRDefault="00A61E00" w:rsidP="00FA7B84">
            <w:pPr>
              <w:spacing w:line="276" w:lineRule="auto"/>
              <w:rPr>
                <w:rFonts w:cs="Times New Roman"/>
              </w:rPr>
            </w:pPr>
            <w:r>
              <w:rPr>
                <w:rFonts w:cs="Times New Roman"/>
              </w:rPr>
              <w:t>0,13</w:t>
            </w:r>
          </w:p>
        </w:tc>
        <w:tc>
          <w:tcPr>
            <w:tcW w:w="0" w:type="auto"/>
          </w:tcPr>
          <w:p w:rsidR="00AE0C79" w:rsidRDefault="00A61E00" w:rsidP="00FA7B84">
            <w:pPr>
              <w:spacing w:line="276" w:lineRule="auto"/>
              <w:rPr>
                <w:rFonts w:cs="Times New Roman"/>
              </w:rPr>
            </w:pPr>
            <w:r>
              <w:rPr>
                <w:rFonts w:cs="Times New Roman"/>
              </w:rPr>
              <w:t>0,12</w:t>
            </w:r>
          </w:p>
        </w:tc>
        <w:tc>
          <w:tcPr>
            <w:tcW w:w="0" w:type="auto"/>
          </w:tcPr>
          <w:p w:rsidR="00AE0C79" w:rsidRDefault="00A61E00" w:rsidP="00FA7B84">
            <w:pPr>
              <w:spacing w:line="276" w:lineRule="auto"/>
              <w:rPr>
                <w:rFonts w:cs="Times New Roman"/>
              </w:rPr>
            </w:pPr>
            <w:r>
              <w:rPr>
                <w:rFonts w:cs="Times New Roman"/>
              </w:rPr>
              <w:t>0,24</w:t>
            </w:r>
          </w:p>
        </w:tc>
        <w:tc>
          <w:tcPr>
            <w:tcW w:w="0" w:type="auto"/>
          </w:tcPr>
          <w:p w:rsidR="00AE0C79" w:rsidRDefault="00A61E00" w:rsidP="00FA7B84">
            <w:pPr>
              <w:spacing w:line="276" w:lineRule="auto"/>
              <w:rPr>
                <w:rFonts w:cs="Times New Roman"/>
              </w:rPr>
            </w:pPr>
            <w:r>
              <w:rPr>
                <w:rFonts w:cs="Times New Roman"/>
              </w:rPr>
              <w:t>0,25</w:t>
            </w:r>
          </w:p>
        </w:tc>
        <w:tc>
          <w:tcPr>
            <w:tcW w:w="0" w:type="auto"/>
          </w:tcPr>
          <w:p w:rsidR="00AE0C79" w:rsidRDefault="00A61E00" w:rsidP="00FA7B84">
            <w:pPr>
              <w:spacing w:line="276" w:lineRule="auto"/>
              <w:rPr>
                <w:rFonts w:cs="Times New Roman"/>
              </w:rPr>
            </w:pPr>
            <w:r>
              <w:rPr>
                <w:rFonts w:cs="Times New Roman"/>
              </w:rPr>
              <w:t>0,25</w:t>
            </w:r>
          </w:p>
        </w:tc>
        <w:tc>
          <w:tcPr>
            <w:tcW w:w="0" w:type="auto"/>
          </w:tcPr>
          <w:p w:rsidR="00AE0C79" w:rsidRDefault="00A61E00" w:rsidP="00FA7B84">
            <w:pPr>
              <w:spacing w:line="276" w:lineRule="auto"/>
              <w:rPr>
                <w:rFonts w:cs="Times New Roman"/>
              </w:rPr>
            </w:pPr>
            <w:r>
              <w:rPr>
                <w:rFonts w:cs="Times New Roman"/>
              </w:rPr>
              <w:t>0,44</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VH minulých let</w:t>
            </w:r>
          </w:p>
        </w:tc>
        <w:tc>
          <w:tcPr>
            <w:tcW w:w="0" w:type="auto"/>
          </w:tcPr>
          <w:p w:rsidR="00AE0C79" w:rsidRDefault="00A61E00" w:rsidP="00FA7B84">
            <w:pPr>
              <w:spacing w:line="276" w:lineRule="auto"/>
              <w:rPr>
                <w:rFonts w:cs="Times New Roman"/>
              </w:rPr>
            </w:pPr>
            <w:r>
              <w:rPr>
                <w:rFonts w:cs="Times New Roman"/>
              </w:rPr>
              <w:t>5,66</w:t>
            </w:r>
          </w:p>
        </w:tc>
        <w:tc>
          <w:tcPr>
            <w:tcW w:w="0" w:type="auto"/>
          </w:tcPr>
          <w:p w:rsidR="00AE0C79" w:rsidRDefault="00A61E00" w:rsidP="00FA7B84">
            <w:pPr>
              <w:spacing w:line="276" w:lineRule="auto"/>
              <w:rPr>
                <w:rFonts w:cs="Times New Roman"/>
              </w:rPr>
            </w:pPr>
            <w:r>
              <w:rPr>
                <w:rFonts w:cs="Times New Roman"/>
              </w:rPr>
              <w:t>5,85</w:t>
            </w:r>
          </w:p>
        </w:tc>
        <w:tc>
          <w:tcPr>
            <w:tcW w:w="0" w:type="auto"/>
          </w:tcPr>
          <w:p w:rsidR="00AE0C79" w:rsidRDefault="00A61E00" w:rsidP="00FA7B84">
            <w:pPr>
              <w:spacing w:line="276" w:lineRule="auto"/>
              <w:rPr>
                <w:rFonts w:cs="Times New Roman"/>
              </w:rPr>
            </w:pPr>
            <w:r>
              <w:rPr>
                <w:rFonts w:cs="Times New Roman"/>
              </w:rPr>
              <w:t>8,76</w:t>
            </w:r>
          </w:p>
        </w:tc>
        <w:tc>
          <w:tcPr>
            <w:tcW w:w="0" w:type="auto"/>
          </w:tcPr>
          <w:p w:rsidR="00AE0C79" w:rsidRDefault="00A61E00" w:rsidP="00FA7B84">
            <w:pPr>
              <w:spacing w:line="276" w:lineRule="auto"/>
              <w:rPr>
                <w:rFonts w:cs="Times New Roman"/>
              </w:rPr>
            </w:pPr>
            <w:r>
              <w:rPr>
                <w:rFonts w:cs="Times New Roman"/>
              </w:rPr>
              <w:t>-2,93</w:t>
            </w:r>
          </w:p>
        </w:tc>
        <w:tc>
          <w:tcPr>
            <w:tcW w:w="0" w:type="auto"/>
          </w:tcPr>
          <w:p w:rsidR="00AE0C79" w:rsidRDefault="00A61E00" w:rsidP="00FA7B84">
            <w:pPr>
              <w:spacing w:line="276" w:lineRule="auto"/>
              <w:rPr>
                <w:rFonts w:cs="Times New Roman"/>
              </w:rPr>
            </w:pPr>
            <w:r>
              <w:rPr>
                <w:rFonts w:cs="Times New Roman"/>
              </w:rPr>
              <w:t>5,84</w:t>
            </w:r>
          </w:p>
        </w:tc>
        <w:tc>
          <w:tcPr>
            <w:tcW w:w="0" w:type="auto"/>
          </w:tcPr>
          <w:p w:rsidR="00AE0C79" w:rsidRDefault="00A61E00" w:rsidP="00FA7B84">
            <w:pPr>
              <w:spacing w:line="276" w:lineRule="auto"/>
              <w:rPr>
                <w:rFonts w:cs="Times New Roman"/>
              </w:rPr>
            </w:pPr>
            <w:r>
              <w:rPr>
                <w:rFonts w:cs="Times New Roman"/>
              </w:rPr>
              <w:t>14,80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2,56</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VH běžného období</w:t>
            </w:r>
          </w:p>
        </w:tc>
        <w:tc>
          <w:tcPr>
            <w:tcW w:w="0" w:type="auto"/>
          </w:tcPr>
          <w:p w:rsidR="00AE0C79" w:rsidRDefault="00A61E00" w:rsidP="00FA7B84">
            <w:pPr>
              <w:spacing w:line="276" w:lineRule="auto"/>
              <w:rPr>
                <w:rFonts w:cs="Times New Roman"/>
              </w:rPr>
            </w:pPr>
            <w:r>
              <w:rPr>
                <w:rFonts w:cs="Times New Roman"/>
              </w:rPr>
              <w:t>0,91</w:t>
            </w:r>
          </w:p>
        </w:tc>
        <w:tc>
          <w:tcPr>
            <w:tcW w:w="0" w:type="auto"/>
          </w:tcPr>
          <w:p w:rsidR="00AE0C79" w:rsidRDefault="00A61E00" w:rsidP="00FA7B84">
            <w:pPr>
              <w:spacing w:line="276" w:lineRule="auto"/>
              <w:rPr>
                <w:rFonts w:cs="Times New Roman"/>
              </w:rPr>
            </w:pPr>
            <w:r>
              <w:rPr>
                <w:rFonts w:cs="Times New Roman"/>
              </w:rPr>
              <w:t>1,95</w:t>
            </w:r>
          </w:p>
        </w:tc>
        <w:tc>
          <w:tcPr>
            <w:tcW w:w="0" w:type="auto"/>
          </w:tcPr>
          <w:p w:rsidR="00AE0C79" w:rsidRDefault="00A61E00" w:rsidP="00FA7B84">
            <w:pPr>
              <w:spacing w:line="276" w:lineRule="auto"/>
              <w:rPr>
                <w:rFonts w:cs="Times New Roman"/>
              </w:rPr>
            </w:pPr>
            <w:r>
              <w:rPr>
                <w:rFonts w:cs="Times New Roman"/>
              </w:rPr>
              <w:t>-11,81</w:t>
            </w:r>
          </w:p>
        </w:tc>
        <w:tc>
          <w:tcPr>
            <w:tcW w:w="0" w:type="auto"/>
          </w:tcPr>
          <w:p w:rsidR="00AE0C79" w:rsidRDefault="00A61E00" w:rsidP="00FA7B84">
            <w:pPr>
              <w:spacing w:line="276" w:lineRule="auto"/>
              <w:rPr>
                <w:rFonts w:cs="Times New Roman"/>
              </w:rPr>
            </w:pPr>
            <w:r>
              <w:rPr>
                <w:rFonts w:cs="Times New Roman"/>
              </w:rPr>
              <w:t>11,81</w:t>
            </w:r>
          </w:p>
        </w:tc>
        <w:tc>
          <w:tcPr>
            <w:tcW w:w="0" w:type="auto"/>
          </w:tcPr>
          <w:p w:rsidR="00AE0C79" w:rsidRDefault="00A61E00" w:rsidP="00FA7B84">
            <w:pPr>
              <w:spacing w:line="276" w:lineRule="auto"/>
              <w:rPr>
                <w:rFonts w:cs="Times New Roman"/>
              </w:rPr>
            </w:pPr>
            <w:r>
              <w:rPr>
                <w:rFonts w:cs="Times New Roman"/>
              </w:rPr>
              <w:t>8,09</w:t>
            </w:r>
          </w:p>
        </w:tc>
        <w:tc>
          <w:tcPr>
            <w:tcW w:w="0" w:type="auto"/>
          </w:tcPr>
          <w:p w:rsidR="00AE0C79" w:rsidRDefault="00A61E00" w:rsidP="00FA7B84">
            <w:pPr>
              <w:spacing w:line="276" w:lineRule="auto"/>
              <w:rPr>
                <w:rFonts w:cs="Times New Roman"/>
              </w:rPr>
            </w:pPr>
            <w:r>
              <w:rPr>
                <w:rFonts w:cs="Times New Roman"/>
              </w:rPr>
              <w:t>-9,11</w:t>
            </w:r>
          </w:p>
        </w:tc>
        <w:tc>
          <w:tcPr>
            <w:tcW w:w="0" w:type="auto"/>
          </w:tcPr>
          <w:p w:rsidR="00AE0C79" w:rsidRDefault="00A61E00" w:rsidP="00FA7B84">
            <w:pPr>
              <w:spacing w:line="276" w:lineRule="auto"/>
              <w:rPr>
                <w:rFonts w:cs="Times New Roman"/>
              </w:rPr>
            </w:pPr>
            <w:r>
              <w:rPr>
                <w:rFonts w:cs="Times New Roman"/>
              </w:rPr>
              <w:t>3,18</w:t>
            </w:r>
          </w:p>
        </w:tc>
        <w:tc>
          <w:tcPr>
            <w:tcW w:w="0" w:type="auto"/>
          </w:tcPr>
          <w:p w:rsidR="00AE0C79" w:rsidRDefault="00A61E00" w:rsidP="00FA7B84">
            <w:pPr>
              <w:spacing w:line="276" w:lineRule="auto"/>
              <w:rPr>
                <w:rFonts w:cs="Times New Roman"/>
              </w:rPr>
            </w:pPr>
            <w:r>
              <w:rPr>
                <w:rFonts w:cs="Times New Roman"/>
              </w:rPr>
              <w:t>10,33</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Cizí zdroje</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93,05</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91,60</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94,15</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89,02</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81,02</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88,98</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91,60</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80,34</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Rezervy</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6,13</w:t>
            </w:r>
          </w:p>
        </w:tc>
        <w:tc>
          <w:tcPr>
            <w:tcW w:w="0" w:type="auto"/>
          </w:tcPr>
          <w:p w:rsidR="00AE0C79" w:rsidRDefault="00A61E00" w:rsidP="00FA7B84">
            <w:pPr>
              <w:spacing w:line="276" w:lineRule="auto"/>
              <w:rPr>
                <w:rFonts w:cs="Times New Roman"/>
              </w:rPr>
            </w:pPr>
            <w:r>
              <w:rPr>
                <w:rFonts w:cs="Times New Roman"/>
              </w:rPr>
              <w:t>8,53</w:t>
            </w:r>
          </w:p>
        </w:tc>
        <w:tc>
          <w:tcPr>
            <w:tcW w:w="0" w:type="auto"/>
          </w:tcPr>
          <w:p w:rsidR="00AE0C79" w:rsidRDefault="00A61E00" w:rsidP="00FA7B84">
            <w:pPr>
              <w:spacing w:line="276" w:lineRule="auto"/>
              <w:rPr>
                <w:rFonts w:cs="Times New Roman"/>
              </w:rPr>
            </w:pPr>
            <w:r>
              <w:rPr>
                <w:rFonts w:cs="Times New Roman"/>
              </w:rPr>
              <w:t>3,77</w:t>
            </w:r>
          </w:p>
        </w:tc>
        <w:tc>
          <w:tcPr>
            <w:tcW w:w="0" w:type="auto"/>
          </w:tcPr>
          <w:p w:rsidR="00AE0C79" w:rsidRDefault="00A61E00" w:rsidP="00FA7B84">
            <w:pPr>
              <w:spacing w:line="276" w:lineRule="auto"/>
              <w:rPr>
                <w:rFonts w:cs="Times New Roman"/>
              </w:rPr>
            </w:pPr>
            <w:r>
              <w:rPr>
                <w:rFonts w:cs="Times New Roman"/>
              </w:rPr>
              <w:t>8,35</w:t>
            </w:r>
          </w:p>
        </w:tc>
        <w:tc>
          <w:tcPr>
            <w:tcW w:w="0" w:type="auto"/>
          </w:tcPr>
          <w:p w:rsidR="00AE0C79" w:rsidRDefault="00A61E00" w:rsidP="00FA7B84">
            <w:pPr>
              <w:spacing w:line="276" w:lineRule="auto"/>
              <w:rPr>
                <w:rFonts w:cs="Times New Roman"/>
              </w:rPr>
            </w:pPr>
            <w:r>
              <w:rPr>
                <w:rFonts w:cs="Times New Roman"/>
              </w:rPr>
              <w:t>7,61</w:t>
            </w:r>
          </w:p>
        </w:tc>
        <w:tc>
          <w:tcPr>
            <w:tcW w:w="0" w:type="auto"/>
          </w:tcPr>
          <w:p w:rsidR="00AE0C79" w:rsidRDefault="00A61E00" w:rsidP="00FA7B84">
            <w:pPr>
              <w:spacing w:line="276" w:lineRule="auto"/>
              <w:rPr>
                <w:rFonts w:cs="Times New Roman"/>
              </w:rPr>
            </w:pPr>
            <w:r>
              <w:rPr>
                <w:rFonts w:cs="Times New Roman"/>
              </w:rPr>
              <w:t>0,83</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Dlouhodobé závazky</w:t>
            </w:r>
          </w:p>
        </w:tc>
        <w:tc>
          <w:tcPr>
            <w:tcW w:w="0" w:type="auto"/>
          </w:tcPr>
          <w:p w:rsidR="00AE0C79" w:rsidRDefault="00A61E00" w:rsidP="00FA7B84">
            <w:pPr>
              <w:spacing w:line="276" w:lineRule="auto"/>
              <w:rPr>
                <w:rFonts w:cs="Times New Roman"/>
              </w:rPr>
            </w:pPr>
            <w:r>
              <w:rPr>
                <w:rFonts w:cs="Times New Roman"/>
              </w:rPr>
              <w:t>0,55</w:t>
            </w:r>
          </w:p>
        </w:tc>
        <w:tc>
          <w:tcPr>
            <w:tcW w:w="0" w:type="auto"/>
          </w:tcPr>
          <w:p w:rsidR="00AE0C79" w:rsidRDefault="00A61E00" w:rsidP="00FA7B84">
            <w:pPr>
              <w:spacing w:line="276" w:lineRule="auto"/>
              <w:rPr>
                <w:rFonts w:cs="Times New Roman"/>
              </w:rPr>
            </w:pPr>
            <w:r>
              <w:rPr>
                <w:rFonts w:cs="Times New Roman"/>
              </w:rPr>
              <w:t>34,45</w:t>
            </w:r>
          </w:p>
        </w:tc>
        <w:tc>
          <w:tcPr>
            <w:tcW w:w="0" w:type="auto"/>
          </w:tcPr>
          <w:p w:rsidR="00AE0C79" w:rsidRDefault="00A61E00" w:rsidP="00FA7B84">
            <w:pPr>
              <w:spacing w:line="276" w:lineRule="auto"/>
              <w:rPr>
                <w:rFonts w:cs="Times New Roman"/>
              </w:rPr>
            </w:pPr>
            <w:r>
              <w:rPr>
                <w:rFonts w:cs="Times New Roman"/>
              </w:rPr>
              <w:t>30,84</w:t>
            </w:r>
          </w:p>
        </w:tc>
        <w:tc>
          <w:tcPr>
            <w:tcW w:w="0" w:type="auto"/>
          </w:tcPr>
          <w:p w:rsidR="00AE0C79" w:rsidRDefault="00A61E00" w:rsidP="00FA7B84">
            <w:pPr>
              <w:spacing w:line="276" w:lineRule="auto"/>
              <w:rPr>
                <w:rFonts w:cs="Times New Roman"/>
              </w:rPr>
            </w:pPr>
            <w:r>
              <w:rPr>
                <w:rFonts w:cs="Times New Roman"/>
              </w:rPr>
              <w:t>34,59</w:t>
            </w:r>
          </w:p>
        </w:tc>
        <w:tc>
          <w:tcPr>
            <w:tcW w:w="0" w:type="auto"/>
          </w:tcPr>
          <w:p w:rsidR="00AE0C79" w:rsidRDefault="00A61E00" w:rsidP="00FA7B84">
            <w:pPr>
              <w:spacing w:line="276" w:lineRule="auto"/>
              <w:rPr>
                <w:rFonts w:cs="Times New Roman"/>
              </w:rPr>
            </w:pPr>
            <w:r>
              <w:rPr>
                <w:rFonts w:cs="Times New Roman"/>
              </w:rPr>
              <w:t>20,96</w:t>
            </w:r>
          </w:p>
        </w:tc>
        <w:tc>
          <w:tcPr>
            <w:tcW w:w="0" w:type="auto"/>
          </w:tcPr>
          <w:p w:rsidR="00AE0C79" w:rsidRDefault="00A61E00" w:rsidP="00FA7B84">
            <w:pPr>
              <w:spacing w:line="276" w:lineRule="auto"/>
              <w:rPr>
                <w:rFonts w:cs="Times New Roman"/>
              </w:rPr>
            </w:pPr>
            <w:r>
              <w:rPr>
                <w:rFonts w:cs="Times New Roman"/>
              </w:rPr>
              <w:t>23,07</w:t>
            </w:r>
          </w:p>
        </w:tc>
        <w:tc>
          <w:tcPr>
            <w:tcW w:w="0" w:type="auto"/>
          </w:tcPr>
          <w:p w:rsidR="00AE0C79" w:rsidRDefault="00A61E00" w:rsidP="00FA7B84">
            <w:pPr>
              <w:spacing w:line="276" w:lineRule="auto"/>
              <w:rPr>
                <w:rFonts w:cs="Times New Roman"/>
              </w:rPr>
            </w:pPr>
            <w:r>
              <w:rPr>
                <w:rFonts w:cs="Times New Roman"/>
              </w:rPr>
              <w:t>38,56</w:t>
            </w:r>
          </w:p>
        </w:tc>
        <w:tc>
          <w:tcPr>
            <w:tcW w:w="0" w:type="auto"/>
          </w:tcPr>
          <w:p w:rsidR="00AE0C79" w:rsidRDefault="00A61E00" w:rsidP="00FA7B84">
            <w:pPr>
              <w:spacing w:line="276" w:lineRule="auto"/>
              <w:rPr>
                <w:rFonts w:cs="Times New Roman"/>
              </w:rPr>
            </w:pPr>
            <w:r>
              <w:rPr>
                <w:rFonts w:cs="Times New Roman"/>
              </w:rPr>
              <w:t>28,55</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Krátkodobé závazky</w:t>
            </w:r>
          </w:p>
        </w:tc>
        <w:tc>
          <w:tcPr>
            <w:tcW w:w="0" w:type="auto"/>
          </w:tcPr>
          <w:p w:rsidR="00AE0C79" w:rsidRDefault="00A61E00" w:rsidP="00FA7B84">
            <w:pPr>
              <w:spacing w:line="276" w:lineRule="auto"/>
              <w:rPr>
                <w:rFonts w:cs="Times New Roman"/>
              </w:rPr>
            </w:pPr>
            <w:r>
              <w:rPr>
                <w:rFonts w:cs="Times New Roman"/>
              </w:rPr>
              <w:t>75,17</w:t>
            </w:r>
          </w:p>
        </w:tc>
        <w:tc>
          <w:tcPr>
            <w:tcW w:w="0" w:type="auto"/>
          </w:tcPr>
          <w:p w:rsidR="00AE0C79" w:rsidRDefault="00A61E00" w:rsidP="00FA7B84">
            <w:pPr>
              <w:spacing w:line="276" w:lineRule="auto"/>
              <w:rPr>
                <w:rFonts w:cs="Times New Roman"/>
              </w:rPr>
            </w:pPr>
            <w:r>
              <w:rPr>
                <w:rFonts w:cs="Times New Roman"/>
              </w:rPr>
              <w:t>42,27</w:t>
            </w:r>
          </w:p>
        </w:tc>
        <w:tc>
          <w:tcPr>
            <w:tcW w:w="0" w:type="auto"/>
          </w:tcPr>
          <w:p w:rsidR="00AE0C79" w:rsidRDefault="00A61E00" w:rsidP="00FA7B84">
            <w:pPr>
              <w:spacing w:line="276" w:lineRule="auto"/>
              <w:rPr>
                <w:rFonts w:cs="Times New Roman"/>
              </w:rPr>
            </w:pPr>
            <w:r>
              <w:rPr>
                <w:rFonts w:cs="Times New Roman"/>
              </w:rPr>
              <w:t>41,29</w:t>
            </w:r>
          </w:p>
        </w:tc>
        <w:tc>
          <w:tcPr>
            <w:tcW w:w="0" w:type="auto"/>
          </w:tcPr>
          <w:p w:rsidR="00AE0C79" w:rsidRDefault="00A61E00" w:rsidP="00FA7B84">
            <w:pPr>
              <w:spacing w:line="276" w:lineRule="auto"/>
              <w:rPr>
                <w:rFonts w:cs="Times New Roman"/>
              </w:rPr>
            </w:pPr>
            <w:r>
              <w:rPr>
                <w:rFonts w:cs="Times New Roman"/>
              </w:rPr>
              <w:t>45,90</w:t>
            </w:r>
          </w:p>
        </w:tc>
        <w:tc>
          <w:tcPr>
            <w:tcW w:w="0" w:type="auto"/>
          </w:tcPr>
          <w:p w:rsidR="00AE0C79" w:rsidRDefault="00A61E00" w:rsidP="00FA7B84">
            <w:pPr>
              <w:spacing w:line="276" w:lineRule="auto"/>
              <w:rPr>
                <w:rFonts w:cs="Times New Roman"/>
              </w:rPr>
            </w:pPr>
            <w:r>
              <w:rPr>
                <w:rFonts w:cs="Times New Roman"/>
              </w:rPr>
              <w:t>56,29</w:t>
            </w:r>
          </w:p>
        </w:tc>
        <w:tc>
          <w:tcPr>
            <w:tcW w:w="0" w:type="auto"/>
          </w:tcPr>
          <w:p w:rsidR="00AE0C79" w:rsidRDefault="00A61E00" w:rsidP="00FA7B84">
            <w:pPr>
              <w:spacing w:line="276" w:lineRule="auto"/>
              <w:rPr>
                <w:rFonts w:cs="Times New Roman"/>
              </w:rPr>
            </w:pPr>
            <w:r>
              <w:rPr>
                <w:rFonts w:cs="Times New Roman"/>
              </w:rPr>
              <w:t>57,55</w:t>
            </w:r>
          </w:p>
        </w:tc>
        <w:tc>
          <w:tcPr>
            <w:tcW w:w="0" w:type="auto"/>
          </w:tcPr>
          <w:p w:rsidR="00AE0C79" w:rsidRDefault="00A61E00" w:rsidP="00FA7B84">
            <w:pPr>
              <w:spacing w:line="276" w:lineRule="auto"/>
              <w:rPr>
                <w:rFonts w:cs="Times New Roman"/>
                <w:lang w:val="en-US"/>
              </w:rPr>
            </w:pPr>
            <w:r>
              <w:rPr>
                <w:rFonts w:cs="Times New Roman"/>
                <w:lang w:val="en-US"/>
              </w:rPr>
              <w:t>45,43</w:t>
            </w:r>
          </w:p>
        </w:tc>
        <w:tc>
          <w:tcPr>
            <w:tcW w:w="0" w:type="auto"/>
          </w:tcPr>
          <w:p w:rsidR="00AE0C79" w:rsidRDefault="00A61E00" w:rsidP="00FA7B84">
            <w:pPr>
              <w:spacing w:line="276" w:lineRule="auto"/>
              <w:rPr>
                <w:rFonts w:cs="Times New Roman"/>
              </w:rPr>
            </w:pPr>
            <w:r>
              <w:rPr>
                <w:rFonts w:cs="Times New Roman"/>
              </w:rPr>
              <w:t>43,44</w:t>
            </w:r>
          </w:p>
        </w:tc>
      </w:tr>
      <w:tr w:rsidR="00AE0C79">
        <w:tc>
          <w:tcPr>
            <w:tcW w:w="0" w:type="auto"/>
            <w:shd w:val="clear" w:color="auto" w:fill="auto"/>
          </w:tcPr>
          <w:p w:rsidR="00AE0C79" w:rsidRDefault="00A61E00" w:rsidP="00FA7B84">
            <w:pPr>
              <w:spacing w:line="276" w:lineRule="auto"/>
              <w:rPr>
                <w:rFonts w:cs="Times New Roman"/>
              </w:rPr>
            </w:pPr>
            <w:r>
              <w:rPr>
                <w:rFonts w:cs="Times New Roman"/>
              </w:rPr>
              <w:t>Bankovní úvěry a výpomoci</w:t>
            </w:r>
          </w:p>
        </w:tc>
        <w:tc>
          <w:tcPr>
            <w:tcW w:w="0" w:type="auto"/>
          </w:tcPr>
          <w:p w:rsidR="00AE0C79" w:rsidRDefault="00A61E00" w:rsidP="00FA7B84">
            <w:pPr>
              <w:spacing w:line="276" w:lineRule="auto"/>
              <w:rPr>
                <w:rFonts w:cs="Times New Roman"/>
              </w:rPr>
            </w:pPr>
            <w:r>
              <w:rPr>
                <w:rFonts w:cs="Times New Roman"/>
              </w:rPr>
              <w:t>17,34</w:t>
            </w:r>
          </w:p>
        </w:tc>
        <w:tc>
          <w:tcPr>
            <w:tcW w:w="0" w:type="auto"/>
          </w:tcPr>
          <w:p w:rsidR="00AE0C79" w:rsidRDefault="00A61E00" w:rsidP="00FA7B84">
            <w:pPr>
              <w:spacing w:line="276" w:lineRule="auto"/>
              <w:rPr>
                <w:rFonts w:cs="Times New Roman"/>
              </w:rPr>
            </w:pPr>
            <w:r>
              <w:rPr>
                <w:rFonts w:cs="Times New Roman"/>
              </w:rPr>
              <w:t>14,88</w:t>
            </w:r>
          </w:p>
        </w:tc>
        <w:tc>
          <w:tcPr>
            <w:tcW w:w="0" w:type="auto"/>
          </w:tcPr>
          <w:p w:rsidR="00AE0C79" w:rsidRDefault="00A61E00" w:rsidP="00FA7B84">
            <w:pPr>
              <w:spacing w:line="276" w:lineRule="auto"/>
              <w:rPr>
                <w:rFonts w:cs="Times New Roman"/>
              </w:rPr>
            </w:pPr>
            <w:r>
              <w:rPr>
                <w:rFonts w:cs="Times New Roman"/>
              </w:rPr>
              <w:t>15,90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0,00</w:t>
            </w:r>
          </w:p>
        </w:tc>
        <w:tc>
          <w:tcPr>
            <w:tcW w:w="0" w:type="auto"/>
          </w:tcPr>
          <w:p w:rsidR="00AE0C79" w:rsidRDefault="00A61E00" w:rsidP="00FA7B84">
            <w:pPr>
              <w:spacing w:line="276" w:lineRule="auto"/>
              <w:rPr>
                <w:rFonts w:cs="Times New Roman"/>
              </w:rPr>
            </w:pPr>
            <w:r>
              <w:rPr>
                <w:rFonts w:cs="Times New Roman"/>
              </w:rPr>
              <w:t>7,51</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Časové rozlišení</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0,14</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0,47</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1,63</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1,04</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0,08</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0,05</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0,03</w:t>
            </w:r>
          </w:p>
        </w:tc>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1,96</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 xml:space="preserve">Vertikální analýza pasiv nám ukazuje, že společnost k financování využívá v drtivé většině cizích zdrojů. Využití těchto zdrojů je levnějším způsobem financování, ale zároveň vyžaduje placení úroků, jejichž výše se samozřejmě s rostoucím zadlužením zvedá. Rostoucí zadlužení má za následek nejen placení vyšších úroků, ale také zvyšování rizika nesplacení pro věřitele, kteří pak vyžadují vyšší úroky a případně mohou i odmítnout úvěr poskytnout. Při velmi vysokém zadlužení, jako v tomto případě, pak může mít podnik problémy se sháněním nových úvěrů. </w:t>
      </w:r>
    </w:p>
    <w:p w:rsidR="00AE0C79" w:rsidRDefault="00A61E00" w:rsidP="00FA7B84">
      <w:pPr>
        <w:pStyle w:val="Titulek"/>
        <w:keepNext/>
        <w:spacing w:line="276" w:lineRule="auto"/>
      </w:pPr>
      <w:bookmarkStart w:id="46" w:name="_Toc324932948"/>
      <w:r>
        <w:t xml:space="preserve">Graf </w:t>
      </w:r>
      <w:fldSimple w:instr=" SEQ Graf \* ARABIC ">
        <w:r w:rsidR="00F5284D">
          <w:rPr>
            <w:noProof/>
          </w:rPr>
          <w:t>6</w:t>
        </w:r>
      </w:fldSimple>
      <w:r>
        <w:t>: Struktura pasiv společnosti Dentamed s.r.o.</w:t>
      </w:r>
      <w:bookmarkEnd w:id="46"/>
    </w:p>
    <w:p w:rsidR="00AE0C79" w:rsidRDefault="00A61E00" w:rsidP="00FA7B84">
      <w:pPr>
        <w:spacing w:line="276" w:lineRule="auto"/>
        <w:rPr>
          <w:i/>
          <w:sz w:val="20"/>
          <w:szCs w:val="20"/>
        </w:rPr>
      </w:pPr>
      <w:r>
        <w:rPr>
          <w:noProof/>
          <w:lang w:eastAsia="cs-CZ"/>
        </w:rPr>
        <w:drawing>
          <wp:inline distT="0" distB="0" distL="0" distR="0">
            <wp:extent cx="5436000" cy="2881423"/>
            <wp:effectExtent l="19050" t="0" r="12300" b="0"/>
            <wp:docPr id="5"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lastRenderedPageBreak/>
        <w:t>Vlastní kapitál tvoří poměrně malý podíl celkového kapitálu podniku, ale významně ovlivňuje rozložení struktury pasiv. Součástí vlastního kapitálu jsou položky výsledek hospodaření běžného účetního období a výsledek hospodaření minulých let. Tyto položky se mění s ohledem na výsledek hospodaření daného období a mění tak strukturu pasiv. Za sledované období podnik dosáhl záporného výsledku hospodaření v letech 2005 a 2008. Vlastní kapitál s výjimkou těchto let vykazuje růst podílu na celkových pasivech, právě díky kumulaci výsledků hospodaření, v letech se záporným výsledkem hospodaření pak můžeme sledovat pokles tohoto podílu. Poklesu podílu na pasivech si můžeme všimnout i v roce 2009. Tento pokles není způsobený záporným výsledkem hospodaření, ale již zmíněným vyplacením podílu na zisku. Záporné položky obsahoval vlastní kapitál kromě let 2005 a 2008 také v roce 2006. V tomto roce byl záporný výsledek hospodaření minulých let, díky ztrátě z roku 2005, a také kapitálové fondy, kvůli přecenění podílu ve společnosti Stomatol s.r.o. (zakoupeno téhož roku).</w:t>
      </w:r>
    </w:p>
    <w:p w:rsidR="00AE0C79" w:rsidRDefault="00A61E00" w:rsidP="00FA7B84">
      <w:pPr>
        <w:pStyle w:val="Titulek"/>
        <w:keepNext/>
        <w:spacing w:line="276" w:lineRule="auto"/>
      </w:pPr>
      <w:bookmarkStart w:id="47" w:name="_Toc324932949"/>
      <w:r>
        <w:t xml:space="preserve">Graf </w:t>
      </w:r>
      <w:fldSimple w:instr=" SEQ Graf \* ARABIC ">
        <w:r w:rsidR="00F5284D">
          <w:rPr>
            <w:noProof/>
          </w:rPr>
          <w:t>7</w:t>
        </w:r>
      </w:fldSimple>
      <w:r>
        <w:t>: Struktura vlastního kapitálu společnosti Dentamed s.r.o.</w:t>
      </w:r>
      <w:bookmarkEnd w:id="47"/>
    </w:p>
    <w:p w:rsidR="00AE0C79" w:rsidRDefault="00A61E00" w:rsidP="00FA7B84">
      <w:pPr>
        <w:spacing w:line="276" w:lineRule="auto"/>
      </w:pPr>
      <w:r>
        <w:rPr>
          <w:noProof/>
          <w:lang w:eastAsia="cs-CZ"/>
        </w:rPr>
        <w:drawing>
          <wp:inline distT="0" distB="0" distL="0" distR="0">
            <wp:extent cx="5436000" cy="2881424"/>
            <wp:effectExtent l="19050" t="0" r="12300" b="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 xml:space="preserve">Podnik ke svému financování tedy využívá především cizí zdroje. Jak ukazuje struktura cizích zdrojů, jedná se především o krátkodobé závazky, které svou hodnotou tvoří přibližně polovinu cizích zdrojů podniku. Druhý největší podíl zaujímají dlouhodobé závazky, které v roce 2003 podnik téměř nevyužíval, ale v následujících letech se do struktury pasiv i cizích zdrojů výrazně promítly a jejich podíl na celkové sumě pasiv se pohyboval v rozmezí 20 – 35%. </w:t>
      </w:r>
    </w:p>
    <w:p w:rsidR="00AE0C79" w:rsidRDefault="00A61E00" w:rsidP="00FA7B84">
      <w:pPr>
        <w:pStyle w:val="Titulek"/>
        <w:keepNext/>
        <w:spacing w:line="276" w:lineRule="auto"/>
      </w:pPr>
      <w:bookmarkStart w:id="48" w:name="_Toc324932950"/>
      <w:r>
        <w:lastRenderedPageBreak/>
        <w:t xml:space="preserve">Graf </w:t>
      </w:r>
      <w:fldSimple w:instr=" SEQ Graf \* ARABIC ">
        <w:r w:rsidR="00F5284D">
          <w:rPr>
            <w:noProof/>
          </w:rPr>
          <w:t>8</w:t>
        </w:r>
      </w:fldSimple>
      <w:r>
        <w:t>: Struktura cizích zdrojů společnosti Dentamed s.r.o.</w:t>
      </w:r>
      <w:bookmarkEnd w:id="48"/>
    </w:p>
    <w:p w:rsidR="00AE0C79" w:rsidRDefault="00A61E00" w:rsidP="00FA7B84">
      <w:pPr>
        <w:spacing w:line="276" w:lineRule="auto"/>
      </w:pPr>
      <w:r>
        <w:rPr>
          <w:noProof/>
          <w:lang w:eastAsia="cs-CZ"/>
        </w:rPr>
        <w:drawing>
          <wp:inline distT="0" distB="0" distL="0" distR="0">
            <wp:extent cx="5436000" cy="2913321"/>
            <wp:effectExtent l="19050" t="0" r="12300" b="1329"/>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Nadpis2"/>
        <w:spacing w:line="276" w:lineRule="auto"/>
      </w:pPr>
      <w:bookmarkStart w:id="49" w:name="_Toc324932904"/>
      <w:r>
        <w:t>Analýza výkazu zisků a ztrát</w:t>
      </w:r>
      <w:bookmarkEnd w:id="49"/>
    </w:p>
    <w:p w:rsidR="00AE0C79" w:rsidRDefault="00A61E00" w:rsidP="00FA7B84">
      <w:pPr>
        <w:pStyle w:val="Nadpis3"/>
        <w:spacing w:line="276" w:lineRule="auto"/>
      </w:pPr>
      <w:bookmarkStart w:id="50" w:name="_Toc324932905"/>
      <w:r>
        <w:t>Horizontální analýza</w:t>
      </w:r>
      <w:bookmarkEnd w:id="50"/>
    </w:p>
    <w:p w:rsidR="00AE0C79" w:rsidRDefault="00A61E00" w:rsidP="00FA7B84">
      <w:pPr>
        <w:spacing w:line="276" w:lineRule="auto"/>
      </w:pPr>
      <w:r>
        <w:t>Tržby dosáhly svého maxima v roce 2010, stejně jako obchodní marže. Za sledované období se zvýšily o téměř 130 milionů, což představuje nárust o více než 100%. Růst můžeme pozorovat během celého období, s výjimkou roku 2005, kdy mírně poklesly při srovnání s předchozím rokem.</w:t>
      </w:r>
    </w:p>
    <w:p w:rsidR="00AE0C79" w:rsidRDefault="00A61E00" w:rsidP="00FA7B84">
      <w:pPr>
        <w:pStyle w:val="Titulek"/>
        <w:keepNext/>
        <w:spacing w:line="276" w:lineRule="auto"/>
      </w:pPr>
      <w:bookmarkStart w:id="51" w:name="_Toc324932929"/>
      <w:r>
        <w:t xml:space="preserve">Tabulka </w:t>
      </w:r>
      <w:fldSimple w:instr=" SEQ Tabulka \* ARABIC ">
        <w:r w:rsidR="00F5284D">
          <w:rPr>
            <w:noProof/>
          </w:rPr>
          <w:t>7</w:t>
        </w:r>
      </w:fldSimple>
      <w:r>
        <w:t>: Horizontální analýza výkazu zisků a ztrát společnosti Dentamed s.r.o.</w:t>
      </w:r>
      <w:bookmarkEnd w:id="51"/>
    </w:p>
    <w:tbl>
      <w:tblPr>
        <w:tblStyle w:val="Mkatabulky"/>
        <w:tblW w:w="0" w:type="auto"/>
        <w:tblLook w:val="04A0"/>
      </w:tblPr>
      <w:tblGrid>
        <w:gridCol w:w="1970"/>
        <w:gridCol w:w="821"/>
        <w:gridCol w:w="821"/>
        <w:gridCol w:w="975"/>
        <w:gridCol w:w="931"/>
        <w:gridCol w:w="931"/>
        <w:gridCol w:w="975"/>
        <w:gridCol w:w="931"/>
        <w:gridCol w:w="931"/>
      </w:tblGrid>
      <w:tr w:rsidR="00AE0C79">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V %</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2003</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2004</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2005</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2006</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2007</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2008</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2009</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Tržby celkem</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100,00</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127,03</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122,78</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153,81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182,31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183,59</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202,02</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206,60</w:t>
            </w:r>
          </w:p>
        </w:tc>
      </w:tr>
      <w:tr w:rsidR="00AE0C79">
        <w:tc>
          <w:tcPr>
            <w:tcW w:w="0" w:type="auto"/>
          </w:tcPr>
          <w:p w:rsidR="00AE0C79" w:rsidRDefault="00A61E00" w:rsidP="00FA7B84">
            <w:pPr>
              <w:spacing w:line="276" w:lineRule="auto"/>
              <w:rPr>
                <w:rFonts w:cs="Times New Roman"/>
              </w:rPr>
            </w:pPr>
            <w:r>
              <w:rPr>
                <w:rFonts w:cs="Times New Roman"/>
              </w:rPr>
              <w:t>Tržby za prodej zboží</w:t>
            </w:r>
          </w:p>
        </w:tc>
        <w:tc>
          <w:tcPr>
            <w:tcW w:w="0" w:type="auto"/>
          </w:tcPr>
          <w:p w:rsidR="00AE0C79" w:rsidRDefault="00A61E00" w:rsidP="00FA7B84">
            <w:pPr>
              <w:spacing w:line="276" w:lineRule="auto"/>
              <w:rPr>
                <w:rFonts w:cs="Times New Roman"/>
              </w:rPr>
            </w:pPr>
            <w:r>
              <w:rPr>
                <w:rFonts w:cs="Times New Roman"/>
              </w:rPr>
              <w:t>100</w:t>
            </w:r>
          </w:p>
        </w:tc>
        <w:tc>
          <w:tcPr>
            <w:tcW w:w="0" w:type="auto"/>
          </w:tcPr>
          <w:p w:rsidR="00AE0C79" w:rsidRDefault="00A61E00" w:rsidP="00FA7B84">
            <w:pPr>
              <w:spacing w:line="276" w:lineRule="auto"/>
              <w:rPr>
                <w:rFonts w:cs="Times New Roman"/>
                <w:color w:val="000000"/>
              </w:rPr>
            </w:pPr>
            <w:r>
              <w:rPr>
                <w:rFonts w:cs="Times New Roman"/>
                <w:color w:val="000000"/>
              </w:rPr>
              <w:t>125,82</w:t>
            </w:r>
          </w:p>
        </w:tc>
        <w:tc>
          <w:tcPr>
            <w:tcW w:w="0" w:type="auto"/>
          </w:tcPr>
          <w:p w:rsidR="00AE0C79" w:rsidRDefault="00A61E00" w:rsidP="00FA7B84">
            <w:pPr>
              <w:spacing w:line="276" w:lineRule="auto"/>
              <w:rPr>
                <w:rFonts w:cs="Times New Roman"/>
                <w:color w:val="000000"/>
              </w:rPr>
            </w:pPr>
            <w:r>
              <w:rPr>
                <w:rFonts w:cs="Times New Roman"/>
                <w:color w:val="000000"/>
              </w:rPr>
              <w:t>120,59</w:t>
            </w:r>
          </w:p>
        </w:tc>
        <w:tc>
          <w:tcPr>
            <w:tcW w:w="0" w:type="auto"/>
          </w:tcPr>
          <w:p w:rsidR="00AE0C79" w:rsidRDefault="00A61E00" w:rsidP="00FA7B84">
            <w:pPr>
              <w:spacing w:line="276" w:lineRule="auto"/>
              <w:rPr>
                <w:rFonts w:cs="Times New Roman"/>
                <w:color w:val="000000"/>
              </w:rPr>
            </w:pPr>
            <w:r>
              <w:rPr>
                <w:rFonts w:cs="Times New Roman"/>
                <w:color w:val="000000"/>
              </w:rPr>
              <w:t>143,66</w:t>
            </w:r>
          </w:p>
        </w:tc>
        <w:tc>
          <w:tcPr>
            <w:tcW w:w="0" w:type="auto"/>
          </w:tcPr>
          <w:p w:rsidR="00AE0C79" w:rsidRDefault="00A61E00" w:rsidP="00FA7B84">
            <w:pPr>
              <w:spacing w:line="276" w:lineRule="auto"/>
              <w:rPr>
                <w:rFonts w:cs="Times New Roman"/>
                <w:color w:val="000000"/>
              </w:rPr>
            </w:pPr>
            <w:r>
              <w:rPr>
                <w:rFonts w:cs="Times New Roman"/>
                <w:color w:val="000000"/>
              </w:rPr>
              <w:t>184,10</w:t>
            </w:r>
          </w:p>
        </w:tc>
        <w:tc>
          <w:tcPr>
            <w:tcW w:w="0" w:type="auto"/>
          </w:tcPr>
          <w:p w:rsidR="00AE0C79" w:rsidRDefault="00A61E00" w:rsidP="00FA7B84">
            <w:pPr>
              <w:spacing w:line="276" w:lineRule="auto"/>
              <w:rPr>
                <w:rFonts w:cs="Times New Roman"/>
                <w:color w:val="000000"/>
              </w:rPr>
            </w:pPr>
            <w:r>
              <w:rPr>
                <w:rFonts w:cs="Times New Roman"/>
                <w:color w:val="000000"/>
              </w:rPr>
              <w:t>184,52</w:t>
            </w:r>
          </w:p>
        </w:tc>
        <w:tc>
          <w:tcPr>
            <w:tcW w:w="0" w:type="auto"/>
          </w:tcPr>
          <w:p w:rsidR="00AE0C79" w:rsidRDefault="00A61E00" w:rsidP="00FA7B84">
            <w:pPr>
              <w:spacing w:line="276" w:lineRule="auto"/>
              <w:rPr>
                <w:rFonts w:cs="Times New Roman"/>
                <w:color w:val="000000"/>
              </w:rPr>
            </w:pPr>
            <w:r>
              <w:rPr>
                <w:rFonts w:cs="Times New Roman"/>
                <w:color w:val="000000"/>
              </w:rPr>
              <w:t>202,62</w:t>
            </w:r>
          </w:p>
        </w:tc>
        <w:tc>
          <w:tcPr>
            <w:tcW w:w="0" w:type="auto"/>
          </w:tcPr>
          <w:p w:rsidR="00AE0C79" w:rsidRDefault="00A61E00" w:rsidP="00FA7B84">
            <w:pPr>
              <w:spacing w:line="276" w:lineRule="auto"/>
              <w:rPr>
                <w:rFonts w:cs="Times New Roman"/>
                <w:color w:val="000000"/>
              </w:rPr>
            </w:pPr>
            <w:r>
              <w:rPr>
                <w:rFonts w:cs="Times New Roman"/>
                <w:color w:val="000000"/>
              </w:rPr>
              <w:t>203,99</w:t>
            </w:r>
          </w:p>
        </w:tc>
      </w:tr>
      <w:tr w:rsidR="00AE0C79">
        <w:tc>
          <w:tcPr>
            <w:tcW w:w="0" w:type="auto"/>
          </w:tcPr>
          <w:p w:rsidR="00AE0C79" w:rsidRDefault="00A61E00" w:rsidP="00FA7B84">
            <w:pPr>
              <w:spacing w:line="276" w:lineRule="auto"/>
              <w:rPr>
                <w:rFonts w:cs="Times New Roman"/>
              </w:rPr>
            </w:pPr>
            <w:r>
              <w:rPr>
                <w:rFonts w:cs="Times New Roman"/>
              </w:rPr>
              <w:t>Náklady na prodané zboží</w:t>
            </w:r>
          </w:p>
        </w:tc>
        <w:tc>
          <w:tcPr>
            <w:tcW w:w="0" w:type="auto"/>
          </w:tcPr>
          <w:p w:rsidR="00AE0C79" w:rsidRDefault="00A61E00" w:rsidP="00FA7B84">
            <w:pPr>
              <w:spacing w:line="276" w:lineRule="auto"/>
              <w:rPr>
                <w:rFonts w:cs="Times New Roman"/>
                <w:color w:val="000000"/>
              </w:rPr>
            </w:pPr>
            <w:r>
              <w:rPr>
                <w:rFonts w:cs="Times New Roman"/>
                <w:color w:val="000000"/>
              </w:rPr>
              <w:t>100,00</w:t>
            </w:r>
          </w:p>
        </w:tc>
        <w:tc>
          <w:tcPr>
            <w:tcW w:w="0" w:type="auto"/>
          </w:tcPr>
          <w:p w:rsidR="00AE0C79" w:rsidRDefault="00A61E00" w:rsidP="00FA7B84">
            <w:pPr>
              <w:spacing w:line="276" w:lineRule="auto"/>
              <w:rPr>
                <w:rFonts w:cs="Times New Roman"/>
                <w:color w:val="000000"/>
              </w:rPr>
            </w:pPr>
            <w:r>
              <w:rPr>
                <w:rFonts w:cs="Times New Roman"/>
                <w:color w:val="000000"/>
              </w:rPr>
              <w:t>123,13</w:t>
            </w:r>
          </w:p>
        </w:tc>
        <w:tc>
          <w:tcPr>
            <w:tcW w:w="0" w:type="auto"/>
          </w:tcPr>
          <w:p w:rsidR="00AE0C79" w:rsidRDefault="00A61E00" w:rsidP="00FA7B84">
            <w:pPr>
              <w:spacing w:line="276" w:lineRule="auto"/>
              <w:rPr>
                <w:rFonts w:cs="Times New Roman"/>
                <w:color w:val="000000"/>
              </w:rPr>
            </w:pPr>
            <w:r>
              <w:rPr>
                <w:rFonts w:cs="Times New Roman"/>
                <w:color w:val="000000"/>
              </w:rPr>
              <w:t>115,82</w:t>
            </w:r>
          </w:p>
        </w:tc>
        <w:tc>
          <w:tcPr>
            <w:tcW w:w="0" w:type="auto"/>
          </w:tcPr>
          <w:p w:rsidR="00AE0C79" w:rsidRDefault="00A61E00" w:rsidP="00FA7B84">
            <w:pPr>
              <w:spacing w:line="276" w:lineRule="auto"/>
              <w:rPr>
                <w:rFonts w:cs="Times New Roman"/>
                <w:color w:val="000000"/>
              </w:rPr>
            </w:pPr>
            <w:r>
              <w:rPr>
                <w:rFonts w:cs="Times New Roman"/>
                <w:color w:val="000000"/>
              </w:rPr>
              <w:t>132,04</w:t>
            </w:r>
          </w:p>
        </w:tc>
        <w:tc>
          <w:tcPr>
            <w:tcW w:w="0" w:type="auto"/>
          </w:tcPr>
          <w:p w:rsidR="00AE0C79" w:rsidRDefault="00A61E00" w:rsidP="00FA7B84">
            <w:pPr>
              <w:spacing w:line="276" w:lineRule="auto"/>
              <w:rPr>
                <w:rFonts w:cs="Times New Roman"/>
                <w:color w:val="000000"/>
              </w:rPr>
            </w:pPr>
            <w:r>
              <w:rPr>
                <w:rFonts w:cs="Times New Roman"/>
                <w:color w:val="000000"/>
              </w:rPr>
              <w:t>167,12</w:t>
            </w:r>
          </w:p>
        </w:tc>
        <w:tc>
          <w:tcPr>
            <w:tcW w:w="0" w:type="auto"/>
          </w:tcPr>
          <w:p w:rsidR="00AE0C79" w:rsidRDefault="00A61E00" w:rsidP="00FA7B84">
            <w:pPr>
              <w:spacing w:line="276" w:lineRule="auto"/>
              <w:rPr>
                <w:rFonts w:cs="Times New Roman"/>
                <w:color w:val="000000"/>
              </w:rPr>
            </w:pPr>
            <w:r>
              <w:rPr>
                <w:rFonts w:cs="Times New Roman"/>
                <w:color w:val="000000"/>
              </w:rPr>
              <w:t>162,82</w:t>
            </w:r>
          </w:p>
        </w:tc>
        <w:tc>
          <w:tcPr>
            <w:tcW w:w="0" w:type="auto"/>
          </w:tcPr>
          <w:p w:rsidR="00AE0C79" w:rsidRDefault="00A61E00" w:rsidP="00FA7B84">
            <w:pPr>
              <w:spacing w:line="276" w:lineRule="auto"/>
              <w:rPr>
                <w:rFonts w:cs="Times New Roman"/>
                <w:color w:val="000000"/>
              </w:rPr>
            </w:pPr>
            <w:r>
              <w:rPr>
                <w:rFonts w:cs="Times New Roman"/>
                <w:color w:val="000000"/>
              </w:rPr>
              <w:t>185,79</w:t>
            </w:r>
          </w:p>
        </w:tc>
        <w:tc>
          <w:tcPr>
            <w:tcW w:w="0" w:type="auto"/>
          </w:tcPr>
          <w:p w:rsidR="00AE0C79" w:rsidRDefault="00A61E00" w:rsidP="00FA7B84">
            <w:pPr>
              <w:spacing w:line="276" w:lineRule="auto"/>
              <w:rPr>
                <w:rFonts w:cs="Times New Roman"/>
                <w:color w:val="000000"/>
              </w:rPr>
            </w:pPr>
            <w:r>
              <w:rPr>
                <w:rFonts w:cs="Times New Roman"/>
                <w:color w:val="000000"/>
              </w:rPr>
              <w:t>185,46</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Obchodní marže</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100,00</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133,46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134,15</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176,63</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232,25</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246,06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250,36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256,55</w:t>
            </w:r>
          </w:p>
        </w:tc>
      </w:tr>
      <w:tr w:rsidR="00AE0C79">
        <w:tc>
          <w:tcPr>
            <w:tcW w:w="0" w:type="auto"/>
          </w:tcPr>
          <w:p w:rsidR="00AE0C79" w:rsidRDefault="00A61E00" w:rsidP="00FA7B84">
            <w:pPr>
              <w:spacing w:line="276" w:lineRule="auto"/>
              <w:rPr>
                <w:rFonts w:cs="Times New Roman"/>
              </w:rPr>
            </w:pPr>
            <w:r>
              <w:rPr>
                <w:rFonts w:cs="Times New Roman"/>
              </w:rPr>
              <w:t>Výkony</w:t>
            </w:r>
          </w:p>
        </w:tc>
        <w:tc>
          <w:tcPr>
            <w:tcW w:w="0" w:type="auto"/>
          </w:tcPr>
          <w:p w:rsidR="00AE0C79" w:rsidRDefault="00A61E00" w:rsidP="00FA7B84">
            <w:pPr>
              <w:spacing w:line="276" w:lineRule="auto"/>
              <w:rPr>
                <w:rFonts w:cs="Times New Roman"/>
                <w:color w:val="000000"/>
              </w:rPr>
            </w:pPr>
            <w:r>
              <w:rPr>
                <w:rFonts w:cs="Times New Roman"/>
                <w:color w:val="000000"/>
              </w:rPr>
              <w:t>100,00</w:t>
            </w:r>
          </w:p>
        </w:tc>
        <w:tc>
          <w:tcPr>
            <w:tcW w:w="0" w:type="auto"/>
          </w:tcPr>
          <w:p w:rsidR="00AE0C79" w:rsidRDefault="00A61E00" w:rsidP="00FA7B84">
            <w:pPr>
              <w:spacing w:line="276" w:lineRule="auto"/>
              <w:rPr>
                <w:rFonts w:cs="Times New Roman"/>
                <w:color w:val="000000"/>
              </w:rPr>
            </w:pPr>
            <w:r>
              <w:rPr>
                <w:rFonts w:cs="Times New Roman"/>
                <w:color w:val="000000"/>
              </w:rPr>
              <w:t>163,23</w:t>
            </w:r>
          </w:p>
        </w:tc>
        <w:tc>
          <w:tcPr>
            <w:tcW w:w="0" w:type="auto"/>
          </w:tcPr>
          <w:p w:rsidR="00AE0C79" w:rsidRDefault="00A61E00" w:rsidP="00FA7B84">
            <w:pPr>
              <w:spacing w:line="276" w:lineRule="auto"/>
              <w:rPr>
                <w:rFonts w:cs="Times New Roman"/>
                <w:color w:val="000000"/>
              </w:rPr>
            </w:pPr>
            <w:r>
              <w:rPr>
                <w:rFonts w:cs="Times New Roman"/>
                <w:color w:val="000000"/>
              </w:rPr>
              <w:t>119,12</w:t>
            </w:r>
          </w:p>
        </w:tc>
        <w:tc>
          <w:tcPr>
            <w:tcW w:w="0" w:type="auto"/>
          </w:tcPr>
          <w:p w:rsidR="00AE0C79" w:rsidRDefault="00A61E00" w:rsidP="00FA7B84">
            <w:pPr>
              <w:spacing w:line="276" w:lineRule="auto"/>
              <w:rPr>
                <w:rFonts w:cs="Times New Roman"/>
                <w:color w:val="000000"/>
              </w:rPr>
            </w:pPr>
            <w:r>
              <w:rPr>
                <w:rFonts w:cs="Times New Roman"/>
                <w:color w:val="000000"/>
              </w:rPr>
              <w:t>117,07</w:t>
            </w:r>
          </w:p>
        </w:tc>
        <w:tc>
          <w:tcPr>
            <w:tcW w:w="0" w:type="auto"/>
          </w:tcPr>
          <w:p w:rsidR="00AE0C79" w:rsidRDefault="00A61E00" w:rsidP="00FA7B84">
            <w:pPr>
              <w:spacing w:line="276" w:lineRule="auto"/>
              <w:rPr>
                <w:rFonts w:cs="Times New Roman"/>
                <w:color w:val="000000"/>
              </w:rPr>
            </w:pPr>
            <w:r>
              <w:rPr>
                <w:rFonts w:cs="Times New Roman"/>
                <w:color w:val="000000"/>
              </w:rPr>
              <w:t>98,59</w:t>
            </w:r>
          </w:p>
        </w:tc>
        <w:tc>
          <w:tcPr>
            <w:tcW w:w="0" w:type="auto"/>
          </w:tcPr>
          <w:p w:rsidR="00AE0C79" w:rsidRDefault="00A61E00" w:rsidP="00FA7B84">
            <w:pPr>
              <w:spacing w:line="276" w:lineRule="auto"/>
              <w:rPr>
                <w:rFonts w:cs="Times New Roman"/>
                <w:color w:val="000000"/>
              </w:rPr>
            </w:pPr>
            <w:r>
              <w:rPr>
                <w:rFonts w:cs="Times New Roman"/>
                <w:color w:val="000000"/>
              </w:rPr>
              <w:t>99,17</w:t>
            </w:r>
          </w:p>
        </w:tc>
        <w:tc>
          <w:tcPr>
            <w:tcW w:w="0" w:type="auto"/>
          </w:tcPr>
          <w:p w:rsidR="00AE0C79" w:rsidRDefault="00A61E00" w:rsidP="00FA7B84">
            <w:pPr>
              <w:spacing w:line="276" w:lineRule="auto"/>
              <w:rPr>
                <w:rFonts w:cs="Times New Roman"/>
                <w:color w:val="000000"/>
              </w:rPr>
            </w:pPr>
            <w:r>
              <w:rPr>
                <w:rFonts w:cs="Times New Roman"/>
                <w:color w:val="000000"/>
              </w:rPr>
              <w:t>161,63</w:t>
            </w:r>
          </w:p>
        </w:tc>
        <w:tc>
          <w:tcPr>
            <w:tcW w:w="0" w:type="auto"/>
          </w:tcPr>
          <w:p w:rsidR="00AE0C79" w:rsidRDefault="00A61E00" w:rsidP="00FA7B84">
            <w:pPr>
              <w:spacing w:line="276" w:lineRule="auto"/>
              <w:rPr>
                <w:rFonts w:cs="Times New Roman"/>
                <w:color w:val="000000"/>
              </w:rPr>
            </w:pPr>
            <w:r>
              <w:rPr>
                <w:rFonts w:cs="Times New Roman"/>
                <w:color w:val="000000"/>
              </w:rPr>
              <w:t>167,64</w:t>
            </w:r>
          </w:p>
        </w:tc>
      </w:tr>
      <w:tr w:rsidR="00AE0C79">
        <w:tc>
          <w:tcPr>
            <w:tcW w:w="0" w:type="auto"/>
          </w:tcPr>
          <w:p w:rsidR="00AE0C79" w:rsidRDefault="00A61E00" w:rsidP="00FA7B84">
            <w:pPr>
              <w:spacing w:line="276" w:lineRule="auto"/>
              <w:rPr>
                <w:rFonts w:cs="Times New Roman"/>
              </w:rPr>
            </w:pPr>
            <w:r>
              <w:rPr>
                <w:rFonts w:cs="Times New Roman"/>
              </w:rPr>
              <w:t>Výkonová spotřeba</w:t>
            </w:r>
          </w:p>
        </w:tc>
        <w:tc>
          <w:tcPr>
            <w:tcW w:w="0" w:type="auto"/>
          </w:tcPr>
          <w:p w:rsidR="00AE0C79" w:rsidRDefault="00A61E00" w:rsidP="00FA7B84">
            <w:pPr>
              <w:spacing w:line="276" w:lineRule="auto"/>
              <w:rPr>
                <w:rFonts w:cs="Times New Roman"/>
                <w:color w:val="000000"/>
              </w:rPr>
            </w:pPr>
            <w:r>
              <w:rPr>
                <w:rFonts w:cs="Times New Roman"/>
                <w:color w:val="000000"/>
              </w:rPr>
              <w:t>100,00</w:t>
            </w:r>
          </w:p>
        </w:tc>
        <w:tc>
          <w:tcPr>
            <w:tcW w:w="0" w:type="auto"/>
          </w:tcPr>
          <w:p w:rsidR="00AE0C79" w:rsidRDefault="00A61E00" w:rsidP="00FA7B84">
            <w:pPr>
              <w:spacing w:line="276" w:lineRule="auto"/>
              <w:rPr>
                <w:rFonts w:cs="Times New Roman"/>
                <w:color w:val="000000"/>
              </w:rPr>
            </w:pPr>
            <w:r>
              <w:rPr>
                <w:rFonts w:cs="Times New Roman"/>
                <w:color w:val="000000"/>
              </w:rPr>
              <w:t>123,49</w:t>
            </w:r>
          </w:p>
        </w:tc>
        <w:tc>
          <w:tcPr>
            <w:tcW w:w="0" w:type="auto"/>
          </w:tcPr>
          <w:p w:rsidR="00AE0C79" w:rsidRDefault="00A61E00" w:rsidP="00FA7B84">
            <w:pPr>
              <w:spacing w:line="276" w:lineRule="auto"/>
              <w:rPr>
                <w:rFonts w:cs="Times New Roman"/>
                <w:color w:val="000000"/>
              </w:rPr>
            </w:pPr>
            <w:r>
              <w:rPr>
                <w:rFonts w:cs="Times New Roman"/>
                <w:color w:val="000000"/>
              </w:rPr>
              <w:t>123,98</w:t>
            </w:r>
          </w:p>
        </w:tc>
        <w:tc>
          <w:tcPr>
            <w:tcW w:w="0" w:type="auto"/>
          </w:tcPr>
          <w:p w:rsidR="00AE0C79" w:rsidRDefault="00A61E00" w:rsidP="00FA7B84">
            <w:pPr>
              <w:spacing w:line="276" w:lineRule="auto"/>
              <w:rPr>
                <w:rFonts w:cs="Times New Roman"/>
                <w:color w:val="000000"/>
              </w:rPr>
            </w:pPr>
            <w:r>
              <w:rPr>
                <w:rFonts w:cs="Times New Roman"/>
                <w:color w:val="000000"/>
              </w:rPr>
              <w:t>126,91</w:t>
            </w:r>
          </w:p>
        </w:tc>
        <w:tc>
          <w:tcPr>
            <w:tcW w:w="0" w:type="auto"/>
          </w:tcPr>
          <w:p w:rsidR="00AE0C79" w:rsidRDefault="00A61E00" w:rsidP="00FA7B84">
            <w:pPr>
              <w:spacing w:line="276" w:lineRule="auto"/>
              <w:rPr>
                <w:rFonts w:cs="Times New Roman"/>
                <w:color w:val="000000"/>
              </w:rPr>
            </w:pPr>
            <w:r>
              <w:rPr>
                <w:rFonts w:cs="Times New Roman"/>
                <w:color w:val="000000"/>
              </w:rPr>
              <w:t>168,56</w:t>
            </w:r>
          </w:p>
        </w:tc>
        <w:tc>
          <w:tcPr>
            <w:tcW w:w="0" w:type="auto"/>
          </w:tcPr>
          <w:p w:rsidR="00AE0C79" w:rsidRDefault="00A61E00" w:rsidP="00FA7B84">
            <w:pPr>
              <w:spacing w:line="276" w:lineRule="auto"/>
              <w:rPr>
                <w:rFonts w:cs="Times New Roman"/>
                <w:color w:val="000000"/>
              </w:rPr>
            </w:pPr>
            <w:r>
              <w:rPr>
                <w:rFonts w:cs="Times New Roman"/>
                <w:color w:val="000000"/>
              </w:rPr>
              <w:t>149,84</w:t>
            </w:r>
          </w:p>
        </w:tc>
        <w:tc>
          <w:tcPr>
            <w:tcW w:w="0" w:type="auto"/>
          </w:tcPr>
          <w:p w:rsidR="00AE0C79" w:rsidRDefault="00A61E00" w:rsidP="00FA7B84">
            <w:pPr>
              <w:spacing w:line="276" w:lineRule="auto"/>
              <w:rPr>
                <w:rFonts w:cs="Times New Roman"/>
                <w:color w:val="000000"/>
              </w:rPr>
            </w:pPr>
            <w:r>
              <w:rPr>
                <w:rFonts w:cs="Times New Roman"/>
                <w:color w:val="000000"/>
              </w:rPr>
              <w:t>174,27</w:t>
            </w:r>
          </w:p>
        </w:tc>
        <w:tc>
          <w:tcPr>
            <w:tcW w:w="0" w:type="auto"/>
          </w:tcPr>
          <w:p w:rsidR="00AE0C79" w:rsidRDefault="00A61E00" w:rsidP="00FA7B84">
            <w:pPr>
              <w:spacing w:line="276" w:lineRule="auto"/>
              <w:rPr>
                <w:rFonts w:cs="Times New Roman"/>
                <w:color w:val="000000"/>
              </w:rPr>
            </w:pPr>
            <w:r>
              <w:rPr>
                <w:rFonts w:cs="Times New Roman"/>
                <w:color w:val="000000"/>
              </w:rPr>
              <w:t>182,01</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Přidaná hodnota</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100,00</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176,49</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155,43</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287,59</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345,79</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445,04</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421,38</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423,10</w:t>
            </w:r>
          </w:p>
        </w:tc>
      </w:tr>
      <w:tr w:rsidR="00AE0C79">
        <w:tc>
          <w:tcPr>
            <w:tcW w:w="0" w:type="auto"/>
          </w:tcPr>
          <w:p w:rsidR="00AE0C79" w:rsidRDefault="00A61E00" w:rsidP="00FA7B84">
            <w:pPr>
              <w:spacing w:line="276" w:lineRule="auto"/>
              <w:rPr>
                <w:rFonts w:cs="Times New Roman"/>
              </w:rPr>
            </w:pPr>
            <w:r>
              <w:rPr>
                <w:rFonts w:cs="Times New Roman"/>
              </w:rPr>
              <w:t>Osobní náklady</w:t>
            </w:r>
          </w:p>
        </w:tc>
        <w:tc>
          <w:tcPr>
            <w:tcW w:w="0" w:type="auto"/>
          </w:tcPr>
          <w:p w:rsidR="00AE0C79" w:rsidRDefault="00A61E00" w:rsidP="00FA7B84">
            <w:pPr>
              <w:spacing w:line="276" w:lineRule="auto"/>
              <w:rPr>
                <w:rFonts w:cs="Times New Roman"/>
                <w:color w:val="000000"/>
              </w:rPr>
            </w:pPr>
            <w:r>
              <w:rPr>
                <w:rFonts w:cs="Times New Roman"/>
                <w:color w:val="000000"/>
              </w:rPr>
              <w:t>100,00</w:t>
            </w:r>
          </w:p>
        </w:tc>
        <w:tc>
          <w:tcPr>
            <w:tcW w:w="0" w:type="auto"/>
          </w:tcPr>
          <w:p w:rsidR="00AE0C79" w:rsidRDefault="00A61E00" w:rsidP="00FA7B84">
            <w:pPr>
              <w:spacing w:line="276" w:lineRule="auto"/>
              <w:rPr>
                <w:rFonts w:cs="Times New Roman"/>
                <w:color w:val="000000"/>
              </w:rPr>
            </w:pPr>
            <w:r>
              <w:rPr>
                <w:rFonts w:cs="Times New Roman"/>
                <w:color w:val="000000"/>
              </w:rPr>
              <w:t>142,11</w:t>
            </w:r>
          </w:p>
        </w:tc>
        <w:tc>
          <w:tcPr>
            <w:tcW w:w="0" w:type="auto"/>
          </w:tcPr>
          <w:p w:rsidR="00AE0C79" w:rsidRDefault="00A61E00" w:rsidP="00FA7B84">
            <w:pPr>
              <w:spacing w:line="276" w:lineRule="auto"/>
              <w:rPr>
                <w:rFonts w:cs="Times New Roman"/>
                <w:color w:val="000000"/>
              </w:rPr>
            </w:pPr>
            <w:r>
              <w:rPr>
                <w:rFonts w:cs="Times New Roman"/>
                <w:color w:val="000000"/>
              </w:rPr>
              <w:t>168,24</w:t>
            </w:r>
          </w:p>
        </w:tc>
        <w:tc>
          <w:tcPr>
            <w:tcW w:w="0" w:type="auto"/>
          </w:tcPr>
          <w:p w:rsidR="00AE0C79" w:rsidRDefault="00A61E00" w:rsidP="00FA7B84">
            <w:pPr>
              <w:spacing w:line="276" w:lineRule="auto"/>
              <w:rPr>
                <w:rFonts w:cs="Times New Roman"/>
                <w:color w:val="000000"/>
              </w:rPr>
            </w:pPr>
            <w:r>
              <w:rPr>
                <w:rFonts w:cs="Times New Roman"/>
                <w:color w:val="000000"/>
              </w:rPr>
              <w:t>178,50</w:t>
            </w:r>
          </w:p>
        </w:tc>
        <w:tc>
          <w:tcPr>
            <w:tcW w:w="0" w:type="auto"/>
          </w:tcPr>
          <w:p w:rsidR="00AE0C79" w:rsidRDefault="00A61E00" w:rsidP="00FA7B84">
            <w:pPr>
              <w:spacing w:line="276" w:lineRule="auto"/>
              <w:rPr>
                <w:rFonts w:cs="Times New Roman"/>
                <w:color w:val="000000"/>
              </w:rPr>
            </w:pPr>
            <w:r>
              <w:rPr>
                <w:rFonts w:cs="Times New Roman"/>
                <w:color w:val="000000"/>
              </w:rPr>
              <w:t>215,36</w:t>
            </w:r>
          </w:p>
        </w:tc>
        <w:tc>
          <w:tcPr>
            <w:tcW w:w="0" w:type="auto"/>
          </w:tcPr>
          <w:p w:rsidR="00AE0C79" w:rsidRDefault="00A61E00" w:rsidP="00FA7B84">
            <w:pPr>
              <w:spacing w:line="276" w:lineRule="auto"/>
              <w:rPr>
                <w:rFonts w:cs="Times New Roman"/>
                <w:color w:val="000000"/>
              </w:rPr>
            </w:pPr>
            <w:r>
              <w:rPr>
                <w:rFonts w:cs="Times New Roman"/>
                <w:color w:val="000000"/>
              </w:rPr>
              <w:t>335,96</w:t>
            </w:r>
          </w:p>
        </w:tc>
        <w:tc>
          <w:tcPr>
            <w:tcW w:w="0" w:type="auto"/>
          </w:tcPr>
          <w:p w:rsidR="00AE0C79" w:rsidRDefault="00A61E00" w:rsidP="00FA7B84">
            <w:pPr>
              <w:spacing w:line="276" w:lineRule="auto"/>
              <w:rPr>
                <w:rFonts w:cs="Times New Roman"/>
                <w:color w:val="000000"/>
              </w:rPr>
            </w:pPr>
            <w:r>
              <w:rPr>
                <w:rFonts w:cs="Times New Roman"/>
                <w:color w:val="000000"/>
              </w:rPr>
              <w:t>356,21</w:t>
            </w:r>
          </w:p>
        </w:tc>
        <w:tc>
          <w:tcPr>
            <w:tcW w:w="0" w:type="auto"/>
          </w:tcPr>
          <w:p w:rsidR="00AE0C79" w:rsidRDefault="00A61E00" w:rsidP="00FA7B84">
            <w:pPr>
              <w:spacing w:line="276" w:lineRule="auto"/>
              <w:rPr>
                <w:rFonts w:cs="Times New Roman"/>
                <w:color w:val="000000"/>
              </w:rPr>
            </w:pPr>
            <w:r>
              <w:rPr>
                <w:rFonts w:cs="Times New Roman"/>
                <w:color w:val="000000"/>
              </w:rPr>
              <w:t>333,50</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Provozní VH</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100,00</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442,30</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-550,96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1029,86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1080,42</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638,36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600,96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1419,66</w:t>
            </w:r>
          </w:p>
        </w:tc>
      </w:tr>
      <w:tr w:rsidR="00AE0C79">
        <w:tc>
          <w:tcPr>
            <w:tcW w:w="0" w:type="auto"/>
          </w:tcPr>
          <w:p w:rsidR="00AE0C79" w:rsidRDefault="00A61E00" w:rsidP="00FA7B84">
            <w:pPr>
              <w:spacing w:line="276" w:lineRule="auto"/>
              <w:rPr>
                <w:rFonts w:cs="Times New Roman"/>
              </w:rPr>
            </w:pPr>
            <w:r>
              <w:rPr>
                <w:rFonts w:cs="Times New Roman"/>
              </w:rPr>
              <w:t>Nákladové úroky</w:t>
            </w:r>
          </w:p>
        </w:tc>
        <w:tc>
          <w:tcPr>
            <w:tcW w:w="0" w:type="auto"/>
          </w:tcPr>
          <w:p w:rsidR="00AE0C79" w:rsidRDefault="00A61E00" w:rsidP="00FA7B84">
            <w:pPr>
              <w:spacing w:line="276" w:lineRule="auto"/>
              <w:rPr>
                <w:rFonts w:cs="Times New Roman"/>
                <w:color w:val="000000"/>
              </w:rPr>
            </w:pPr>
            <w:r>
              <w:rPr>
                <w:rFonts w:cs="Times New Roman"/>
                <w:color w:val="000000"/>
              </w:rPr>
              <w:t>100,00</w:t>
            </w:r>
          </w:p>
        </w:tc>
        <w:tc>
          <w:tcPr>
            <w:tcW w:w="0" w:type="auto"/>
          </w:tcPr>
          <w:p w:rsidR="00AE0C79" w:rsidRDefault="00A61E00" w:rsidP="00FA7B84">
            <w:pPr>
              <w:spacing w:line="276" w:lineRule="auto"/>
              <w:rPr>
                <w:rFonts w:cs="Times New Roman"/>
                <w:color w:val="000000"/>
              </w:rPr>
            </w:pPr>
            <w:r>
              <w:rPr>
                <w:rFonts w:cs="Times New Roman"/>
                <w:color w:val="000000"/>
              </w:rPr>
              <w:t>262,81</w:t>
            </w:r>
          </w:p>
        </w:tc>
        <w:tc>
          <w:tcPr>
            <w:tcW w:w="0" w:type="auto"/>
          </w:tcPr>
          <w:p w:rsidR="00AE0C79" w:rsidRDefault="00A61E00" w:rsidP="00FA7B84">
            <w:pPr>
              <w:spacing w:line="276" w:lineRule="auto"/>
              <w:rPr>
                <w:rFonts w:cs="Times New Roman"/>
                <w:color w:val="000000"/>
              </w:rPr>
            </w:pPr>
            <w:r>
              <w:rPr>
                <w:rFonts w:cs="Times New Roman"/>
                <w:color w:val="000000"/>
              </w:rPr>
              <w:t>655,37</w:t>
            </w:r>
          </w:p>
        </w:tc>
        <w:tc>
          <w:tcPr>
            <w:tcW w:w="0" w:type="auto"/>
          </w:tcPr>
          <w:p w:rsidR="00AE0C79" w:rsidRDefault="00A61E00" w:rsidP="00FA7B84">
            <w:pPr>
              <w:spacing w:line="276" w:lineRule="auto"/>
              <w:rPr>
                <w:rFonts w:cs="Times New Roman"/>
                <w:color w:val="000000"/>
              </w:rPr>
            </w:pPr>
            <w:r>
              <w:rPr>
                <w:rFonts w:cs="Times New Roman"/>
                <w:color w:val="000000"/>
              </w:rPr>
              <w:t>1806,61</w:t>
            </w:r>
          </w:p>
        </w:tc>
        <w:tc>
          <w:tcPr>
            <w:tcW w:w="0" w:type="auto"/>
          </w:tcPr>
          <w:p w:rsidR="00AE0C79" w:rsidRDefault="00A61E00" w:rsidP="00FA7B84">
            <w:pPr>
              <w:spacing w:line="276" w:lineRule="auto"/>
              <w:rPr>
                <w:rFonts w:cs="Times New Roman"/>
                <w:color w:val="000000"/>
              </w:rPr>
            </w:pPr>
            <w:r>
              <w:rPr>
                <w:rFonts w:cs="Times New Roman"/>
                <w:color w:val="000000"/>
              </w:rPr>
              <w:t>1757,85</w:t>
            </w:r>
          </w:p>
        </w:tc>
        <w:tc>
          <w:tcPr>
            <w:tcW w:w="0" w:type="auto"/>
          </w:tcPr>
          <w:p w:rsidR="00AE0C79" w:rsidRDefault="00A61E00" w:rsidP="00FA7B84">
            <w:pPr>
              <w:spacing w:line="276" w:lineRule="auto"/>
              <w:rPr>
                <w:rFonts w:cs="Times New Roman"/>
                <w:color w:val="000000"/>
              </w:rPr>
            </w:pPr>
            <w:r>
              <w:rPr>
                <w:rFonts w:cs="Times New Roman"/>
                <w:color w:val="000000"/>
              </w:rPr>
              <w:t>2501,65</w:t>
            </w:r>
          </w:p>
        </w:tc>
        <w:tc>
          <w:tcPr>
            <w:tcW w:w="0" w:type="auto"/>
          </w:tcPr>
          <w:p w:rsidR="00AE0C79" w:rsidRDefault="00A61E00" w:rsidP="00FA7B84">
            <w:pPr>
              <w:spacing w:line="276" w:lineRule="auto"/>
              <w:rPr>
                <w:rFonts w:cs="Times New Roman"/>
                <w:color w:val="000000"/>
              </w:rPr>
            </w:pPr>
            <w:r>
              <w:rPr>
                <w:rFonts w:cs="Times New Roman"/>
                <w:color w:val="000000"/>
              </w:rPr>
              <w:t>2429,75</w:t>
            </w:r>
          </w:p>
        </w:tc>
        <w:tc>
          <w:tcPr>
            <w:tcW w:w="0" w:type="auto"/>
          </w:tcPr>
          <w:p w:rsidR="00AE0C79" w:rsidRDefault="00A61E00" w:rsidP="00FA7B84">
            <w:pPr>
              <w:spacing w:line="276" w:lineRule="auto"/>
              <w:rPr>
                <w:rFonts w:cs="Times New Roman"/>
                <w:color w:val="000000"/>
              </w:rPr>
            </w:pPr>
            <w:r>
              <w:rPr>
                <w:rFonts w:cs="Times New Roman"/>
                <w:color w:val="000000"/>
              </w:rPr>
              <w:t>2365,29</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Finanční VH</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100,00</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41,89</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1,97</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111,34</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135,91</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780,00</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261,97</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203,54</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VH za účetní období</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100,00</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239,87</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-1278,32</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1332,44</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1350,63</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-1431,96</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509,65</w:t>
            </w:r>
          </w:p>
        </w:tc>
        <w:tc>
          <w:tcPr>
            <w:tcW w:w="0" w:type="auto"/>
            <w:shd w:val="clear" w:color="auto" w:fill="C6D9F1" w:themeFill="text2" w:themeFillTint="33"/>
          </w:tcPr>
          <w:p w:rsidR="00AE0C79" w:rsidRDefault="00A61E00" w:rsidP="00FA7B84">
            <w:pPr>
              <w:spacing w:line="276" w:lineRule="auto"/>
              <w:rPr>
                <w:rFonts w:cs="Times New Roman"/>
                <w:b/>
                <w:color w:val="000000"/>
              </w:rPr>
            </w:pPr>
            <w:r>
              <w:rPr>
                <w:rFonts w:cs="Times New Roman"/>
                <w:b/>
                <w:color w:val="000000"/>
              </w:rPr>
              <w:t>1879,75</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lastRenderedPageBreak/>
        <w:t xml:space="preserve">Náklady na prodané zboží kopírují vývoj tržeb s jedinou výjimkou, kdy v roce 2010 tržby mírně vzrostly, zatímco náklady na prodané zboží mírně poklesly. Obchodní marže i přidaná hodnota byly za celé období v kladných číslech a výrazně rostly. Přidaná hodnota zaznamenala jediný pokles, a to v roce 2005. Nejvyšší hodnoty dosáhla přidaná hodnota v roce 2008 a v posledních dvou letech oproti tomuto maximu poklesla.  Její celkový růst za celé období ale zapříčiňuje především růst obchodní marže, výkony totiž vykazovaly od roku 2004 do roku 2008 pokles, zatímco výkonová spotřeba rostla. Až v posledních dvou letech vykazují výkony výraznější růst. </w:t>
      </w:r>
    </w:p>
    <w:p w:rsidR="00F5284D" w:rsidRDefault="00A61E00" w:rsidP="00FA7B84">
      <w:pPr>
        <w:spacing w:line="276" w:lineRule="auto"/>
      </w:pPr>
      <w:r>
        <w:t>Osobní náklady rostly až do roku 2009, v roce 2010 poprvé za sledované období poklesly. Jak ukazuje následující tabulka, rostla také průměrná mzda v podniku, a to i v roce 2010. Pokles osobních nákladů je tak zapříčiněn snížením počtu zaměstnanců.</w:t>
      </w:r>
    </w:p>
    <w:p w:rsidR="00AE0C79" w:rsidRDefault="00A61E00" w:rsidP="00FA7B84">
      <w:pPr>
        <w:pStyle w:val="Titulek"/>
        <w:keepNext/>
        <w:spacing w:line="276" w:lineRule="auto"/>
      </w:pPr>
      <w:bookmarkStart w:id="52" w:name="_Toc324932930"/>
      <w:r>
        <w:t xml:space="preserve">Tabulka </w:t>
      </w:r>
      <w:fldSimple w:instr=" SEQ Tabulka \* ARABIC ">
        <w:r w:rsidR="00F5284D">
          <w:rPr>
            <w:noProof/>
          </w:rPr>
          <w:t>8</w:t>
        </w:r>
      </w:fldSimple>
      <w:r>
        <w:t>: Počet zaměstnanců a průměrná mzda v společnosti Dentamed s.r.o.</w:t>
      </w:r>
      <w:bookmarkEnd w:id="52"/>
    </w:p>
    <w:tbl>
      <w:tblPr>
        <w:tblStyle w:val="Mkatabulky"/>
        <w:tblW w:w="0" w:type="auto"/>
        <w:tblLook w:val="04A0"/>
      </w:tblPr>
      <w:tblGrid>
        <w:gridCol w:w="2773"/>
        <w:gridCol w:w="821"/>
        <w:gridCol w:w="821"/>
        <w:gridCol w:w="821"/>
        <w:gridCol w:w="821"/>
        <w:gridCol w:w="821"/>
        <w:gridCol w:w="766"/>
        <w:gridCol w:w="821"/>
        <w:gridCol w:w="821"/>
      </w:tblGrid>
      <w:tr w:rsidR="00AE0C79">
        <w:tc>
          <w:tcPr>
            <w:tcW w:w="0" w:type="auto"/>
            <w:shd w:val="clear" w:color="auto" w:fill="8DB3E2" w:themeFill="text2" w:themeFillTint="66"/>
          </w:tcPr>
          <w:p w:rsidR="00AE0C79" w:rsidRDefault="00AE0C79" w:rsidP="00FA7B84">
            <w:pPr>
              <w:spacing w:line="276" w:lineRule="auto"/>
              <w:rPr>
                <w:b/>
              </w:rPr>
            </w:pPr>
          </w:p>
        </w:tc>
        <w:tc>
          <w:tcPr>
            <w:tcW w:w="0" w:type="auto"/>
            <w:shd w:val="clear" w:color="auto" w:fill="8DB3E2" w:themeFill="text2" w:themeFillTint="66"/>
          </w:tcPr>
          <w:p w:rsidR="00AE0C79" w:rsidRDefault="00A61E00" w:rsidP="00FA7B84">
            <w:pPr>
              <w:spacing w:line="276" w:lineRule="auto"/>
              <w:rPr>
                <w:b/>
              </w:rPr>
            </w:pPr>
            <w:r>
              <w:rPr>
                <w:b/>
              </w:rPr>
              <w:t>2003</w:t>
            </w:r>
          </w:p>
        </w:tc>
        <w:tc>
          <w:tcPr>
            <w:tcW w:w="0" w:type="auto"/>
            <w:shd w:val="clear" w:color="auto" w:fill="8DB3E2" w:themeFill="text2" w:themeFillTint="66"/>
          </w:tcPr>
          <w:p w:rsidR="00AE0C79" w:rsidRDefault="00A61E00" w:rsidP="00FA7B84">
            <w:pPr>
              <w:spacing w:line="276" w:lineRule="auto"/>
              <w:rPr>
                <w:b/>
              </w:rPr>
            </w:pPr>
            <w:r>
              <w:rPr>
                <w:b/>
              </w:rPr>
              <w:t>2004</w:t>
            </w:r>
          </w:p>
        </w:tc>
        <w:tc>
          <w:tcPr>
            <w:tcW w:w="0" w:type="auto"/>
            <w:shd w:val="clear" w:color="auto" w:fill="8DB3E2" w:themeFill="text2" w:themeFillTint="66"/>
          </w:tcPr>
          <w:p w:rsidR="00AE0C79" w:rsidRDefault="00A61E00" w:rsidP="00FA7B84">
            <w:pPr>
              <w:spacing w:line="276" w:lineRule="auto"/>
              <w:rPr>
                <w:b/>
              </w:rPr>
            </w:pPr>
            <w:r>
              <w:rPr>
                <w:b/>
              </w:rPr>
              <w:t>2005</w:t>
            </w:r>
          </w:p>
        </w:tc>
        <w:tc>
          <w:tcPr>
            <w:tcW w:w="0" w:type="auto"/>
            <w:shd w:val="clear" w:color="auto" w:fill="8DB3E2" w:themeFill="text2" w:themeFillTint="66"/>
          </w:tcPr>
          <w:p w:rsidR="00AE0C79" w:rsidRDefault="00A61E00" w:rsidP="00FA7B84">
            <w:pPr>
              <w:spacing w:line="276" w:lineRule="auto"/>
              <w:rPr>
                <w:b/>
              </w:rPr>
            </w:pPr>
            <w:r>
              <w:rPr>
                <w:b/>
              </w:rPr>
              <w:t>2006</w:t>
            </w:r>
          </w:p>
        </w:tc>
        <w:tc>
          <w:tcPr>
            <w:tcW w:w="0" w:type="auto"/>
            <w:shd w:val="clear" w:color="auto" w:fill="8DB3E2" w:themeFill="text2" w:themeFillTint="66"/>
          </w:tcPr>
          <w:p w:rsidR="00AE0C79" w:rsidRDefault="00A61E00" w:rsidP="00FA7B84">
            <w:pPr>
              <w:spacing w:line="276" w:lineRule="auto"/>
              <w:rPr>
                <w:b/>
              </w:rPr>
            </w:pPr>
            <w:r>
              <w:rPr>
                <w:b/>
              </w:rPr>
              <w:t>2007</w:t>
            </w:r>
          </w:p>
        </w:tc>
        <w:tc>
          <w:tcPr>
            <w:tcW w:w="0" w:type="auto"/>
            <w:shd w:val="clear" w:color="auto" w:fill="8DB3E2" w:themeFill="text2" w:themeFillTint="66"/>
          </w:tcPr>
          <w:p w:rsidR="00AE0C79" w:rsidRDefault="00A61E00" w:rsidP="00FA7B84">
            <w:pPr>
              <w:spacing w:line="276" w:lineRule="auto"/>
              <w:rPr>
                <w:b/>
              </w:rPr>
            </w:pPr>
            <w:r>
              <w:rPr>
                <w:b/>
              </w:rPr>
              <w:t>2008</w:t>
            </w:r>
          </w:p>
        </w:tc>
        <w:tc>
          <w:tcPr>
            <w:tcW w:w="0" w:type="auto"/>
            <w:shd w:val="clear" w:color="auto" w:fill="8DB3E2" w:themeFill="text2" w:themeFillTint="66"/>
          </w:tcPr>
          <w:p w:rsidR="00AE0C79" w:rsidRDefault="00A61E00" w:rsidP="00FA7B84">
            <w:pPr>
              <w:spacing w:line="276" w:lineRule="auto"/>
              <w:rPr>
                <w:b/>
              </w:rPr>
            </w:pPr>
            <w:r>
              <w:rPr>
                <w:b/>
              </w:rPr>
              <w:t>2009</w:t>
            </w:r>
          </w:p>
        </w:tc>
        <w:tc>
          <w:tcPr>
            <w:tcW w:w="0" w:type="auto"/>
            <w:shd w:val="clear" w:color="auto" w:fill="8DB3E2" w:themeFill="text2" w:themeFillTint="66"/>
          </w:tcPr>
          <w:p w:rsidR="00AE0C79" w:rsidRDefault="00A61E00" w:rsidP="00FA7B84">
            <w:pPr>
              <w:spacing w:line="276" w:lineRule="auto"/>
              <w:rPr>
                <w:b/>
              </w:rPr>
            </w:pPr>
            <w:r>
              <w:rPr>
                <w:b/>
              </w:rPr>
              <w:t>2010</w:t>
            </w:r>
          </w:p>
        </w:tc>
      </w:tr>
      <w:tr w:rsidR="00AE0C79">
        <w:tc>
          <w:tcPr>
            <w:tcW w:w="0" w:type="auto"/>
            <w:shd w:val="clear" w:color="auto" w:fill="C6D9F1" w:themeFill="text2" w:themeFillTint="33"/>
          </w:tcPr>
          <w:p w:rsidR="00AE0C79" w:rsidRDefault="00A61E00" w:rsidP="00FA7B84">
            <w:pPr>
              <w:spacing w:line="276" w:lineRule="auto"/>
            </w:pPr>
            <w:r>
              <w:t>Počet zaměstnanců</w:t>
            </w:r>
          </w:p>
        </w:tc>
        <w:tc>
          <w:tcPr>
            <w:tcW w:w="0" w:type="auto"/>
          </w:tcPr>
          <w:p w:rsidR="00AE0C79" w:rsidRDefault="00A61E00" w:rsidP="00FA7B84">
            <w:pPr>
              <w:spacing w:line="276" w:lineRule="auto"/>
            </w:pPr>
            <w:r>
              <w:t>26</w:t>
            </w:r>
          </w:p>
        </w:tc>
        <w:tc>
          <w:tcPr>
            <w:tcW w:w="0" w:type="auto"/>
          </w:tcPr>
          <w:p w:rsidR="00AE0C79" w:rsidRDefault="00A61E00" w:rsidP="00FA7B84">
            <w:pPr>
              <w:spacing w:line="276" w:lineRule="auto"/>
            </w:pPr>
            <w:r>
              <w:t>35</w:t>
            </w:r>
          </w:p>
        </w:tc>
        <w:tc>
          <w:tcPr>
            <w:tcW w:w="0" w:type="auto"/>
          </w:tcPr>
          <w:p w:rsidR="00AE0C79" w:rsidRDefault="00A61E00" w:rsidP="00FA7B84">
            <w:pPr>
              <w:spacing w:line="276" w:lineRule="auto"/>
            </w:pPr>
            <w:r>
              <w:t>39</w:t>
            </w:r>
          </w:p>
        </w:tc>
        <w:tc>
          <w:tcPr>
            <w:tcW w:w="0" w:type="auto"/>
          </w:tcPr>
          <w:p w:rsidR="00AE0C79" w:rsidRDefault="00A61E00" w:rsidP="00FA7B84">
            <w:pPr>
              <w:spacing w:line="276" w:lineRule="auto"/>
            </w:pPr>
            <w:r>
              <w:t>40</w:t>
            </w:r>
          </w:p>
        </w:tc>
        <w:tc>
          <w:tcPr>
            <w:tcW w:w="0" w:type="auto"/>
          </w:tcPr>
          <w:p w:rsidR="00AE0C79" w:rsidRDefault="00A61E00" w:rsidP="00FA7B84">
            <w:pPr>
              <w:spacing w:line="276" w:lineRule="auto"/>
            </w:pPr>
            <w:r>
              <w:t>46</w:t>
            </w:r>
          </w:p>
        </w:tc>
        <w:tc>
          <w:tcPr>
            <w:tcW w:w="0" w:type="auto"/>
          </w:tcPr>
          <w:p w:rsidR="00AE0C79" w:rsidRDefault="00A61E00" w:rsidP="00FA7B84">
            <w:pPr>
              <w:spacing w:line="276" w:lineRule="auto"/>
            </w:pPr>
            <w:r>
              <w:t>60</w:t>
            </w:r>
          </w:p>
        </w:tc>
        <w:tc>
          <w:tcPr>
            <w:tcW w:w="0" w:type="auto"/>
          </w:tcPr>
          <w:p w:rsidR="00AE0C79" w:rsidRDefault="00A61E00" w:rsidP="00FA7B84">
            <w:pPr>
              <w:spacing w:line="276" w:lineRule="auto"/>
            </w:pPr>
            <w:r>
              <w:t>64</w:t>
            </w:r>
          </w:p>
        </w:tc>
        <w:tc>
          <w:tcPr>
            <w:tcW w:w="0" w:type="auto"/>
          </w:tcPr>
          <w:p w:rsidR="00AE0C79" w:rsidRDefault="00A61E00" w:rsidP="00FA7B84">
            <w:pPr>
              <w:spacing w:line="276" w:lineRule="auto"/>
            </w:pPr>
            <w:r>
              <w:t>58</w:t>
            </w:r>
          </w:p>
        </w:tc>
      </w:tr>
      <w:tr w:rsidR="00AE0C79">
        <w:tc>
          <w:tcPr>
            <w:tcW w:w="0" w:type="auto"/>
            <w:shd w:val="clear" w:color="auto" w:fill="C6D9F1" w:themeFill="text2" w:themeFillTint="33"/>
          </w:tcPr>
          <w:p w:rsidR="00AE0C79" w:rsidRDefault="00A61E00" w:rsidP="00FA7B84">
            <w:pPr>
              <w:spacing w:line="276" w:lineRule="auto"/>
            </w:pPr>
            <w:r>
              <w:t>Osobní náklady</w:t>
            </w:r>
          </w:p>
        </w:tc>
        <w:tc>
          <w:tcPr>
            <w:tcW w:w="0" w:type="auto"/>
          </w:tcPr>
          <w:p w:rsidR="00AE0C79" w:rsidRDefault="00A61E00" w:rsidP="00FA7B84">
            <w:pPr>
              <w:spacing w:line="276" w:lineRule="auto"/>
            </w:pPr>
            <w:r>
              <w:t>8776</w:t>
            </w:r>
          </w:p>
        </w:tc>
        <w:tc>
          <w:tcPr>
            <w:tcW w:w="0" w:type="auto"/>
          </w:tcPr>
          <w:p w:rsidR="00AE0C79" w:rsidRDefault="00A61E00" w:rsidP="00FA7B84">
            <w:pPr>
              <w:spacing w:line="276" w:lineRule="auto"/>
            </w:pPr>
            <w:r>
              <w:t>12472</w:t>
            </w:r>
          </w:p>
        </w:tc>
        <w:tc>
          <w:tcPr>
            <w:tcW w:w="0" w:type="auto"/>
          </w:tcPr>
          <w:p w:rsidR="00AE0C79" w:rsidRDefault="00A61E00" w:rsidP="00FA7B84">
            <w:pPr>
              <w:spacing w:line="276" w:lineRule="auto"/>
            </w:pPr>
            <w:r>
              <w:t>14765</w:t>
            </w:r>
          </w:p>
        </w:tc>
        <w:tc>
          <w:tcPr>
            <w:tcW w:w="0" w:type="auto"/>
          </w:tcPr>
          <w:p w:rsidR="00AE0C79" w:rsidRDefault="00A61E00" w:rsidP="00FA7B84">
            <w:pPr>
              <w:spacing w:line="276" w:lineRule="auto"/>
            </w:pPr>
            <w:r>
              <w:t>15665</w:t>
            </w:r>
          </w:p>
        </w:tc>
        <w:tc>
          <w:tcPr>
            <w:tcW w:w="0" w:type="auto"/>
          </w:tcPr>
          <w:p w:rsidR="00AE0C79" w:rsidRDefault="00A61E00" w:rsidP="00FA7B84">
            <w:pPr>
              <w:spacing w:line="276" w:lineRule="auto"/>
            </w:pPr>
            <w:r>
              <w:t>18900</w:t>
            </w:r>
          </w:p>
        </w:tc>
        <w:tc>
          <w:tcPr>
            <w:tcW w:w="0" w:type="auto"/>
          </w:tcPr>
          <w:p w:rsidR="00AE0C79" w:rsidRDefault="00A61E00" w:rsidP="00FA7B84">
            <w:pPr>
              <w:spacing w:line="276" w:lineRule="auto"/>
            </w:pPr>
            <w:r>
              <w:t>29484</w:t>
            </w:r>
          </w:p>
        </w:tc>
        <w:tc>
          <w:tcPr>
            <w:tcW w:w="0" w:type="auto"/>
          </w:tcPr>
          <w:p w:rsidR="00AE0C79" w:rsidRDefault="00A61E00" w:rsidP="00FA7B84">
            <w:pPr>
              <w:spacing w:line="276" w:lineRule="auto"/>
            </w:pPr>
            <w:r>
              <w:t>31261</w:t>
            </w:r>
          </w:p>
        </w:tc>
        <w:tc>
          <w:tcPr>
            <w:tcW w:w="0" w:type="auto"/>
          </w:tcPr>
          <w:p w:rsidR="00AE0C79" w:rsidRDefault="00A61E00" w:rsidP="00FA7B84">
            <w:pPr>
              <w:spacing w:line="276" w:lineRule="auto"/>
              <w:rPr>
                <w:lang w:val="en-US"/>
              </w:rPr>
            </w:pPr>
            <w:r>
              <w:rPr>
                <w:lang w:val="en-US"/>
              </w:rPr>
              <w:t>29268</w:t>
            </w:r>
          </w:p>
        </w:tc>
      </w:tr>
      <w:tr w:rsidR="00AE0C79">
        <w:tc>
          <w:tcPr>
            <w:tcW w:w="0" w:type="auto"/>
            <w:shd w:val="clear" w:color="auto" w:fill="C6D9F1" w:themeFill="text2" w:themeFillTint="33"/>
          </w:tcPr>
          <w:p w:rsidR="00AE0C79" w:rsidRDefault="00A61E00" w:rsidP="00FA7B84">
            <w:pPr>
              <w:spacing w:line="276" w:lineRule="auto"/>
            </w:pPr>
            <w:r>
              <w:t>Průměrná roční mzda na 1 zaměstnance (tis. Kč)</w:t>
            </w:r>
          </w:p>
        </w:tc>
        <w:tc>
          <w:tcPr>
            <w:tcW w:w="0" w:type="auto"/>
          </w:tcPr>
          <w:p w:rsidR="00AE0C79" w:rsidRDefault="00A61E00" w:rsidP="00FA7B84">
            <w:pPr>
              <w:spacing w:line="276" w:lineRule="auto"/>
            </w:pPr>
            <w:r>
              <w:t>337,54</w:t>
            </w:r>
          </w:p>
        </w:tc>
        <w:tc>
          <w:tcPr>
            <w:tcW w:w="0" w:type="auto"/>
          </w:tcPr>
          <w:p w:rsidR="00AE0C79" w:rsidRDefault="00A61E00" w:rsidP="00FA7B84">
            <w:pPr>
              <w:spacing w:line="276" w:lineRule="auto"/>
            </w:pPr>
            <w:r>
              <w:t>356,34</w:t>
            </w:r>
          </w:p>
        </w:tc>
        <w:tc>
          <w:tcPr>
            <w:tcW w:w="0" w:type="auto"/>
          </w:tcPr>
          <w:p w:rsidR="00AE0C79" w:rsidRDefault="00A61E00" w:rsidP="00FA7B84">
            <w:pPr>
              <w:spacing w:line="276" w:lineRule="auto"/>
            </w:pPr>
            <w:r>
              <w:t>378,59</w:t>
            </w:r>
          </w:p>
        </w:tc>
        <w:tc>
          <w:tcPr>
            <w:tcW w:w="0" w:type="auto"/>
          </w:tcPr>
          <w:p w:rsidR="00AE0C79" w:rsidRDefault="00A61E00" w:rsidP="00FA7B84">
            <w:pPr>
              <w:spacing w:line="276" w:lineRule="auto"/>
            </w:pPr>
            <w:r>
              <w:t>391,63</w:t>
            </w:r>
          </w:p>
        </w:tc>
        <w:tc>
          <w:tcPr>
            <w:tcW w:w="0" w:type="auto"/>
          </w:tcPr>
          <w:p w:rsidR="00AE0C79" w:rsidRDefault="00A61E00" w:rsidP="00FA7B84">
            <w:pPr>
              <w:spacing w:line="276" w:lineRule="auto"/>
            </w:pPr>
            <w:r>
              <w:t>410,87</w:t>
            </w:r>
          </w:p>
        </w:tc>
        <w:tc>
          <w:tcPr>
            <w:tcW w:w="0" w:type="auto"/>
          </w:tcPr>
          <w:p w:rsidR="00AE0C79" w:rsidRDefault="00A61E00" w:rsidP="00FA7B84">
            <w:pPr>
              <w:spacing w:line="276" w:lineRule="auto"/>
            </w:pPr>
            <w:r>
              <w:t>491,4</w:t>
            </w:r>
          </w:p>
        </w:tc>
        <w:tc>
          <w:tcPr>
            <w:tcW w:w="0" w:type="auto"/>
          </w:tcPr>
          <w:p w:rsidR="00AE0C79" w:rsidRDefault="00A61E00" w:rsidP="00FA7B84">
            <w:pPr>
              <w:spacing w:line="276" w:lineRule="auto"/>
            </w:pPr>
            <w:r>
              <w:t>488,45</w:t>
            </w:r>
          </w:p>
        </w:tc>
        <w:tc>
          <w:tcPr>
            <w:tcW w:w="0" w:type="auto"/>
          </w:tcPr>
          <w:p w:rsidR="00AE0C79" w:rsidRDefault="00A61E00" w:rsidP="00FA7B84">
            <w:pPr>
              <w:spacing w:line="276" w:lineRule="auto"/>
            </w:pPr>
            <w:r>
              <w:t>504,62</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 xml:space="preserve">Provozní výsledek hospodaření dosáhl záporné hodnoty v roce 2005 a tím byla způsobena celková ztráta v tomto roce (viz následující graf). Finanční výsledek hospodaření dosáhl v tomto roce nejvyšší hodnoty, ale stále byl záporný. Ukazuje se, že ztráta v tomto roce byla způsobena především vytvořením velkých rezerv, které mají pokrýt ztráty podniku. </w:t>
      </w:r>
    </w:p>
    <w:p w:rsidR="00AE0C79" w:rsidRDefault="00A61E00" w:rsidP="00FA7B84">
      <w:pPr>
        <w:spacing w:line="276" w:lineRule="auto"/>
      </w:pPr>
      <w:r>
        <w:t>Hodnoty nákladových úroků během období výrazně vzrostly, a způsobují tak záporný finanční výsledek hospodaření, který se podniku nepodařilo za celé období dostat do kladných hodnot. Naopak výnosové úroky má podnik zanedbatelné, výraznější hodnoty dosáhly pouze v roce 2010 díky poskytnuté půjčce v témže roce. Záporný hospodářský výsledek v roce 2008 je způsoben nejhorším finančním výsledkem hospodaření za sledované období, a také záporným mimořádným výsledkem hospodaření, který byl způsoben požárem na pražském výstavišti, při kterém firma utrpěla značné škody. Špatný finanční výsledek hospodaření v tomto roce způsobují jednak vysoké hodnoty nákladových úroku, jednak prodejem cenných papírů, které byly prodány za výrazně nižší cenu, než byla jejich účetní hodnota v účetnictví podniku.</w:t>
      </w:r>
    </w:p>
    <w:p w:rsidR="00AE0C79" w:rsidRDefault="00A61E00" w:rsidP="00FA7B84">
      <w:pPr>
        <w:pStyle w:val="Titulek"/>
        <w:keepNext/>
        <w:spacing w:line="276" w:lineRule="auto"/>
      </w:pPr>
      <w:bookmarkStart w:id="53" w:name="_Toc324932951"/>
      <w:r>
        <w:lastRenderedPageBreak/>
        <w:t xml:space="preserve">Graf </w:t>
      </w:r>
      <w:fldSimple w:instr=" SEQ Graf \* ARABIC ">
        <w:r w:rsidR="00F5284D">
          <w:rPr>
            <w:noProof/>
          </w:rPr>
          <w:t>9</w:t>
        </w:r>
      </w:fldSimple>
      <w:r>
        <w:t>: Výsledky hospodaření společnosti Dentamed s.r.o.</w:t>
      </w:r>
      <w:bookmarkEnd w:id="53"/>
    </w:p>
    <w:p w:rsidR="00AE0C79" w:rsidRDefault="00A61E00" w:rsidP="00FA7B84">
      <w:pPr>
        <w:spacing w:line="276" w:lineRule="auto"/>
      </w:pPr>
      <w:r>
        <w:rPr>
          <w:noProof/>
          <w:lang w:eastAsia="cs-CZ"/>
        </w:rPr>
        <w:drawing>
          <wp:inline distT="0" distB="0" distL="0" distR="0">
            <wp:extent cx="5436000" cy="2881423"/>
            <wp:effectExtent l="19050" t="0" r="1230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Nadpis3"/>
        <w:spacing w:line="276" w:lineRule="auto"/>
      </w:pPr>
      <w:bookmarkStart w:id="54" w:name="_Toc324932906"/>
      <w:r>
        <w:t>Vertikální analýza</w:t>
      </w:r>
      <w:bookmarkEnd w:id="54"/>
    </w:p>
    <w:p w:rsidR="00AE0C79" w:rsidRDefault="00A61E00" w:rsidP="00FA7B84">
      <w:pPr>
        <w:spacing w:line="276" w:lineRule="auto"/>
      </w:pPr>
      <w:r>
        <w:t xml:space="preserve">Vertikální analýza výkazu zisků a ztrát ukazuje, že podíl tržeb za prodej zboží na celkových výnosech zůstal za celé období stabilní. Jedinou výjimkou je rok 2006, kdy jeho podíl poklesl. Důvodem tohoto poklesu je již zmiňovaný prodej majetku ve výši 14 mil. Kč, který způsobil tento pokles podílu. Náklady na prodej zboží se oproti počátku sledovaného období mírně snížily, což má za následek zvýšení obchodní marže. </w:t>
      </w:r>
    </w:p>
    <w:p w:rsidR="00AE0C79" w:rsidRDefault="00A61E00" w:rsidP="00FA7B84">
      <w:pPr>
        <w:pStyle w:val="Titulek"/>
        <w:keepNext/>
        <w:spacing w:line="276" w:lineRule="auto"/>
      </w:pPr>
      <w:bookmarkStart w:id="55" w:name="_Toc324932931"/>
      <w:r>
        <w:t xml:space="preserve">Tabulka </w:t>
      </w:r>
      <w:fldSimple w:instr=" SEQ Tabulka \* ARABIC ">
        <w:r w:rsidR="00F5284D">
          <w:rPr>
            <w:noProof/>
          </w:rPr>
          <w:t>9</w:t>
        </w:r>
      </w:fldSimple>
      <w:r>
        <w:t>: Vertikální analýza výkazu zisků a ztrát společnosti Dentamed s.r.o.</w:t>
      </w:r>
      <w:bookmarkEnd w:id="55"/>
    </w:p>
    <w:tbl>
      <w:tblPr>
        <w:tblStyle w:val="Mkatabulky"/>
        <w:tblW w:w="0" w:type="auto"/>
        <w:tblLook w:val="04A0"/>
      </w:tblPr>
      <w:tblGrid>
        <w:gridCol w:w="2519"/>
        <w:gridCol w:w="821"/>
        <w:gridCol w:w="821"/>
        <w:gridCol w:w="821"/>
        <w:gridCol w:w="821"/>
        <w:gridCol w:w="821"/>
        <w:gridCol w:w="821"/>
        <w:gridCol w:w="821"/>
        <w:gridCol w:w="821"/>
      </w:tblGrid>
      <w:tr w:rsidR="00AE0C79">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V %</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2003</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2004</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2005</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2006</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2007</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2008</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2009</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2010</w:t>
            </w:r>
          </w:p>
        </w:tc>
      </w:tr>
      <w:tr w:rsidR="00AE0C79">
        <w:tc>
          <w:tcPr>
            <w:tcW w:w="0" w:type="auto"/>
          </w:tcPr>
          <w:p w:rsidR="00AE0C79" w:rsidRDefault="00A61E00" w:rsidP="00FA7B84">
            <w:pPr>
              <w:spacing w:line="276" w:lineRule="auto"/>
              <w:rPr>
                <w:rFonts w:cs="Times New Roman"/>
              </w:rPr>
            </w:pPr>
            <w:r>
              <w:rPr>
                <w:rFonts w:cs="Times New Roman"/>
              </w:rPr>
              <w:t>Výnosy</w:t>
            </w:r>
          </w:p>
        </w:tc>
        <w:tc>
          <w:tcPr>
            <w:tcW w:w="0" w:type="auto"/>
          </w:tcPr>
          <w:p w:rsidR="00AE0C79" w:rsidRDefault="00A61E00" w:rsidP="00FA7B84">
            <w:pPr>
              <w:spacing w:line="276" w:lineRule="auto"/>
              <w:rPr>
                <w:rFonts w:cs="Times New Roman"/>
              </w:rPr>
            </w:pPr>
            <w:r>
              <w:rPr>
                <w:rFonts w:cs="Times New Roman"/>
              </w:rPr>
              <w:t>100,00</w:t>
            </w:r>
          </w:p>
        </w:tc>
        <w:tc>
          <w:tcPr>
            <w:tcW w:w="0" w:type="auto"/>
          </w:tcPr>
          <w:p w:rsidR="00AE0C79" w:rsidRDefault="00A61E00" w:rsidP="00FA7B84">
            <w:pPr>
              <w:spacing w:line="276" w:lineRule="auto"/>
              <w:rPr>
                <w:rFonts w:cs="Times New Roman"/>
              </w:rPr>
            </w:pPr>
            <w:r>
              <w:rPr>
                <w:rFonts w:cs="Times New Roman"/>
              </w:rPr>
              <w:t>100,00</w:t>
            </w:r>
          </w:p>
        </w:tc>
        <w:tc>
          <w:tcPr>
            <w:tcW w:w="0" w:type="auto"/>
          </w:tcPr>
          <w:p w:rsidR="00AE0C79" w:rsidRDefault="00A61E00" w:rsidP="00FA7B84">
            <w:pPr>
              <w:spacing w:line="276" w:lineRule="auto"/>
              <w:rPr>
                <w:rFonts w:cs="Times New Roman"/>
              </w:rPr>
            </w:pPr>
            <w:r>
              <w:rPr>
                <w:rFonts w:cs="Times New Roman"/>
              </w:rPr>
              <w:t>100,00</w:t>
            </w:r>
          </w:p>
        </w:tc>
        <w:tc>
          <w:tcPr>
            <w:tcW w:w="0" w:type="auto"/>
          </w:tcPr>
          <w:p w:rsidR="00AE0C79" w:rsidRDefault="00A61E00" w:rsidP="00FA7B84">
            <w:pPr>
              <w:spacing w:line="276" w:lineRule="auto"/>
              <w:rPr>
                <w:rFonts w:cs="Times New Roman"/>
              </w:rPr>
            </w:pPr>
            <w:r>
              <w:rPr>
                <w:rFonts w:cs="Times New Roman"/>
              </w:rPr>
              <w:t>100,00</w:t>
            </w:r>
          </w:p>
        </w:tc>
        <w:tc>
          <w:tcPr>
            <w:tcW w:w="0" w:type="auto"/>
          </w:tcPr>
          <w:p w:rsidR="00AE0C79" w:rsidRDefault="00A61E00" w:rsidP="00FA7B84">
            <w:pPr>
              <w:spacing w:line="276" w:lineRule="auto"/>
              <w:rPr>
                <w:rFonts w:cs="Times New Roman"/>
              </w:rPr>
            </w:pPr>
            <w:r>
              <w:rPr>
                <w:rFonts w:cs="Times New Roman"/>
              </w:rPr>
              <w:t>100,00</w:t>
            </w:r>
          </w:p>
        </w:tc>
        <w:tc>
          <w:tcPr>
            <w:tcW w:w="0" w:type="auto"/>
          </w:tcPr>
          <w:p w:rsidR="00AE0C79" w:rsidRDefault="00A61E00" w:rsidP="00FA7B84">
            <w:pPr>
              <w:spacing w:line="276" w:lineRule="auto"/>
              <w:rPr>
                <w:rFonts w:cs="Times New Roman"/>
              </w:rPr>
            </w:pPr>
            <w:r>
              <w:rPr>
                <w:rFonts w:cs="Times New Roman"/>
              </w:rPr>
              <w:t>100,00</w:t>
            </w:r>
          </w:p>
        </w:tc>
        <w:tc>
          <w:tcPr>
            <w:tcW w:w="0" w:type="auto"/>
          </w:tcPr>
          <w:p w:rsidR="00AE0C79" w:rsidRDefault="00A61E00" w:rsidP="00FA7B84">
            <w:pPr>
              <w:spacing w:line="276" w:lineRule="auto"/>
              <w:rPr>
                <w:rFonts w:cs="Times New Roman"/>
              </w:rPr>
            </w:pPr>
            <w:r>
              <w:rPr>
                <w:rFonts w:cs="Times New Roman"/>
              </w:rPr>
              <w:t>100,00</w:t>
            </w:r>
          </w:p>
        </w:tc>
        <w:tc>
          <w:tcPr>
            <w:tcW w:w="0" w:type="auto"/>
          </w:tcPr>
          <w:p w:rsidR="00AE0C79" w:rsidRDefault="00A61E00" w:rsidP="00FA7B84">
            <w:pPr>
              <w:spacing w:line="276" w:lineRule="auto"/>
              <w:rPr>
                <w:rFonts w:cs="Times New Roman"/>
              </w:rPr>
            </w:pPr>
            <w:r>
              <w:rPr>
                <w:rFonts w:cs="Times New Roman"/>
              </w:rPr>
              <w:t>100,00</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Tržby za prodej zboží</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95,27</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94,36</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93,57</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88,98</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96,20</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95,75</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95,55</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94,07</w:t>
            </w:r>
          </w:p>
        </w:tc>
      </w:tr>
      <w:tr w:rsidR="00AE0C79">
        <w:tc>
          <w:tcPr>
            <w:tcW w:w="0" w:type="auto"/>
          </w:tcPr>
          <w:p w:rsidR="00AE0C79" w:rsidRDefault="00A61E00" w:rsidP="00FA7B84">
            <w:pPr>
              <w:spacing w:line="276" w:lineRule="auto"/>
              <w:rPr>
                <w:rFonts w:cs="Times New Roman"/>
              </w:rPr>
            </w:pPr>
            <w:r>
              <w:rPr>
                <w:rFonts w:cs="Times New Roman"/>
              </w:rPr>
              <w:t>Náklady na prodané zboží</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70,44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68,28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66,44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60,47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64,57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62,47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64,78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63,23</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Obchodní marže</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24,83</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26,09</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27,13</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28,51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31,63</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33,28</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30,77</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30,83</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Výkony</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3,72</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4,77</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3,60</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2,83</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2,01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2,01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2,97</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3,02</w:t>
            </w:r>
          </w:p>
        </w:tc>
      </w:tr>
      <w:tr w:rsidR="00AE0C79">
        <w:tc>
          <w:tcPr>
            <w:tcW w:w="0" w:type="auto"/>
          </w:tcPr>
          <w:p w:rsidR="00AE0C79" w:rsidRDefault="00A61E00" w:rsidP="00FA7B84">
            <w:pPr>
              <w:spacing w:line="276" w:lineRule="auto"/>
              <w:rPr>
                <w:rFonts w:cs="Times New Roman"/>
              </w:rPr>
            </w:pPr>
            <w:r>
              <w:rPr>
                <w:rFonts w:cs="Times New Roman"/>
              </w:rPr>
              <w:t>Výkonová spotřeba</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21,09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20,50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21,29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17,40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19,50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17,21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18,19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18,58</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Přidaná hodnota</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7,46</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10,36</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9,44</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13,94</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14,14</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18,07</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15,55</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15,27</w:t>
            </w:r>
          </w:p>
        </w:tc>
      </w:tr>
      <w:tr w:rsidR="00AE0C79">
        <w:tc>
          <w:tcPr>
            <w:tcW w:w="0" w:type="auto"/>
          </w:tcPr>
          <w:p w:rsidR="00AE0C79" w:rsidRDefault="00A61E00" w:rsidP="00FA7B84">
            <w:pPr>
              <w:spacing w:line="276" w:lineRule="auto"/>
              <w:rPr>
                <w:rFonts w:cs="Times New Roman"/>
              </w:rPr>
            </w:pPr>
            <w:r>
              <w:rPr>
                <w:rFonts w:cs="Times New Roman"/>
              </w:rPr>
              <w:t>Osobní náklady</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6,28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7,03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8,61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7,29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7,42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11,50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11,08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10,14</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Provozní VH</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0,89</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3,11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-4,00</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5,97</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5,29</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3,10</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2,65</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6,13</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Finanční VH</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-0,91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-0,30</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-0,01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-0,66</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-0,68</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-3,86</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-1,18</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-0,90</w:t>
            </w:r>
          </w:p>
        </w:tc>
      </w:tr>
      <w:tr w:rsidR="00AE0C79">
        <w:tc>
          <w:tcPr>
            <w:tcW w:w="0" w:type="auto"/>
            <w:shd w:val="clear" w:color="auto" w:fill="C6D9F1" w:themeFill="text2" w:themeFillTint="33"/>
          </w:tcPr>
          <w:p w:rsidR="00AE0C79" w:rsidRDefault="00A61E00" w:rsidP="00FA7B84">
            <w:pPr>
              <w:spacing w:line="276" w:lineRule="auto"/>
              <w:rPr>
                <w:rFonts w:cs="Times New Roman"/>
                <w:b/>
              </w:rPr>
            </w:pPr>
            <w:r>
              <w:rPr>
                <w:rFonts w:cs="Times New Roman"/>
                <w:b/>
              </w:rPr>
              <w:t>VH za účetní období</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0,45</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0,85</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-4,71</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3,92</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3,35</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-3,53</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1,14</w:t>
            </w:r>
          </w:p>
        </w:tc>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4,12</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 xml:space="preserve">Podíl výkonů se postupně snižoval až do svého minima v letech 2007 a 2008, ale v posledních dvou letech stoupá a pomalu se blíží svému původnímu podílu. Výkonová spotřeba vykazuje podobný trend. Růst obchodní marže byl poměrně výrazný, proto můžeme sledovat růst </w:t>
      </w:r>
      <w:r>
        <w:lastRenderedPageBreak/>
        <w:t xml:space="preserve">podílu přidané hodnoty. Díky tomu roste také hodnota provozního výsledku hospodaření. Tento růst ale není tak výrazný díky růstu osobních nákladů a dalších položek. </w:t>
      </w:r>
    </w:p>
    <w:p w:rsidR="00AE0C79" w:rsidRDefault="00A61E00" w:rsidP="00FA7B84">
      <w:pPr>
        <w:pStyle w:val="Nadpis2"/>
        <w:spacing w:line="276" w:lineRule="auto"/>
      </w:pPr>
      <w:bookmarkStart w:id="56" w:name="_Toc324932907"/>
      <w:r>
        <w:t>Analýza poměrových ukazatelů</w:t>
      </w:r>
      <w:bookmarkEnd w:id="56"/>
    </w:p>
    <w:p w:rsidR="00AE0C79" w:rsidRDefault="00A61E00" w:rsidP="00FA7B84">
      <w:pPr>
        <w:pStyle w:val="Nadpis3"/>
        <w:spacing w:line="276" w:lineRule="auto"/>
      </w:pPr>
      <w:bookmarkStart w:id="57" w:name="_Toc324932908"/>
      <w:r>
        <w:t>Ukazatele rentability</w:t>
      </w:r>
      <w:bookmarkEnd w:id="57"/>
    </w:p>
    <w:p w:rsidR="00F5284D" w:rsidRDefault="00A61E00" w:rsidP="00FA7B84">
      <w:pPr>
        <w:spacing w:line="276" w:lineRule="auto"/>
      </w:pPr>
      <w:r>
        <w:t xml:space="preserve">Hodnoty jednotlivých ukazatelů rentability jsou ovlivněny nestálým hospodářským výsledkem společnosti za sledované období. V letech, kdy se podnik dostal do ztráty, jsou hodnoty ukazatelů záporné. A je jimi výrazně narušena vypovídací schopnost ukazatelů rentability. </w:t>
      </w:r>
    </w:p>
    <w:p w:rsidR="00AE0C79" w:rsidRDefault="00A61E00" w:rsidP="00FA7B84">
      <w:pPr>
        <w:pStyle w:val="Titulek"/>
        <w:keepNext/>
        <w:spacing w:line="276" w:lineRule="auto"/>
      </w:pPr>
      <w:bookmarkStart w:id="58" w:name="_Toc324932932"/>
      <w:r>
        <w:t xml:space="preserve">Tabulka </w:t>
      </w:r>
      <w:fldSimple w:instr=" SEQ Tabulka \* ARABIC ">
        <w:r w:rsidR="00F5284D">
          <w:rPr>
            <w:noProof/>
          </w:rPr>
          <w:t>10</w:t>
        </w:r>
      </w:fldSimple>
      <w:r>
        <w:t>: Ukazatele rentability společnosti Dentamed s.r.o.</w:t>
      </w:r>
      <w:bookmarkEnd w:id="58"/>
    </w:p>
    <w:tbl>
      <w:tblPr>
        <w:tblStyle w:val="Mkatabulky"/>
        <w:tblW w:w="0" w:type="auto"/>
        <w:tblLook w:val="04A0"/>
      </w:tblPr>
      <w:tblGrid>
        <w:gridCol w:w="3161"/>
        <w:gridCol w:w="711"/>
        <w:gridCol w:w="711"/>
        <w:gridCol w:w="895"/>
        <w:gridCol w:w="821"/>
        <w:gridCol w:w="711"/>
        <w:gridCol w:w="785"/>
        <w:gridCol w:w="711"/>
        <w:gridCol w:w="711"/>
      </w:tblGrid>
      <w:tr w:rsidR="00AE0C79">
        <w:tc>
          <w:tcPr>
            <w:tcW w:w="0" w:type="auto"/>
            <w:shd w:val="clear" w:color="auto" w:fill="8DB3E2" w:themeFill="text2" w:themeFillTint="66"/>
          </w:tcPr>
          <w:p w:rsidR="00AE0C79" w:rsidRDefault="00AE0C79" w:rsidP="00FA7B84">
            <w:pPr>
              <w:spacing w:line="276" w:lineRule="auto"/>
              <w:rPr>
                <w:rFonts w:cs="Times New Roman"/>
                <w:b/>
              </w:rPr>
            </w:pP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2003</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2004</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2005</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2006</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2007</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2008</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2009</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ROE</w:t>
            </w:r>
          </w:p>
        </w:tc>
        <w:tc>
          <w:tcPr>
            <w:tcW w:w="0" w:type="auto"/>
          </w:tcPr>
          <w:p w:rsidR="00AE0C79" w:rsidRDefault="00A61E00" w:rsidP="00FA7B84">
            <w:pPr>
              <w:spacing w:line="276" w:lineRule="auto"/>
              <w:rPr>
                <w:rFonts w:cs="Times New Roman"/>
                <w:lang w:val="en-US"/>
              </w:rPr>
            </w:pPr>
            <w:r>
              <w:rPr>
                <w:rFonts w:cs="Times New Roman"/>
                <w:lang w:val="en-US"/>
              </w:rPr>
              <w:t>13,41</w:t>
            </w:r>
          </w:p>
        </w:tc>
        <w:tc>
          <w:tcPr>
            <w:tcW w:w="0" w:type="auto"/>
          </w:tcPr>
          <w:p w:rsidR="00AE0C79" w:rsidRDefault="00A61E00" w:rsidP="00FA7B84">
            <w:pPr>
              <w:spacing w:line="276" w:lineRule="auto"/>
              <w:rPr>
                <w:rFonts w:cs="Times New Roman"/>
              </w:rPr>
            </w:pPr>
            <w:r>
              <w:rPr>
                <w:rFonts w:cs="Times New Roman"/>
              </w:rPr>
              <w:t>24,55</w:t>
            </w:r>
          </w:p>
        </w:tc>
        <w:tc>
          <w:tcPr>
            <w:tcW w:w="0" w:type="auto"/>
          </w:tcPr>
          <w:p w:rsidR="00AE0C79" w:rsidRDefault="00A61E00" w:rsidP="00FA7B84">
            <w:pPr>
              <w:spacing w:line="276" w:lineRule="auto"/>
              <w:rPr>
                <w:rFonts w:cs="Times New Roman"/>
                <w:lang w:val="en-US"/>
              </w:rPr>
            </w:pPr>
            <w:r>
              <w:rPr>
                <w:rFonts w:cs="Times New Roman"/>
              </w:rPr>
              <w:t>-280,04</w:t>
            </w:r>
          </w:p>
        </w:tc>
        <w:tc>
          <w:tcPr>
            <w:tcW w:w="0" w:type="auto"/>
          </w:tcPr>
          <w:p w:rsidR="00AE0C79" w:rsidRDefault="00A61E00" w:rsidP="00FA7B84">
            <w:pPr>
              <w:spacing w:line="276" w:lineRule="auto"/>
              <w:rPr>
                <w:rFonts w:cs="Times New Roman"/>
                <w:lang w:val="en-US"/>
              </w:rPr>
            </w:pPr>
            <w:r>
              <w:rPr>
                <w:rFonts w:cs="Times New Roman"/>
              </w:rPr>
              <w:t>118,74</w:t>
            </w:r>
          </w:p>
        </w:tc>
        <w:tc>
          <w:tcPr>
            <w:tcW w:w="0" w:type="auto"/>
          </w:tcPr>
          <w:p w:rsidR="00AE0C79" w:rsidRDefault="00A61E00" w:rsidP="00FA7B84">
            <w:pPr>
              <w:spacing w:line="276" w:lineRule="auto"/>
              <w:rPr>
                <w:rFonts w:cs="Times New Roman"/>
              </w:rPr>
            </w:pPr>
            <w:r>
              <w:rPr>
                <w:rFonts w:cs="Times New Roman"/>
              </w:rPr>
              <w:t>42,78</w:t>
            </w:r>
          </w:p>
        </w:tc>
        <w:tc>
          <w:tcPr>
            <w:tcW w:w="0" w:type="auto"/>
          </w:tcPr>
          <w:p w:rsidR="00AE0C79" w:rsidRDefault="00A61E00" w:rsidP="00FA7B84">
            <w:pPr>
              <w:spacing w:line="276" w:lineRule="auto"/>
              <w:rPr>
                <w:rFonts w:cs="Times New Roman"/>
                <w:lang w:val="en-US"/>
              </w:rPr>
            </w:pPr>
            <w:r>
              <w:rPr>
                <w:rFonts w:cs="Times New Roman"/>
              </w:rPr>
              <w:t>-82,98</w:t>
            </w:r>
          </w:p>
        </w:tc>
        <w:tc>
          <w:tcPr>
            <w:tcW w:w="0" w:type="auto"/>
          </w:tcPr>
          <w:p w:rsidR="00AE0C79" w:rsidRDefault="00A61E00" w:rsidP="00FA7B84">
            <w:pPr>
              <w:spacing w:line="276" w:lineRule="auto"/>
              <w:rPr>
                <w:rFonts w:cs="Times New Roman"/>
              </w:rPr>
            </w:pPr>
            <w:r>
              <w:rPr>
                <w:rFonts w:cs="Times New Roman"/>
              </w:rPr>
              <w:t>38,02</w:t>
            </w:r>
          </w:p>
        </w:tc>
        <w:tc>
          <w:tcPr>
            <w:tcW w:w="0" w:type="auto"/>
          </w:tcPr>
          <w:p w:rsidR="00AE0C79" w:rsidRDefault="00A61E00" w:rsidP="00FA7B84">
            <w:pPr>
              <w:spacing w:line="276" w:lineRule="auto"/>
              <w:rPr>
                <w:rFonts w:cs="Times New Roman"/>
              </w:rPr>
            </w:pPr>
            <w:r>
              <w:rPr>
                <w:rFonts w:cs="Times New Roman"/>
              </w:rPr>
              <w:t>58,37</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ROA</w:t>
            </w:r>
          </w:p>
        </w:tc>
        <w:tc>
          <w:tcPr>
            <w:tcW w:w="0" w:type="auto"/>
          </w:tcPr>
          <w:p w:rsidR="00AE0C79" w:rsidRDefault="00A61E00" w:rsidP="00FA7B84">
            <w:pPr>
              <w:spacing w:line="276" w:lineRule="auto"/>
              <w:rPr>
                <w:rFonts w:cs="Times New Roman"/>
              </w:rPr>
            </w:pPr>
            <w:r>
              <w:rPr>
                <w:rFonts w:cs="Times New Roman"/>
              </w:rPr>
              <w:t>1,01</w:t>
            </w:r>
          </w:p>
        </w:tc>
        <w:tc>
          <w:tcPr>
            <w:tcW w:w="0" w:type="auto"/>
          </w:tcPr>
          <w:p w:rsidR="00AE0C79" w:rsidRDefault="00A61E00" w:rsidP="00FA7B84">
            <w:pPr>
              <w:spacing w:line="276" w:lineRule="auto"/>
              <w:rPr>
                <w:rFonts w:cs="Times New Roman"/>
              </w:rPr>
            </w:pPr>
            <w:r>
              <w:rPr>
                <w:rFonts w:cs="Times New Roman"/>
              </w:rPr>
              <w:t>4,36</w:t>
            </w:r>
          </w:p>
        </w:tc>
        <w:tc>
          <w:tcPr>
            <w:tcW w:w="0" w:type="auto"/>
          </w:tcPr>
          <w:p w:rsidR="00AE0C79" w:rsidRDefault="00A61E00" w:rsidP="00FA7B84">
            <w:pPr>
              <w:spacing w:line="276" w:lineRule="auto"/>
              <w:rPr>
                <w:rFonts w:cs="Times New Roman"/>
              </w:rPr>
            </w:pPr>
            <w:r>
              <w:rPr>
                <w:rFonts w:cs="Times New Roman"/>
              </w:rPr>
              <w:t>-8,92</w:t>
            </w:r>
          </w:p>
        </w:tc>
        <w:tc>
          <w:tcPr>
            <w:tcW w:w="0" w:type="auto"/>
          </w:tcPr>
          <w:p w:rsidR="00AE0C79" w:rsidRDefault="00A61E00" w:rsidP="00FA7B84">
            <w:pPr>
              <w:spacing w:line="276" w:lineRule="auto"/>
              <w:rPr>
                <w:rFonts w:cs="Times New Roman"/>
              </w:rPr>
            </w:pPr>
            <w:r>
              <w:rPr>
                <w:rFonts w:cs="Times New Roman"/>
              </w:rPr>
              <w:t>19,08</w:t>
            </w:r>
          </w:p>
        </w:tc>
        <w:tc>
          <w:tcPr>
            <w:tcW w:w="0" w:type="auto"/>
          </w:tcPr>
          <w:p w:rsidR="00AE0C79" w:rsidRDefault="00A61E00" w:rsidP="00FA7B84">
            <w:pPr>
              <w:spacing w:line="276" w:lineRule="auto"/>
              <w:rPr>
                <w:rFonts w:cs="Times New Roman"/>
              </w:rPr>
            </w:pPr>
            <w:r>
              <w:rPr>
                <w:rFonts w:cs="Times New Roman"/>
              </w:rPr>
              <w:t>13,13</w:t>
            </w:r>
          </w:p>
        </w:tc>
        <w:tc>
          <w:tcPr>
            <w:tcW w:w="0" w:type="auto"/>
          </w:tcPr>
          <w:p w:rsidR="00AE0C79" w:rsidRDefault="00A61E00" w:rsidP="00FA7B84">
            <w:pPr>
              <w:spacing w:line="276" w:lineRule="auto"/>
              <w:rPr>
                <w:rFonts w:cs="Times New Roman"/>
              </w:rPr>
            </w:pPr>
            <w:r>
              <w:rPr>
                <w:rFonts w:cs="Times New Roman"/>
              </w:rPr>
              <w:t>-4,19</w:t>
            </w:r>
          </w:p>
        </w:tc>
        <w:tc>
          <w:tcPr>
            <w:tcW w:w="0" w:type="auto"/>
          </w:tcPr>
          <w:p w:rsidR="00AE0C79" w:rsidRDefault="00A61E00" w:rsidP="00FA7B84">
            <w:pPr>
              <w:spacing w:line="276" w:lineRule="auto"/>
              <w:rPr>
                <w:rFonts w:cs="Times New Roman"/>
              </w:rPr>
            </w:pPr>
            <w:r>
              <w:rPr>
                <w:rFonts w:cs="Times New Roman"/>
              </w:rPr>
              <w:t>7,02</w:t>
            </w:r>
          </w:p>
        </w:tc>
        <w:tc>
          <w:tcPr>
            <w:tcW w:w="0" w:type="auto"/>
          </w:tcPr>
          <w:p w:rsidR="00AE0C79" w:rsidRDefault="00A61E00" w:rsidP="00FA7B84">
            <w:pPr>
              <w:spacing w:line="276" w:lineRule="auto"/>
              <w:rPr>
                <w:rFonts w:cs="Times New Roman"/>
              </w:rPr>
            </w:pPr>
            <w:r>
              <w:rPr>
                <w:rFonts w:cs="Times New Roman"/>
              </w:rPr>
              <w:t>15,63</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ROCE</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0,12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-0,34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0,22</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ROS (EBIT)</w:t>
            </w:r>
          </w:p>
        </w:tc>
        <w:tc>
          <w:tcPr>
            <w:tcW w:w="0" w:type="auto"/>
          </w:tcPr>
          <w:p w:rsidR="00AE0C79" w:rsidRDefault="00A61E00" w:rsidP="00FA7B84">
            <w:pPr>
              <w:spacing w:line="276" w:lineRule="auto"/>
              <w:rPr>
                <w:rFonts w:cs="Times New Roman"/>
              </w:rPr>
            </w:pPr>
            <w:r>
              <w:rPr>
                <w:rFonts w:cs="Times New Roman"/>
              </w:rPr>
              <w:t>0,55</w:t>
            </w:r>
          </w:p>
        </w:tc>
        <w:tc>
          <w:tcPr>
            <w:tcW w:w="0" w:type="auto"/>
          </w:tcPr>
          <w:p w:rsidR="00AE0C79" w:rsidRDefault="00A61E00" w:rsidP="00FA7B84">
            <w:pPr>
              <w:spacing w:line="276" w:lineRule="auto"/>
              <w:rPr>
                <w:rFonts w:cs="Times New Roman"/>
              </w:rPr>
            </w:pPr>
            <w:r>
              <w:rPr>
                <w:rFonts w:cs="Times New Roman"/>
              </w:rPr>
              <w:t>1,93</w:t>
            </w:r>
          </w:p>
        </w:tc>
        <w:tc>
          <w:tcPr>
            <w:tcW w:w="0" w:type="auto"/>
          </w:tcPr>
          <w:p w:rsidR="00AE0C79" w:rsidRDefault="00A61E00" w:rsidP="00FA7B84">
            <w:pPr>
              <w:spacing w:line="276" w:lineRule="auto"/>
              <w:rPr>
                <w:rFonts w:cs="Times New Roman"/>
              </w:rPr>
            </w:pPr>
            <w:r>
              <w:rPr>
                <w:rFonts w:cs="Times New Roman"/>
              </w:rPr>
              <w:t>-3,65</w:t>
            </w:r>
          </w:p>
        </w:tc>
        <w:tc>
          <w:tcPr>
            <w:tcW w:w="0" w:type="auto"/>
          </w:tcPr>
          <w:p w:rsidR="00AE0C79" w:rsidRDefault="00A61E00" w:rsidP="00FA7B84">
            <w:pPr>
              <w:spacing w:line="276" w:lineRule="auto"/>
              <w:rPr>
                <w:rFonts w:cs="Times New Roman"/>
              </w:rPr>
            </w:pPr>
            <w:r>
              <w:rPr>
                <w:rFonts w:cs="Times New Roman"/>
              </w:rPr>
              <w:t>6,42</w:t>
            </w:r>
          </w:p>
        </w:tc>
        <w:tc>
          <w:tcPr>
            <w:tcW w:w="0" w:type="auto"/>
          </w:tcPr>
          <w:p w:rsidR="00AE0C79" w:rsidRDefault="00A61E00" w:rsidP="00FA7B84">
            <w:pPr>
              <w:spacing w:line="276" w:lineRule="auto"/>
              <w:rPr>
                <w:rFonts w:cs="Times New Roman"/>
              </w:rPr>
            </w:pPr>
            <w:r>
              <w:rPr>
                <w:rFonts w:cs="Times New Roman"/>
              </w:rPr>
              <w:t>5,52</w:t>
            </w:r>
          </w:p>
        </w:tc>
        <w:tc>
          <w:tcPr>
            <w:tcW w:w="0" w:type="auto"/>
          </w:tcPr>
          <w:p w:rsidR="00AE0C79" w:rsidRDefault="00A61E00" w:rsidP="00FA7B84">
            <w:pPr>
              <w:spacing w:line="276" w:lineRule="auto"/>
              <w:rPr>
                <w:rFonts w:cs="Times New Roman"/>
              </w:rPr>
            </w:pPr>
            <w:r>
              <w:rPr>
                <w:rFonts w:cs="Times New Roman"/>
              </w:rPr>
              <w:t>-1,64</w:t>
            </w:r>
          </w:p>
        </w:tc>
        <w:tc>
          <w:tcPr>
            <w:tcW w:w="0" w:type="auto"/>
          </w:tcPr>
          <w:p w:rsidR="00AE0C79" w:rsidRDefault="00A61E00" w:rsidP="00FA7B84">
            <w:pPr>
              <w:spacing w:line="276" w:lineRule="auto"/>
              <w:rPr>
                <w:rFonts w:cs="Times New Roman"/>
              </w:rPr>
            </w:pPr>
            <w:r>
              <w:rPr>
                <w:rFonts w:cs="Times New Roman"/>
              </w:rPr>
              <w:t>2,55</w:t>
            </w:r>
          </w:p>
        </w:tc>
        <w:tc>
          <w:tcPr>
            <w:tcW w:w="0" w:type="auto"/>
          </w:tcPr>
          <w:p w:rsidR="00AE0C79" w:rsidRDefault="00A61E00" w:rsidP="00FA7B84">
            <w:pPr>
              <w:spacing w:line="276" w:lineRule="auto"/>
              <w:rPr>
                <w:rFonts w:cs="Times New Roman"/>
              </w:rPr>
            </w:pPr>
            <w:r>
              <w:rPr>
                <w:rFonts w:cs="Times New Roman"/>
              </w:rPr>
              <w:t>6,41</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ROS (Čistý zisk)</w:t>
            </w:r>
          </w:p>
        </w:tc>
        <w:tc>
          <w:tcPr>
            <w:tcW w:w="0" w:type="auto"/>
          </w:tcPr>
          <w:p w:rsidR="00AE0C79" w:rsidRDefault="00A61E00" w:rsidP="00FA7B84">
            <w:pPr>
              <w:spacing w:line="276" w:lineRule="auto"/>
              <w:rPr>
                <w:rFonts w:cs="Times New Roman"/>
              </w:rPr>
            </w:pPr>
            <w:r>
              <w:rPr>
                <w:rFonts w:cs="Times New Roman"/>
              </w:rPr>
              <w:t>0,46</w:t>
            </w:r>
          </w:p>
        </w:tc>
        <w:tc>
          <w:tcPr>
            <w:tcW w:w="0" w:type="auto"/>
          </w:tcPr>
          <w:p w:rsidR="00AE0C79" w:rsidRDefault="00A61E00" w:rsidP="00FA7B84">
            <w:pPr>
              <w:spacing w:line="276" w:lineRule="auto"/>
              <w:rPr>
                <w:rFonts w:cs="Times New Roman"/>
              </w:rPr>
            </w:pPr>
            <w:r>
              <w:rPr>
                <w:rFonts w:cs="Times New Roman"/>
              </w:rPr>
              <w:t>0,86</w:t>
            </w:r>
          </w:p>
        </w:tc>
        <w:tc>
          <w:tcPr>
            <w:tcW w:w="0" w:type="auto"/>
          </w:tcPr>
          <w:p w:rsidR="00AE0C79" w:rsidRDefault="00A61E00" w:rsidP="00FA7B84">
            <w:pPr>
              <w:spacing w:line="276" w:lineRule="auto"/>
              <w:rPr>
                <w:rFonts w:cs="Times New Roman"/>
              </w:rPr>
            </w:pPr>
            <w:r>
              <w:rPr>
                <w:rFonts w:cs="Times New Roman"/>
              </w:rPr>
              <w:t>-4,84</w:t>
            </w:r>
          </w:p>
        </w:tc>
        <w:tc>
          <w:tcPr>
            <w:tcW w:w="0" w:type="auto"/>
          </w:tcPr>
          <w:p w:rsidR="00AE0C79" w:rsidRDefault="00A61E00" w:rsidP="00FA7B84">
            <w:pPr>
              <w:spacing w:line="276" w:lineRule="auto"/>
              <w:rPr>
                <w:rFonts w:cs="Times New Roman"/>
              </w:rPr>
            </w:pPr>
            <w:r>
              <w:rPr>
                <w:rFonts w:cs="Times New Roman"/>
              </w:rPr>
              <w:t>3,97</w:t>
            </w:r>
          </w:p>
        </w:tc>
        <w:tc>
          <w:tcPr>
            <w:tcW w:w="0" w:type="auto"/>
          </w:tcPr>
          <w:p w:rsidR="00AE0C79" w:rsidRDefault="00A61E00" w:rsidP="00FA7B84">
            <w:pPr>
              <w:spacing w:line="276" w:lineRule="auto"/>
              <w:rPr>
                <w:rFonts w:cs="Times New Roman"/>
              </w:rPr>
            </w:pPr>
            <w:r>
              <w:rPr>
                <w:rFonts w:cs="Times New Roman"/>
              </w:rPr>
              <w:t>3,40</w:t>
            </w:r>
          </w:p>
        </w:tc>
        <w:tc>
          <w:tcPr>
            <w:tcW w:w="0" w:type="auto"/>
          </w:tcPr>
          <w:p w:rsidR="00AE0C79" w:rsidRDefault="00A61E00" w:rsidP="00FA7B84">
            <w:pPr>
              <w:spacing w:line="276" w:lineRule="auto"/>
              <w:rPr>
                <w:rFonts w:cs="Times New Roman"/>
              </w:rPr>
            </w:pPr>
            <w:r>
              <w:rPr>
                <w:rFonts w:cs="Times New Roman"/>
              </w:rPr>
              <w:t>-3,58</w:t>
            </w:r>
          </w:p>
        </w:tc>
        <w:tc>
          <w:tcPr>
            <w:tcW w:w="0" w:type="auto"/>
          </w:tcPr>
          <w:p w:rsidR="00AE0C79" w:rsidRDefault="00A61E00" w:rsidP="00FA7B84">
            <w:pPr>
              <w:spacing w:line="276" w:lineRule="auto"/>
              <w:rPr>
                <w:rFonts w:cs="Times New Roman"/>
              </w:rPr>
            </w:pPr>
            <w:r>
              <w:rPr>
                <w:rFonts w:cs="Times New Roman"/>
              </w:rPr>
              <w:t>1,16</w:t>
            </w:r>
          </w:p>
        </w:tc>
        <w:tc>
          <w:tcPr>
            <w:tcW w:w="0" w:type="auto"/>
          </w:tcPr>
          <w:p w:rsidR="00AE0C79" w:rsidRDefault="00A61E00" w:rsidP="00FA7B84">
            <w:pPr>
              <w:spacing w:line="276" w:lineRule="auto"/>
              <w:rPr>
                <w:rFonts w:cs="Times New Roman"/>
              </w:rPr>
            </w:pPr>
            <w:r>
              <w:rPr>
                <w:rFonts w:cs="Times New Roman"/>
              </w:rPr>
              <w:t>4,24</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Průměrná úroková míra</w:t>
            </w:r>
          </w:p>
        </w:tc>
        <w:tc>
          <w:tcPr>
            <w:tcW w:w="0" w:type="auto"/>
          </w:tcPr>
          <w:p w:rsidR="00AE0C79" w:rsidRDefault="00A61E00" w:rsidP="00FA7B84">
            <w:pPr>
              <w:spacing w:line="276" w:lineRule="auto"/>
              <w:rPr>
                <w:rFonts w:cs="Times New Roman"/>
                <w:lang w:val="en-US"/>
              </w:rPr>
            </w:pPr>
            <w:r>
              <w:rPr>
                <w:rFonts w:cs="Times New Roman"/>
                <w:lang w:val="en-US"/>
              </w:rPr>
              <w:t>1,01</w:t>
            </w:r>
          </w:p>
        </w:tc>
        <w:tc>
          <w:tcPr>
            <w:tcW w:w="0" w:type="auto"/>
          </w:tcPr>
          <w:p w:rsidR="00AE0C79" w:rsidRDefault="00A61E00" w:rsidP="00FA7B84">
            <w:pPr>
              <w:spacing w:line="276" w:lineRule="auto"/>
              <w:rPr>
                <w:rFonts w:cs="Times New Roman"/>
              </w:rPr>
            </w:pPr>
            <w:r>
              <w:rPr>
                <w:rFonts w:cs="Times New Roman"/>
              </w:rPr>
              <w:t>0,83</w:t>
            </w:r>
          </w:p>
        </w:tc>
        <w:tc>
          <w:tcPr>
            <w:tcW w:w="0" w:type="auto"/>
          </w:tcPr>
          <w:p w:rsidR="00AE0C79" w:rsidRDefault="00A61E00" w:rsidP="00FA7B84">
            <w:pPr>
              <w:spacing w:line="276" w:lineRule="auto"/>
              <w:rPr>
                <w:rFonts w:cs="Times New Roman"/>
              </w:rPr>
            </w:pPr>
            <w:r>
              <w:rPr>
                <w:rFonts w:cs="Times New Roman"/>
              </w:rPr>
              <w:t>2,48</w:t>
            </w:r>
          </w:p>
        </w:tc>
        <w:tc>
          <w:tcPr>
            <w:tcW w:w="0" w:type="auto"/>
          </w:tcPr>
          <w:p w:rsidR="00AE0C79" w:rsidRDefault="00A61E00" w:rsidP="00FA7B84">
            <w:pPr>
              <w:spacing w:line="276" w:lineRule="auto"/>
              <w:rPr>
                <w:rFonts w:cs="Times New Roman"/>
              </w:rPr>
            </w:pPr>
            <w:r>
              <w:rPr>
                <w:rFonts w:cs="Times New Roman"/>
              </w:rPr>
              <w:t>8,86</w:t>
            </w:r>
          </w:p>
        </w:tc>
        <w:tc>
          <w:tcPr>
            <w:tcW w:w="0" w:type="auto"/>
          </w:tcPr>
          <w:p w:rsidR="00AE0C79" w:rsidRDefault="00A61E00" w:rsidP="00FA7B84">
            <w:pPr>
              <w:spacing w:line="276" w:lineRule="auto"/>
              <w:rPr>
                <w:rFonts w:cs="Times New Roman"/>
              </w:rPr>
            </w:pPr>
            <w:r>
              <w:rPr>
                <w:rFonts w:cs="Times New Roman"/>
              </w:rPr>
              <w:t>9,61</w:t>
            </w:r>
          </w:p>
        </w:tc>
        <w:tc>
          <w:tcPr>
            <w:tcW w:w="0" w:type="auto"/>
          </w:tcPr>
          <w:p w:rsidR="00AE0C79" w:rsidRDefault="00A61E00" w:rsidP="00FA7B84">
            <w:pPr>
              <w:spacing w:line="276" w:lineRule="auto"/>
              <w:rPr>
                <w:rFonts w:cs="Times New Roman"/>
              </w:rPr>
            </w:pPr>
            <w:r>
              <w:rPr>
                <w:rFonts w:cs="Times New Roman"/>
              </w:rPr>
              <w:t>13,21</w:t>
            </w:r>
          </w:p>
        </w:tc>
        <w:tc>
          <w:tcPr>
            <w:tcW w:w="0" w:type="auto"/>
          </w:tcPr>
          <w:p w:rsidR="00AE0C79" w:rsidRDefault="00A61E00" w:rsidP="00FA7B84">
            <w:pPr>
              <w:spacing w:line="276" w:lineRule="auto"/>
              <w:rPr>
                <w:rFonts w:cs="Times New Roman"/>
              </w:rPr>
            </w:pPr>
            <w:r>
              <w:rPr>
                <w:rFonts w:cs="Times New Roman"/>
              </w:rPr>
              <w:t>8,39</w:t>
            </w:r>
          </w:p>
        </w:tc>
        <w:tc>
          <w:tcPr>
            <w:tcW w:w="0" w:type="auto"/>
          </w:tcPr>
          <w:p w:rsidR="00AE0C79" w:rsidRDefault="00A61E00" w:rsidP="00FA7B84">
            <w:pPr>
              <w:spacing w:line="276" w:lineRule="auto"/>
              <w:rPr>
                <w:rFonts w:cs="Times New Roman"/>
              </w:rPr>
            </w:pPr>
            <w:r>
              <w:rPr>
                <w:rFonts w:cs="Times New Roman"/>
              </w:rPr>
              <w:t>7,01</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Hrubý výnos státních dluhopisů</w:t>
            </w:r>
            <w:r>
              <w:rPr>
                <w:rStyle w:val="Znakapoznpodarou"/>
                <w:rFonts w:cs="Times New Roman"/>
              </w:rPr>
              <w:footnoteReference w:id="56"/>
            </w:r>
          </w:p>
        </w:tc>
        <w:tc>
          <w:tcPr>
            <w:tcW w:w="0" w:type="auto"/>
          </w:tcPr>
          <w:p w:rsidR="00AE0C79" w:rsidRDefault="00A61E00" w:rsidP="00FA7B84">
            <w:pPr>
              <w:spacing w:line="276" w:lineRule="auto"/>
              <w:rPr>
                <w:rFonts w:cs="Times New Roman"/>
                <w:lang w:val="en-US"/>
              </w:rPr>
            </w:pPr>
            <w:r>
              <w:rPr>
                <w:rFonts w:cs="Times New Roman"/>
                <w:lang w:val="en-US"/>
              </w:rPr>
              <w:t>3,18</w:t>
            </w:r>
          </w:p>
        </w:tc>
        <w:tc>
          <w:tcPr>
            <w:tcW w:w="0" w:type="auto"/>
          </w:tcPr>
          <w:p w:rsidR="00AE0C79" w:rsidRDefault="00A61E00" w:rsidP="00FA7B84">
            <w:pPr>
              <w:spacing w:line="276" w:lineRule="auto"/>
              <w:rPr>
                <w:rFonts w:cs="Times New Roman"/>
              </w:rPr>
            </w:pPr>
            <w:r>
              <w:rPr>
                <w:rFonts w:cs="Times New Roman"/>
              </w:rPr>
              <w:t>3,90</w:t>
            </w:r>
          </w:p>
        </w:tc>
        <w:tc>
          <w:tcPr>
            <w:tcW w:w="0" w:type="auto"/>
          </w:tcPr>
          <w:p w:rsidR="00AE0C79" w:rsidRDefault="00A61E00" w:rsidP="00FA7B84">
            <w:pPr>
              <w:spacing w:line="276" w:lineRule="auto"/>
              <w:rPr>
                <w:rFonts w:cs="Times New Roman"/>
              </w:rPr>
            </w:pPr>
            <w:r>
              <w:rPr>
                <w:rFonts w:cs="Times New Roman"/>
              </w:rPr>
              <w:t>2,72</w:t>
            </w:r>
          </w:p>
        </w:tc>
        <w:tc>
          <w:tcPr>
            <w:tcW w:w="0" w:type="auto"/>
          </w:tcPr>
          <w:p w:rsidR="00AE0C79" w:rsidRDefault="00A61E00" w:rsidP="00FA7B84">
            <w:pPr>
              <w:spacing w:line="276" w:lineRule="auto"/>
              <w:rPr>
                <w:rFonts w:cs="Times New Roman"/>
              </w:rPr>
            </w:pPr>
            <w:r>
              <w:rPr>
                <w:rFonts w:cs="Times New Roman"/>
              </w:rPr>
              <w:t>3,25</w:t>
            </w:r>
          </w:p>
        </w:tc>
        <w:tc>
          <w:tcPr>
            <w:tcW w:w="0" w:type="auto"/>
          </w:tcPr>
          <w:p w:rsidR="00AE0C79" w:rsidRDefault="00A61E00" w:rsidP="00FA7B84">
            <w:pPr>
              <w:spacing w:line="276" w:lineRule="auto"/>
              <w:rPr>
                <w:rFonts w:cs="Times New Roman"/>
              </w:rPr>
            </w:pPr>
            <w:r>
              <w:rPr>
                <w:rFonts w:cs="Times New Roman"/>
              </w:rPr>
              <w:t>3,65</w:t>
            </w:r>
          </w:p>
        </w:tc>
        <w:tc>
          <w:tcPr>
            <w:tcW w:w="0" w:type="auto"/>
          </w:tcPr>
          <w:p w:rsidR="00AE0C79" w:rsidRDefault="00A61E00" w:rsidP="00FA7B84">
            <w:pPr>
              <w:spacing w:line="276" w:lineRule="auto"/>
              <w:rPr>
                <w:rFonts w:cs="Times New Roman"/>
              </w:rPr>
            </w:pPr>
            <w:r>
              <w:rPr>
                <w:rFonts w:cs="Times New Roman"/>
              </w:rPr>
              <w:t>3,83</w:t>
            </w:r>
          </w:p>
        </w:tc>
        <w:tc>
          <w:tcPr>
            <w:tcW w:w="0" w:type="auto"/>
          </w:tcPr>
          <w:p w:rsidR="00AE0C79" w:rsidRDefault="00A61E00" w:rsidP="00FA7B84">
            <w:pPr>
              <w:spacing w:line="276" w:lineRule="auto"/>
              <w:rPr>
                <w:rFonts w:cs="Times New Roman"/>
              </w:rPr>
            </w:pPr>
            <w:r>
              <w:rPr>
                <w:rFonts w:cs="Times New Roman"/>
              </w:rPr>
              <w:t>3,45</w:t>
            </w:r>
          </w:p>
        </w:tc>
        <w:tc>
          <w:tcPr>
            <w:tcW w:w="0" w:type="auto"/>
          </w:tcPr>
          <w:p w:rsidR="00AE0C79" w:rsidRDefault="00A61E00" w:rsidP="00FA7B84">
            <w:pPr>
              <w:spacing w:line="276" w:lineRule="auto"/>
              <w:rPr>
                <w:rFonts w:cs="Times New Roman"/>
              </w:rPr>
            </w:pPr>
            <w:r>
              <w:rPr>
                <w:rFonts w:cs="Times New Roman"/>
              </w:rPr>
              <w:t>2,51</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 a  data České národní banky</w:t>
      </w:r>
    </w:p>
    <w:p w:rsidR="00AE0C79" w:rsidRDefault="00A61E00" w:rsidP="00FA7B84">
      <w:pPr>
        <w:pStyle w:val="Titulek"/>
        <w:keepNext/>
        <w:spacing w:line="276" w:lineRule="auto"/>
      </w:pPr>
      <w:bookmarkStart w:id="59" w:name="_Toc324932933"/>
      <w:r>
        <w:t xml:space="preserve">Tabulka </w:t>
      </w:r>
      <w:fldSimple w:instr=" SEQ Tabulka \* ARABIC ">
        <w:r w:rsidR="00F5284D">
          <w:rPr>
            <w:noProof/>
          </w:rPr>
          <w:t>11</w:t>
        </w:r>
      </w:fldSimple>
      <w:r>
        <w:t xml:space="preserve">: Ukazatele rentability </w:t>
      </w:r>
      <w:r w:rsidR="00D15BB5">
        <w:t>konkurenčních společností</w:t>
      </w:r>
      <w:bookmarkEnd w:id="59"/>
    </w:p>
    <w:tbl>
      <w:tblPr>
        <w:tblStyle w:val="Mkatabulky"/>
        <w:tblW w:w="0" w:type="auto"/>
        <w:tblLook w:val="04A0"/>
      </w:tblPr>
      <w:tblGrid>
        <w:gridCol w:w="1720"/>
        <w:gridCol w:w="675"/>
        <w:gridCol w:w="656"/>
        <w:gridCol w:w="711"/>
        <w:gridCol w:w="711"/>
        <w:gridCol w:w="711"/>
        <w:gridCol w:w="711"/>
        <w:gridCol w:w="711"/>
        <w:gridCol w:w="711"/>
      </w:tblGrid>
      <w:tr w:rsidR="00AE0C79">
        <w:tc>
          <w:tcPr>
            <w:tcW w:w="0" w:type="auto"/>
            <w:shd w:val="clear" w:color="auto" w:fill="BFBFBF" w:themeFill="background1" w:themeFillShade="BF"/>
          </w:tcPr>
          <w:p w:rsidR="00AE0C79" w:rsidRDefault="00AE0C79" w:rsidP="00FA7B84">
            <w:pPr>
              <w:spacing w:line="276" w:lineRule="auto"/>
              <w:rPr>
                <w:rFonts w:cs="Times New Roman"/>
                <w:b/>
              </w:rPr>
            </w:pP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2003</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2004</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2005</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2006</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2007</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2008</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2009</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ROE</w:t>
            </w:r>
          </w:p>
        </w:tc>
        <w:tc>
          <w:tcPr>
            <w:tcW w:w="0" w:type="auto"/>
          </w:tcPr>
          <w:p w:rsidR="00AE0C79" w:rsidRDefault="00A61E00" w:rsidP="00FA7B84">
            <w:pPr>
              <w:spacing w:line="276" w:lineRule="auto"/>
              <w:rPr>
                <w:rFonts w:cs="Times New Roman"/>
                <w:color w:val="000000"/>
              </w:rPr>
            </w:pPr>
            <w:r>
              <w:rPr>
                <w:rFonts w:cs="Times New Roman"/>
                <w:color w:val="000000"/>
              </w:rPr>
              <w:t>-7,10</w:t>
            </w:r>
          </w:p>
        </w:tc>
        <w:tc>
          <w:tcPr>
            <w:tcW w:w="0" w:type="auto"/>
          </w:tcPr>
          <w:p w:rsidR="00AE0C79" w:rsidRDefault="00A61E00" w:rsidP="00FA7B84">
            <w:pPr>
              <w:spacing w:line="276" w:lineRule="auto"/>
              <w:rPr>
                <w:rFonts w:cs="Times New Roman"/>
                <w:color w:val="000000"/>
              </w:rPr>
            </w:pPr>
            <w:r>
              <w:rPr>
                <w:rFonts w:cs="Times New Roman"/>
                <w:color w:val="000000"/>
              </w:rPr>
              <w:t>4,58</w:t>
            </w:r>
          </w:p>
        </w:tc>
        <w:tc>
          <w:tcPr>
            <w:tcW w:w="0" w:type="auto"/>
          </w:tcPr>
          <w:p w:rsidR="00AE0C79" w:rsidRDefault="00A61E00" w:rsidP="00FA7B84">
            <w:pPr>
              <w:spacing w:line="276" w:lineRule="auto"/>
              <w:rPr>
                <w:rFonts w:cs="Times New Roman"/>
                <w:color w:val="000000"/>
              </w:rPr>
            </w:pPr>
            <w:r>
              <w:rPr>
                <w:rFonts w:cs="Times New Roman"/>
                <w:color w:val="000000"/>
              </w:rPr>
              <w:t>21,30</w:t>
            </w:r>
          </w:p>
        </w:tc>
        <w:tc>
          <w:tcPr>
            <w:tcW w:w="0" w:type="auto"/>
          </w:tcPr>
          <w:p w:rsidR="00AE0C79" w:rsidRDefault="00A61E00" w:rsidP="00FA7B84">
            <w:pPr>
              <w:spacing w:line="276" w:lineRule="auto"/>
              <w:rPr>
                <w:rFonts w:cs="Times New Roman"/>
                <w:color w:val="000000"/>
              </w:rPr>
            </w:pPr>
            <w:r>
              <w:rPr>
                <w:rFonts w:cs="Times New Roman"/>
                <w:color w:val="000000"/>
              </w:rPr>
              <w:t>21,86</w:t>
            </w:r>
          </w:p>
        </w:tc>
        <w:tc>
          <w:tcPr>
            <w:tcW w:w="0" w:type="auto"/>
          </w:tcPr>
          <w:p w:rsidR="00AE0C79" w:rsidRDefault="00A61E00" w:rsidP="00FA7B84">
            <w:pPr>
              <w:spacing w:line="276" w:lineRule="auto"/>
              <w:rPr>
                <w:rFonts w:cs="Times New Roman"/>
                <w:color w:val="000000"/>
              </w:rPr>
            </w:pPr>
            <w:r>
              <w:rPr>
                <w:rFonts w:cs="Times New Roman"/>
                <w:color w:val="000000"/>
              </w:rPr>
              <w:t>33,77</w:t>
            </w:r>
          </w:p>
        </w:tc>
        <w:tc>
          <w:tcPr>
            <w:tcW w:w="0" w:type="auto"/>
          </w:tcPr>
          <w:p w:rsidR="00AE0C79" w:rsidRDefault="00A61E00" w:rsidP="00FA7B84">
            <w:pPr>
              <w:spacing w:line="276" w:lineRule="auto"/>
              <w:rPr>
                <w:rFonts w:cs="Times New Roman"/>
                <w:color w:val="000000"/>
              </w:rPr>
            </w:pPr>
            <w:r>
              <w:rPr>
                <w:rFonts w:cs="Times New Roman"/>
                <w:color w:val="000000"/>
              </w:rPr>
              <w:t>40,11</w:t>
            </w:r>
          </w:p>
        </w:tc>
        <w:tc>
          <w:tcPr>
            <w:tcW w:w="0" w:type="auto"/>
          </w:tcPr>
          <w:p w:rsidR="00AE0C79" w:rsidRDefault="00A61E00" w:rsidP="00FA7B84">
            <w:pPr>
              <w:spacing w:line="276" w:lineRule="auto"/>
              <w:rPr>
                <w:rFonts w:cs="Times New Roman"/>
                <w:color w:val="000000"/>
              </w:rPr>
            </w:pPr>
            <w:r>
              <w:rPr>
                <w:rFonts w:cs="Times New Roman"/>
                <w:color w:val="000000"/>
              </w:rPr>
              <w:t>23,71</w:t>
            </w:r>
          </w:p>
        </w:tc>
        <w:tc>
          <w:tcPr>
            <w:tcW w:w="0" w:type="auto"/>
          </w:tcPr>
          <w:p w:rsidR="00AE0C79" w:rsidRDefault="00A61E00" w:rsidP="00FA7B84">
            <w:pPr>
              <w:spacing w:line="276" w:lineRule="auto"/>
              <w:rPr>
                <w:rFonts w:cs="Times New Roman"/>
                <w:color w:val="000000"/>
              </w:rPr>
            </w:pPr>
            <w:r>
              <w:rPr>
                <w:rFonts w:cs="Times New Roman"/>
                <w:color w:val="000000"/>
              </w:rPr>
              <w:t>21,71</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ROA</w:t>
            </w:r>
          </w:p>
        </w:tc>
        <w:tc>
          <w:tcPr>
            <w:tcW w:w="0" w:type="auto"/>
          </w:tcPr>
          <w:p w:rsidR="00AE0C79" w:rsidRDefault="00A61E00" w:rsidP="00FA7B84">
            <w:pPr>
              <w:spacing w:line="276" w:lineRule="auto"/>
              <w:rPr>
                <w:rFonts w:cs="Times New Roman"/>
                <w:color w:val="000000"/>
              </w:rPr>
            </w:pPr>
            <w:r>
              <w:rPr>
                <w:rFonts w:cs="Times New Roman"/>
                <w:color w:val="000000"/>
              </w:rPr>
              <w:t>1,20</w:t>
            </w:r>
          </w:p>
        </w:tc>
        <w:tc>
          <w:tcPr>
            <w:tcW w:w="0" w:type="auto"/>
          </w:tcPr>
          <w:p w:rsidR="00AE0C79" w:rsidRDefault="00A61E00" w:rsidP="00FA7B84">
            <w:pPr>
              <w:spacing w:line="276" w:lineRule="auto"/>
              <w:rPr>
                <w:rFonts w:cs="Times New Roman"/>
                <w:color w:val="000000"/>
              </w:rPr>
            </w:pPr>
            <w:r>
              <w:rPr>
                <w:rFonts w:cs="Times New Roman"/>
                <w:color w:val="000000"/>
              </w:rPr>
              <w:t>4,34</w:t>
            </w:r>
          </w:p>
        </w:tc>
        <w:tc>
          <w:tcPr>
            <w:tcW w:w="0" w:type="auto"/>
          </w:tcPr>
          <w:p w:rsidR="00AE0C79" w:rsidRDefault="00A61E00" w:rsidP="00FA7B84">
            <w:pPr>
              <w:spacing w:line="276" w:lineRule="auto"/>
              <w:rPr>
                <w:rFonts w:cs="Times New Roman"/>
                <w:color w:val="000000"/>
              </w:rPr>
            </w:pPr>
            <w:r>
              <w:rPr>
                <w:rFonts w:cs="Times New Roman"/>
                <w:color w:val="000000"/>
              </w:rPr>
              <w:t>6,80</w:t>
            </w:r>
          </w:p>
        </w:tc>
        <w:tc>
          <w:tcPr>
            <w:tcW w:w="0" w:type="auto"/>
          </w:tcPr>
          <w:p w:rsidR="00AE0C79" w:rsidRDefault="00A61E00" w:rsidP="00FA7B84">
            <w:pPr>
              <w:spacing w:line="276" w:lineRule="auto"/>
              <w:rPr>
                <w:rFonts w:cs="Times New Roman"/>
                <w:color w:val="000000"/>
              </w:rPr>
            </w:pPr>
            <w:r>
              <w:rPr>
                <w:rFonts w:cs="Times New Roman"/>
                <w:color w:val="000000"/>
              </w:rPr>
              <w:t>8,35</w:t>
            </w:r>
          </w:p>
        </w:tc>
        <w:tc>
          <w:tcPr>
            <w:tcW w:w="0" w:type="auto"/>
          </w:tcPr>
          <w:p w:rsidR="00AE0C79" w:rsidRDefault="00A61E00" w:rsidP="00FA7B84">
            <w:pPr>
              <w:spacing w:line="276" w:lineRule="auto"/>
              <w:rPr>
                <w:rFonts w:cs="Times New Roman"/>
                <w:color w:val="000000"/>
              </w:rPr>
            </w:pPr>
            <w:r>
              <w:rPr>
                <w:rFonts w:cs="Times New Roman"/>
                <w:color w:val="000000"/>
              </w:rPr>
              <w:t>14,87</w:t>
            </w:r>
          </w:p>
        </w:tc>
        <w:tc>
          <w:tcPr>
            <w:tcW w:w="0" w:type="auto"/>
          </w:tcPr>
          <w:p w:rsidR="00AE0C79" w:rsidRDefault="00A61E00" w:rsidP="00FA7B84">
            <w:pPr>
              <w:spacing w:line="276" w:lineRule="auto"/>
              <w:rPr>
                <w:rFonts w:cs="Times New Roman"/>
                <w:color w:val="000000"/>
              </w:rPr>
            </w:pPr>
            <w:r>
              <w:rPr>
                <w:rFonts w:cs="Times New Roman"/>
                <w:color w:val="000000"/>
              </w:rPr>
              <w:t>25,89</w:t>
            </w:r>
          </w:p>
        </w:tc>
        <w:tc>
          <w:tcPr>
            <w:tcW w:w="0" w:type="auto"/>
          </w:tcPr>
          <w:p w:rsidR="00AE0C79" w:rsidRDefault="00A61E00" w:rsidP="00FA7B84">
            <w:pPr>
              <w:spacing w:line="276" w:lineRule="auto"/>
              <w:rPr>
                <w:rFonts w:cs="Times New Roman"/>
                <w:color w:val="000000"/>
              </w:rPr>
            </w:pPr>
            <w:r>
              <w:rPr>
                <w:rFonts w:cs="Times New Roman"/>
                <w:color w:val="000000"/>
              </w:rPr>
              <w:t>16,70</w:t>
            </w:r>
          </w:p>
        </w:tc>
        <w:tc>
          <w:tcPr>
            <w:tcW w:w="0" w:type="auto"/>
          </w:tcPr>
          <w:p w:rsidR="00AE0C79" w:rsidRDefault="00A61E00" w:rsidP="00FA7B84">
            <w:pPr>
              <w:spacing w:line="276" w:lineRule="auto"/>
              <w:rPr>
                <w:rFonts w:cs="Times New Roman"/>
                <w:color w:val="000000"/>
              </w:rPr>
            </w:pPr>
            <w:r>
              <w:rPr>
                <w:rFonts w:cs="Times New Roman"/>
                <w:color w:val="000000"/>
              </w:rPr>
              <w:t>7,49</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ROCE</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0,14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0,14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0,40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0,14</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ROS (EBIT)</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0,55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1,49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3,90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4,39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7,66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10,11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7,89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3,23</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ROS (Čistý zisk)</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0,39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0,87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2,55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2,62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5,41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7,71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5,88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2,38</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Hodnoty ukazatele ROE má sledovaný podnik oproti konkurenci vždy vyšší, s výjimkou let 2005 a 2008, kdy jsou jeho hodnoty záporné kvůli zápornému výsledku hospodaření. Vyšší hodnota ukazatele ROE oproti konkurenci je pro podnik příznivou zprávou, neboť značí vyšší výnosnost vlastního kapitálu. Analýza rozvahy ukázala, že podnik využívá k financování především cizích zdrojů. To může mít za následek vyšší hodnoty ukazatele ROE, právě kvůli menší hodnotě vlastního kapitálu, která se nachází ve jmenovateli vzorce pro výpočet.</w:t>
      </w:r>
    </w:p>
    <w:p w:rsidR="00AE0C79" w:rsidRDefault="00A61E00" w:rsidP="00FA7B84">
      <w:pPr>
        <w:spacing w:line="276" w:lineRule="auto"/>
      </w:pPr>
      <w:r>
        <w:t xml:space="preserve">Jak jsem již uvedl v teoretické části této práce, pro porovnávání podniků s rozdílnou kapitálovou strukturou je vhodnější použít ukazatel ROA, který k výpočtu nevyužívá </w:t>
      </w:r>
      <w:r>
        <w:lastRenderedPageBreak/>
        <w:t xml:space="preserve">vlastního kapitálu, ale celkového kapitálu podniku. Zatímco hodnoty ukazatele ROE, pokud nebereme v úvahu roky 2005 a 2008, byly vždy větší než u konkurence, u hodnot ukazatele ROA tomu tak již není. Hodnoty ukazatele ROA jsou srovnatelné s konkurencí, v polovině let s kladným hospodářským výsledkem má lepší hodnoty sledovaný podnik a v druhé polovině konkurence. To tedy napovídá o vyrovnané výnosnosti s konkurencí a také trochu naznačuje, že podnik využívá příliš mnoho cizích zdrojů, které mu tak nepřináší požadovanou a očekávanou vyšší výnosnost. </w:t>
      </w:r>
    </w:p>
    <w:p w:rsidR="00AE0C79" w:rsidRDefault="00A61E00" w:rsidP="00FA7B84">
      <w:pPr>
        <w:spacing w:line="276" w:lineRule="auto"/>
      </w:pPr>
      <w:r>
        <w:t>To potvrzuje také ukazatel ROCE, který má podobnou vypovídací schopnost jako ukazatel ROA. Výnosnost dlouhodobých zdrojů má podnik také v polovině let lepší a v polovině horší při srovnání s konkurencí. Obdobný trend lze sledovat i u obou ukazatelů ROS. Tím se potvrzuje vyrovnanost ukazatelů rentability mezi sledovaným podnikem a konkurencí.</w:t>
      </w:r>
    </w:p>
    <w:p w:rsidR="00AE0C79" w:rsidRDefault="00A61E00" w:rsidP="00FA7B84">
      <w:pPr>
        <w:spacing w:line="276" w:lineRule="auto"/>
      </w:pPr>
      <w:r>
        <w:t xml:space="preserve">Příznivou zprávou pro podnik je, že ve sledovaném období jsou hodnoty ukazatelů ROE a ROA téměř vždy vyšší, než hodnoty průměrné úrokové míry a průměrného výnosu ze státních dluhopisů. Jedinou výjimkou, kromě let se záporným hospodářským výsledkem, je v případě ukazatele ROA rok 2003, kdy byla jeho hodnota nižší, než hrubý výnos ze státních dluhopisů, a rok 2009, kdy byla jeho hodna nižší než hodnota průměrné úrokové míry. </w:t>
      </w:r>
    </w:p>
    <w:p w:rsidR="00AE0C79" w:rsidRDefault="00A61E00" w:rsidP="00FA7B84">
      <w:pPr>
        <w:spacing w:line="276" w:lineRule="auto"/>
      </w:pPr>
      <w:r>
        <w:t>Další příznivou zprávou je, že v posledních dvou letech hodnoty všech ukazatelů rentability u konkurence klesají, zatímco hodnoty těchto ukazatelů u sledovaného podniku rostou.</w:t>
      </w:r>
    </w:p>
    <w:p w:rsidR="00AE0C79" w:rsidRDefault="00A61E00" w:rsidP="00FA7B84">
      <w:pPr>
        <w:pStyle w:val="Nadpis3"/>
        <w:spacing w:line="276" w:lineRule="auto"/>
      </w:pPr>
      <w:bookmarkStart w:id="60" w:name="_Toc324932909"/>
      <w:r>
        <w:t>Ukazatele aktivity</w:t>
      </w:r>
      <w:bookmarkEnd w:id="60"/>
    </w:p>
    <w:p w:rsidR="00AE0C79" w:rsidRDefault="00A61E00" w:rsidP="00FA7B84">
      <w:pPr>
        <w:spacing w:line="276" w:lineRule="auto"/>
      </w:pPr>
      <w:r>
        <w:t>Ukazatel obratu aktiv vykazuje pozitivní vývoj. Zatímco na začátku sledovaného období byla jeho hodnota nižší než hodnota konkurence, postupně se jeho hodnota zvyšuje a převyšuje obrat aktiv konkurence. To je samozřejmě způsobeno pozitivním vývojem tržeb, jejichž růst převyšuje růst aktiv. Znamená to také postupné zvyšování kapitálové intenzity podniku.</w:t>
      </w:r>
    </w:p>
    <w:p w:rsidR="00AE0C79" w:rsidRDefault="00A61E00" w:rsidP="00FA7B84">
      <w:pPr>
        <w:pStyle w:val="Titulek"/>
        <w:keepNext/>
        <w:spacing w:line="276" w:lineRule="auto"/>
      </w:pPr>
      <w:bookmarkStart w:id="61" w:name="_Toc324932934"/>
      <w:r>
        <w:t xml:space="preserve">Tabulka </w:t>
      </w:r>
      <w:fldSimple w:instr=" SEQ Tabulka \* ARABIC ">
        <w:r w:rsidR="00F5284D">
          <w:rPr>
            <w:noProof/>
          </w:rPr>
          <w:t>12</w:t>
        </w:r>
      </w:fldSimple>
      <w:r>
        <w:t>: Ukazatele aktivity společnosti Dentamed s.r.o.</w:t>
      </w:r>
      <w:bookmarkEnd w:id="61"/>
    </w:p>
    <w:tbl>
      <w:tblPr>
        <w:tblStyle w:val="Mkatabulky"/>
        <w:tblW w:w="0" w:type="auto"/>
        <w:tblLook w:val="04A0"/>
      </w:tblPr>
      <w:tblGrid>
        <w:gridCol w:w="2379"/>
        <w:gridCol w:w="821"/>
        <w:gridCol w:w="711"/>
        <w:gridCol w:w="711"/>
        <w:gridCol w:w="711"/>
        <w:gridCol w:w="711"/>
        <w:gridCol w:w="711"/>
        <w:gridCol w:w="711"/>
        <w:gridCol w:w="711"/>
      </w:tblGrid>
      <w:tr w:rsidR="00AE0C79">
        <w:tc>
          <w:tcPr>
            <w:tcW w:w="0" w:type="auto"/>
            <w:shd w:val="clear" w:color="auto" w:fill="8DB3E2" w:themeFill="text2" w:themeFillTint="66"/>
          </w:tcPr>
          <w:p w:rsidR="00AE0C79" w:rsidRDefault="00AE0C79" w:rsidP="00FA7B84">
            <w:pPr>
              <w:tabs>
                <w:tab w:val="left" w:pos="1110"/>
              </w:tabs>
              <w:spacing w:line="276" w:lineRule="auto"/>
              <w:rPr>
                <w:rFonts w:cs="Times New Roman"/>
                <w:b/>
              </w:rPr>
            </w:pP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2003</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2004</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2005</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2006</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2007</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2008</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2009</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Obrat aktiv</w:t>
            </w:r>
          </w:p>
        </w:tc>
        <w:tc>
          <w:tcPr>
            <w:tcW w:w="0" w:type="auto"/>
            <w:shd w:val="clear" w:color="auto" w:fill="auto"/>
          </w:tcPr>
          <w:p w:rsidR="00AE0C79" w:rsidRDefault="00A61E00" w:rsidP="00FA7B84">
            <w:pPr>
              <w:spacing w:line="276" w:lineRule="auto"/>
              <w:rPr>
                <w:rFonts w:cs="Times New Roman"/>
              </w:rPr>
            </w:pPr>
            <w:r>
              <w:rPr>
                <w:rFonts w:cs="Times New Roman"/>
              </w:rPr>
              <w:t>2,00</w:t>
            </w:r>
          </w:p>
        </w:tc>
        <w:tc>
          <w:tcPr>
            <w:tcW w:w="0" w:type="auto"/>
            <w:shd w:val="clear" w:color="auto" w:fill="auto"/>
          </w:tcPr>
          <w:p w:rsidR="00AE0C79" w:rsidRDefault="00A61E00" w:rsidP="00FA7B84">
            <w:pPr>
              <w:spacing w:line="276" w:lineRule="auto"/>
              <w:rPr>
                <w:rFonts w:cs="Times New Roman"/>
              </w:rPr>
            </w:pPr>
            <w:r>
              <w:rPr>
                <w:rFonts w:cs="Times New Roman"/>
              </w:rPr>
              <w:t>2,26</w:t>
            </w:r>
          </w:p>
        </w:tc>
        <w:tc>
          <w:tcPr>
            <w:tcW w:w="0" w:type="auto"/>
            <w:shd w:val="clear" w:color="auto" w:fill="auto"/>
          </w:tcPr>
          <w:p w:rsidR="00AE0C79" w:rsidRDefault="00A61E00" w:rsidP="00FA7B84">
            <w:pPr>
              <w:spacing w:line="276" w:lineRule="auto"/>
              <w:rPr>
                <w:rFonts w:cs="Times New Roman"/>
              </w:rPr>
            </w:pPr>
            <w:r>
              <w:rPr>
                <w:rFonts w:cs="Times New Roman"/>
              </w:rPr>
              <w:t>2,44</w:t>
            </w:r>
          </w:p>
        </w:tc>
        <w:tc>
          <w:tcPr>
            <w:tcW w:w="0" w:type="auto"/>
            <w:shd w:val="clear" w:color="auto" w:fill="auto"/>
          </w:tcPr>
          <w:p w:rsidR="00AE0C79" w:rsidRDefault="00A61E00" w:rsidP="00FA7B84">
            <w:pPr>
              <w:spacing w:line="276" w:lineRule="auto"/>
              <w:rPr>
                <w:rFonts w:cs="Times New Roman"/>
              </w:rPr>
            </w:pPr>
            <w:r>
              <w:rPr>
                <w:rFonts w:cs="Times New Roman"/>
              </w:rPr>
              <w:t>2,97</w:t>
            </w:r>
          </w:p>
        </w:tc>
        <w:tc>
          <w:tcPr>
            <w:tcW w:w="0" w:type="auto"/>
            <w:shd w:val="clear" w:color="auto" w:fill="auto"/>
          </w:tcPr>
          <w:p w:rsidR="00AE0C79" w:rsidRDefault="00A61E00" w:rsidP="00FA7B84">
            <w:pPr>
              <w:spacing w:line="276" w:lineRule="auto"/>
              <w:rPr>
                <w:rFonts w:cs="Times New Roman"/>
              </w:rPr>
            </w:pPr>
            <w:r>
              <w:rPr>
                <w:rFonts w:cs="Times New Roman"/>
              </w:rPr>
              <w:t>2,38</w:t>
            </w:r>
          </w:p>
        </w:tc>
        <w:tc>
          <w:tcPr>
            <w:tcW w:w="0" w:type="auto"/>
            <w:shd w:val="clear" w:color="auto" w:fill="auto"/>
          </w:tcPr>
          <w:p w:rsidR="00AE0C79" w:rsidRDefault="00A61E00" w:rsidP="00FA7B84">
            <w:pPr>
              <w:spacing w:line="276" w:lineRule="auto"/>
              <w:rPr>
                <w:rFonts w:cs="Times New Roman"/>
              </w:rPr>
            </w:pPr>
            <w:r>
              <w:rPr>
                <w:rFonts w:cs="Times New Roman"/>
              </w:rPr>
              <w:t>2,54</w:t>
            </w:r>
          </w:p>
        </w:tc>
        <w:tc>
          <w:tcPr>
            <w:tcW w:w="0" w:type="auto"/>
            <w:shd w:val="clear" w:color="auto" w:fill="auto"/>
          </w:tcPr>
          <w:p w:rsidR="00AE0C79" w:rsidRDefault="00A61E00" w:rsidP="00FA7B84">
            <w:pPr>
              <w:spacing w:line="276" w:lineRule="auto"/>
              <w:rPr>
                <w:rFonts w:cs="Times New Roman"/>
              </w:rPr>
            </w:pPr>
            <w:r>
              <w:rPr>
                <w:rFonts w:cs="Times New Roman"/>
              </w:rPr>
              <w:t>2,75</w:t>
            </w:r>
          </w:p>
        </w:tc>
        <w:tc>
          <w:tcPr>
            <w:tcW w:w="0" w:type="auto"/>
            <w:shd w:val="clear" w:color="auto" w:fill="auto"/>
          </w:tcPr>
          <w:p w:rsidR="00AE0C79" w:rsidRDefault="00A61E00" w:rsidP="00FA7B84">
            <w:pPr>
              <w:spacing w:line="276" w:lineRule="auto"/>
              <w:rPr>
                <w:rFonts w:cs="Times New Roman"/>
              </w:rPr>
            </w:pPr>
            <w:r>
              <w:rPr>
                <w:rFonts w:cs="Times New Roman"/>
              </w:rPr>
              <w:t>2,44</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Doba obratu zásob</w:t>
            </w:r>
          </w:p>
        </w:tc>
        <w:tc>
          <w:tcPr>
            <w:tcW w:w="0" w:type="auto"/>
            <w:shd w:val="clear" w:color="auto" w:fill="auto"/>
          </w:tcPr>
          <w:p w:rsidR="00AE0C79" w:rsidRDefault="00A61E00" w:rsidP="00FA7B84">
            <w:pPr>
              <w:spacing w:line="276" w:lineRule="auto"/>
              <w:rPr>
                <w:rFonts w:cs="Times New Roman"/>
              </w:rPr>
            </w:pPr>
            <w:r>
              <w:rPr>
                <w:rFonts w:cs="Times New Roman"/>
              </w:rPr>
              <w:t>56,63</w:t>
            </w:r>
          </w:p>
        </w:tc>
        <w:tc>
          <w:tcPr>
            <w:tcW w:w="0" w:type="auto"/>
            <w:shd w:val="clear" w:color="auto" w:fill="auto"/>
          </w:tcPr>
          <w:p w:rsidR="00AE0C79" w:rsidRDefault="00A61E00" w:rsidP="00FA7B84">
            <w:pPr>
              <w:spacing w:line="276" w:lineRule="auto"/>
              <w:rPr>
                <w:rFonts w:cs="Times New Roman"/>
              </w:rPr>
            </w:pPr>
            <w:r>
              <w:rPr>
                <w:rFonts w:cs="Times New Roman"/>
              </w:rPr>
              <w:t>72,32</w:t>
            </w:r>
          </w:p>
        </w:tc>
        <w:tc>
          <w:tcPr>
            <w:tcW w:w="0" w:type="auto"/>
            <w:shd w:val="clear" w:color="auto" w:fill="auto"/>
          </w:tcPr>
          <w:p w:rsidR="00AE0C79" w:rsidRDefault="00A61E00" w:rsidP="00FA7B84">
            <w:pPr>
              <w:spacing w:line="276" w:lineRule="auto"/>
              <w:rPr>
                <w:rFonts w:cs="Times New Roman"/>
              </w:rPr>
            </w:pPr>
            <w:r>
              <w:rPr>
                <w:rFonts w:cs="Times New Roman"/>
              </w:rPr>
              <w:t>71,09</w:t>
            </w:r>
          </w:p>
        </w:tc>
        <w:tc>
          <w:tcPr>
            <w:tcW w:w="0" w:type="auto"/>
            <w:shd w:val="clear" w:color="auto" w:fill="auto"/>
          </w:tcPr>
          <w:p w:rsidR="00AE0C79" w:rsidRDefault="00A61E00" w:rsidP="00FA7B84">
            <w:pPr>
              <w:spacing w:line="276" w:lineRule="auto"/>
              <w:rPr>
                <w:rFonts w:cs="Times New Roman"/>
              </w:rPr>
            </w:pPr>
            <w:r>
              <w:rPr>
                <w:rFonts w:cs="Times New Roman"/>
              </w:rPr>
              <w:t>65,18</w:t>
            </w:r>
          </w:p>
        </w:tc>
        <w:tc>
          <w:tcPr>
            <w:tcW w:w="0" w:type="auto"/>
            <w:shd w:val="clear" w:color="auto" w:fill="auto"/>
          </w:tcPr>
          <w:p w:rsidR="00AE0C79" w:rsidRDefault="00A61E00" w:rsidP="00FA7B84">
            <w:pPr>
              <w:spacing w:line="276" w:lineRule="auto"/>
              <w:rPr>
                <w:rFonts w:cs="Times New Roman"/>
              </w:rPr>
            </w:pPr>
            <w:r>
              <w:rPr>
                <w:rFonts w:cs="Times New Roman"/>
              </w:rPr>
              <w:t>62,83</w:t>
            </w:r>
          </w:p>
        </w:tc>
        <w:tc>
          <w:tcPr>
            <w:tcW w:w="0" w:type="auto"/>
            <w:shd w:val="clear" w:color="auto" w:fill="auto"/>
          </w:tcPr>
          <w:p w:rsidR="00AE0C79" w:rsidRDefault="00A61E00" w:rsidP="00FA7B84">
            <w:pPr>
              <w:spacing w:line="276" w:lineRule="auto"/>
              <w:rPr>
                <w:rFonts w:cs="Times New Roman"/>
              </w:rPr>
            </w:pPr>
            <w:r>
              <w:rPr>
                <w:rFonts w:cs="Times New Roman"/>
              </w:rPr>
              <w:t>58,00</w:t>
            </w:r>
          </w:p>
        </w:tc>
        <w:tc>
          <w:tcPr>
            <w:tcW w:w="0" w:type="auto"/>
            <w:shd w:val="clear" w:color="auto" w:fill="auto"/>
          </w:tcPr>
          <w:p w:rsidR="00AE0C79" w:rsidRDefault="00A61E00" w:rsidP="00FA7B84">
            <w:pPr>
              <w:spacing w:line="276" w:lineRule="auto"/>
              <w:rPr>
                <w:rFonts w:cs="Times New Roman"/>
              </w:rPr>
            </w:pPr>
            <w:r>
              <w:rPr>
                <w:rFonts w:cs="Times New Roman"/>
              </w:rPr>
              <w:t>60,93</w:t>
            </w:r>
          </w:p>
        </w:tc>
        <w:tc>
          <w:tcPr>
            <w:tcW w:w="0" w:type="auto"/>
            <w:shd w:val="clear" w:color="auto" w:fill="auto"/>
          </w:tcPr>
          <w:p w:rsidR="00AE0C79" w:rsidRDefault="00A61E00" w:rsidP="00FA7B84">
            <w:pPr>
              <w:spacing w:line="276" w:lineRule="auto"/>
              <w:rPr>
                <w:rFonts w:cs="Times New Roman"/>
              </w:rPr>
            </w:pPr>
            <w:r>
              <w:rPr>
                <w:rFonts w:cs="Times New Roman"/>
              </w:rPr>
              <w:t>66,65</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Doba obratu pohledávek</w:t>
            </w:r>
          </w:p>
        </w:tc>
        <w:tc>
          <w:tcPr>
            <w:tcW w:w="0" w:type="auto"/>
            <w:shd w:val="clear" w:color="auto" w:fill="auto"/>
          </w:tcPr>
          <w:p w:rsidR="00AE0C79" w:rsidRDefault="00A61E00" w:rsidP="00FA7B84">
            <w:pPr>
              <w:spacing w:line="276" w:lineRule="auto"/>
              <w:rPr>
                <w:rFonts w:cs="Times New Roman"/>
              </w:rPr>
            </w:pPr>
            <w:r>
              <w:rPr>
                <w:rFonts w:cs="Times New Roman"/>
              </w:rPr>
              <w:t>56,90</w:t>
            </w:r>
          </w:p>
        </w:tc>
        <w:tc>
          <w:tcPr>
            <w:tcW w:w="0" w:type="auto"/>
            <w:shd w:val="clear" w:color="auto" w:fill="auto"/>
          </w:tcPr>
          <w:p w:rsidR="00AE0C79" w:rsidRDefault="00A61E00" w:rsidP="00FA7B84">
            <w:pPr>
              <w:spacing w:line="276" w:lineRule="auto"/>
              <w:rPr>
                <w:rFonts w:cs="Times New Roman"/>
              </w:rPr>
            </w:pPr>
            <w:r>
              <w:rPr>
                <w:rFonts w:cs="Times New Roman"/>
              </w:rPr>
              <w:t>51,71</w:t>
            </w:r>
          </w:p>
        </w:tc>
        <w:tc>
          <w:tcPr>
            <w:tcW w:w="0" w:type="auto"/>
            <w:shd w:val="clear" w:color="auto" w:fill="auto"/>
          </w:tcPr>
          <w:p w:rsidR="00AE0C79" w:rsidRDefault="00A61E00" w:rsidP="00FA7B84">
            <w:pPr>
              <w:spacing w:line="276" w:lineRule="auto"/>
              <w:rPr>
                <w:rFonts w:cs="Times New Roman"/>
              </w:rPr>
            </w:pPr>
            <w:r>
              <w:rPr>
                <w:rFonts w:cs="Times New Roman"/>
              </w:rPr>
              <w:t>24,00</w:t>
            </w:r>
          </w:p>
        </w:tc>
        <w:tc>
          <w:tcPr>
            <w:tcW w:w="0" w:type="auto"/>
            <w:shd w:val="clear" w:color="auto" w:fill="auto"/>
          </w:tcPr>
          <w:p w:rsidR="00AE0C79" w:rsidRDefault="00A61E00" w:rsidP="00FA7B84">
            <w:pPr>
              <w:spacing w:line="276" w:lineRule="auto"/>
              <w:rPr>
                <w:rFonts w:cs="Times New Roman"/>
              </w:rPr>
            </w:pPr>
            <w:r>
              <w:rPr>
                <w:rFonts w:cs="Times New Roman"/>
              </w:rPr>
              <w:t>31,14</w:t>
            </w:r>
          </w:p>
        </w:tc>
        <w:tc>
          <w:tcPr>
            <w:tcW w:w="0" w:type="auto"/>
            <w:shd w:val="clear" w:color="auto" w:fill="auto"/>
          </w:tcPr>
          <w:p w:rsidR="00AE0C79" w:rsidRDefault="00A61E00" w:rsidP="00FA7B84">
            <w:pPr>
              <w:spacing w:line="276" w:lineRule="auto"/>
              <w:rPr>
                <w:rFonts w:cs="Times New Roman"/>
              </w:rPr>
            </w:pPr>
            <w:r>
              <w:rPr>
                <w:rFonts w:cs="Times New Roman"/>
              </w:rPr>
              <w:t>41,30</w:t>
            </w:r>
          </w:p>
        </w:tc>
        <w:tc>
          <w:tcPr>
            <w:tcW w:w="0" w:type="auto"/>
            <w:shd w:val="clear" w:color="auto" w:fill="auto"/>
          </w:tcPr>
          <w:p w:rsidR="00AE0C79" w:rsidRDefault="00A61E00" w:rsidP="00FA7B84">
            <w:pPr>
              <w:spacing w:line="276" w:lineRule="auto"/>
              <w:rPr>
                <w:rFonts w:cs="Times New Roman"/>
              </w:rPr>
            </w:pPr>
            <w:r>
              <w:rPr>
                <w:rFonts w:cs="Times New Roman"/>
              </w:rPr>
              <w:t>27,91</w:t>
            </w:r>
          </w:p>
        </w:tc>
        <w:tc>
          <w:tcPr>
            <w:tcW w:w="0" w:type="auto"/>
            <w:shd w:val="clear" w:color="auto" w:fill="auto"/>
          </w:tcPr>
          <w:p w:rsidR="00AE0C79" w:rsidRDefault="00A61E00" w:rsidP="00FA7B84">
            <w:pPr>
              <w:spacing w:line="276" w:lineRule="auto"/>
              <w:rPr>
                <w:rFonts w:cs="Times New Roman"/>
              </w:rPr>
            </w:pPr>
            <w:r>
              <w:rPr>
                <w:rFonts w:cs="Times New Roman"/>
              </w:rPr>
              <w:t>25,12</w:t>
            </w:r>
          </w:p>
        </w:tc>
        <w:tc>
          <w:tcPr>
            <w:tcW w:w="0" w:type="auto"/>
            <w:shd w:val="clear" w:color="auto" w:fill="auto"/>
          </w:tcPr>
          <w:p w:rsidR="00AE0C79" w:rsidRDefault="00A61E00" w:rsidP="00FA7B84">
            <w:pPr>
              <w:spacing w:line="276" w:lineRule="auto"/>
              <w:rPr>
                <w:rFonts w:cs="Times New Roman"/>
              </w:rPr>
            </w:pPr>
            <w:r>
              <w:rPr>
                <w:rFonts w:cs="Times New Roman"/>
              </w:rPr>
              <w:t>32,34</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Doba obratu závazků</w:t>
            </w:r>
          </w:p>
        </w:tc>
        <w:tc>
          <w:tcPr>
            <w:tcW w:w="0" w:type="auto"/>
            <w:shd w:val="clear" w:color="auto" w:fill="auto"/>
          </w:tcPr>
          <w:p w:rsidR="00AE0C79" w:rsidRDefault="00A61E00" w:rsidP="00FA7B84">
            <w:pPr>
              <w:spacing w:line="276" w:lineRule="auto"/>
              <w:rPr>
                <w:rFonts w:cs="Times New Roman"/>
              </w:rPr>
            </w:pPr>
            <w:r>
              <w:rPr>
                <w:rFonts w:cs="Times New Roman"/>
              </w:rPr>
              <w:t>138,45</w:t>
            </w:r>
          </w:p>
        </w:tc>
        <w:tc>
          <w:tcPr>
            <w:tcW w:w="0" w:type="auto"/>
            <w:shd w:val="clear" w:color="auto" w:fill="auto"/>
          </w:tcPr>
          <w:p w:rsidR="00AE0C79" w:rsidRDefault="00A61E00" w:rsidP="00FA7B84">
            <w:pPr>
              <w:spacing w:line="276" w:lineRule="auto"/>
              <w:rPr>
                <w:rFonts w:cs="Times New Roman"/>
              </w:rPr>
            </w:pPr>
            <w:r>
              <w:rPr>
                <w:rFonts w:cs="Times New Roman"/>
              </w:rPr>
              <w:t>67,33</w:t>
            </w:r>
          </w:p>
        </w:tc>
        <w:tc>
          <w:tcPr>
            <w:tcW w:w="0" w:type="auto"/>
            <w:shd w:val="clear" w:color="auto" w:fill="auto"/>
          </w:tcPr>
          <w:p w:rsidR="00AE0C79" w:rsidRDefault="00A61E00" w:rsidP="00FA7B84">
            <w:pPr>
              <w:spacing w:line="276" w:lineRule="auto"/>
              <w:rPr>
                <w:rFonts w:cs="Times New Roman"/>
              </w:rPr>
            </w:pPr>
            <w:r>
              <w:rPr>
                <w:rFonts w:cs="Times New Roman"/>
              </w:rPr>
              <w:t>60,86</w:t>
            </w:r>
          </w:p>
        </w:tc>
        <w:tc>
          <w:tcPr>
            <w:tcW w:w="0" w:type="auto"/>
            <w:shd w:val="clear" w:color="auto" w:fill="auto"/>
          </w:tcPr>
          <w:p w:rsidR="00AE0C79" w:rsidRDefault="00A61E00" w:rsidP="00FA7B84">
            <w:pPr>
              <w:spacing w:line="276" w:lineRule="auto"/>
              <w:rPr>
                <w:rFonts w:cs="Times New Roman"/>
              </w:rPr>
            </w:pPr>
            <w:r>
              <w:rPr>
                <w:rFonts w:cs="Times New Roman"/>
              </w:rPr>
              <w:t>55,59</w:t>
            </w:r>
          </w:p>
        </w:tc>
        <w:tc>
          <w:tcPr>
            <w:tcW w:w="0" w:type="auto"/>
            <w:shd w:val="clear" w:color="auto" w:fill="auto"/>
          </w:tcPr>
          <w:p w:rsidR="00AE0C79" w:rsidRDefault="00A61E00" w:rsidP="00FA7B84">
            <w:pPr>
              <w:spacing w:line="276" w:lineRule="auto"/>
              <w:rPr>
                <w:rFonts w:cs="Times New Roman"/>
              </w:rPr>
            </w:pPr>
            <w:r>
              <w:rPr>
                <w:rFonts w:cs="Times New Roman"/>
              </w:rPr>
              <w:t>85,21</w:t>
            </w:r>
          </w:p>
        </w:tc>
        <w:tc>
          <w:tcPr>
            <w:tcW w:w="0" w:type="auto"/>
            <w:shd w:val="clear" w:color="auto" w:fill="auto"/>
          </w:tcPr>
          <w:p w:rsidR="00AE0C79" w:rsidRDefault="00A61E00" w:rsidP="00FA7B84">
            <w:pPr>
              <w:spacing w:line="276" w:lineRule="auto"/>
              <w:rPr>
                <w:rFonts w:cs="Times New Roman"/>
              </w:rPr>
            </w:pPr>
            <w:r>
              <w:rPr>
                <w:rFonts w:cs="Times New Roman"/>
              </w:rPr>
              <w:t>81,52</w:t>
            </w:r>
          </w:p>
        </w:tc>
        <w:tc>
          <w:tcPr>
            <w:tcW w:w="0" w:type="auto"/>
            <w:shd w:val="clear" w:color="auto" w:fill="auto"/>
          </w:tcPr>
          <w:p w:rsidR="00AE0C79" w:rsidRDefault="00A61E00" w:rsidP="00FA7B84">
            <w:pPr>
              <w:spacing w:line="276" w:lineRule="auto"/>
              <w:rPr>
                <w:rFonts w:cs="Times New Roman"/>
              </w:rPr>
            </w:pPr>
            <w:r>
              <w:rPr>
                <w:rFonts w:cs="Times New Roman"/>
              </w:rPr>
              <w:t>59,46</w:t>
            </w:r>
          </w:p>
        </w:tc>
        <w:tc>
          <w:tcPr>
            <w:tcW w:w="0" w:type="auto"/>
            <w:shd w:val="clear" w:color="auto" w:fill="auto"/>
          </w:tcPr>
          <w:p w:rsidR="00AE0C79" w:rsidRDefault="00A61E00" w:rsidP="00FA7B84">
            <w:pPr>
              <w:spacing w:line="276" w:lineRule="auto"/>
              <w:rPr>
                <w:rFonts w:cs="Times New Roman"/>
              </w:rPr>
            </w:pPr>
            <w:r>
              <w:rPr>
                <w:rFonts w:cs="Times New Roman"/>
              </w:rPr>
              <w:t>64,14</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Titulek"/>
        <w:keepNext/>
        <w:spacing w:line="276" w:lineRule="auto"/>
      </w:pPr>
      <w:bookmarkStart w:id="62" w:name="_Toc324932935"/>
      <w:r>
        <w:t xml:space="preserve">Tabulka </w:t>
      </w:r>
      <w:fldSimple w:instr=" SEQ Tabulka \* ARABIC ">
        <w:r w:rsidR="00F5284D">
          <w:rPr>
            <w:noProof/>
          </w:rPr>
          <w:t>13</w:t>
        </w:r>
      </w:fldSimple>
      <w:r>
        <w:t xml:space="preserve">: Ukazatele aktivity </w:t>
      </w:r>
      <w:r w:rsidR="00D15BB5">
        <w:t>konkurenčních společností</w:t>
      </w:r>
      <w:bookmarkEnd w:id="62"/>
    </w:p>
    <w:tbl>
      <w:tblPr>
        <w:tblStyle w:val="Mkatabulky"/>
        <w:tblW w:w="0" w:type="auto"/>
        <w:tblLook w:val="04A0"/>
      </w:tblPr>
      <w:tblGrid>
        <w:gridCol w:w="2379"/>
        <w:gridCol w:w="821"/>
        <w:gridCol w:w="711"/>
        <w:gridCol w:w="711"/>
        <w:gridCol w:w="711"/>
        <w:gridCol w:w="711"/>
        <w:gridCol w:w="711"/>
        <w:gridCol w:w="711"/>
        <w:gridCol w:w="711"/>
      </w:tblGrid>
      <w:tr w:rsidR="00AE0C79">
        <w:tc>
          <w:tcPr>
            <w:tcW w:w="0" w:type="auto"/>
            <w:shd w:val="clear" w:color="auto" w:fill="BFBFBF" w:themeFill="background1" w:themeFillShade="BF"/>
          </w:tcPr>
          <w:p w:rsidR="00AE0C79" w:rsidRDefault="00AE0C79" w:rsidP="00FA7B84">
            <w:pPr>
              <w:spacing w:line="276" w:lineRule="auto"/>
              <w:rPr>
                <w:rFonts w:cs="Times New Roman"/>
                <w:b/>
              </w:rPr>
            </w:pP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2003</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2004</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2005</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2006</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2007</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2008</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2009</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Obrat aktiv</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2,04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2,73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1,95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2,11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1,99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2,49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2,11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2,06</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Doba obratu zásob</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49,65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53,14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48,49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35,47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40,98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32,54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38,63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50,47</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Doba obratu pohledávek</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56,87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33,71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33,16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50,52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46,16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53,39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51,40</w:t>
            </w:r>
          </w:p>
        </w:tc>
        <w:tc>
          <w:tcPr>
            <w:tcW w:w="0" w:type="auto"/>
          </w:tcPr>
          <w:p w:rsidR="00AE0C79" w:rsidRDefault="00A61E00" w:rsidP="00FA7B84">
            <w:pPr>
              <w:spacing w:line="276" w:lineRule="auto"/>
              <w:rPr>
                <w:rFonts w:cs="Times New Roman"/>
                <w:color w:val="000000"/>
              </w:rPr>
            </w:pPr>
            <w:r>
              <w:rPr>
                <w:rFonts w:cs="Times New Roman"/>
                <w:color w:val="000000"/>
              </w:rPr>
              <w:t>73,52</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Doba obratu závazků</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101,28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72,08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68,73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64,14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83,08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49,48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54,61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81,53</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 xml:space="preserve">Doba obratu zásob podniku je vysoká, konkurence má výraznou výhodu v nižších dobách obratu zásob, díky kterým tak může držet méně likvidních aktiv a používat je ke tvoření </w:t>
      </w:r>
      <w:r>
        <w:lastRenderedPageBreak/>
        <w:t>hodnoty, ale jak se ukazuje u ukazatele obratu aktiv, lepší efektivitu v tvoření hodnoty má právě sledovaný podnik. Tento nepoměr může být způsoben mírně odlišným zaměřením konkurenčních firem. Ty se sice zaměřují na stejnou skupinu zákazníků a nabízejí stejné zboží, ale podle hodnot těchto ukazatelů se zřejmě zaměřují spíše na prodej krátkodobějších položek s nižší výnosnosti, což by vysvětlovalo nižší dobu obratu zásob a zároveň nižší poměr obratu aktiv. Celkově doba obratu zásob neklesla pod 56 dní, což je poměrně vysoké číslo. Vysoká doba obratu zásob je spojena i s dovozem zboží ze zahraničí a tedy s delším časem dopravy, proto firma udržuje na skladě určitou míru zásob z důvodu potřeby urgentního dodání ze strany odběratelů. Informace o delší době obratu zásob je pro management velmi důležitá, protože říká, že podnik potřebuje poměrně dlouhý čas, než převede své zásoby na peníze, což mu může způsobovat potíže s likviditou. Management tomu pak může přizpůsobit strategii a držet více peněz v pokladně a na bankovním účtu z důvodu zvýšení likvidity.</w:t>
      </w:r>
    </w:p>
    <w:p w:rsidR="00AE0C79" w:rsidRDefault="00A61E00" w:rsidP="00FA7B84">
      <w:pPr>
        <w:spacing w:line="276" w:lineRule="auto"/>
      </w:pPr>
      <w:r>
        <w:t>Během sledovaného období se snížila doba obratu pohledávek, což je pro podnik pozitivní. Dalším pozitivem je, že za během celého období byla doba obratu pohledávek vždy nižší, než doba obratu závazků. Naopak u doby obratu závazků přílišné zlepšení pozorovat nejde, i když podniku se podařilo snížit velmi vysoká čísla z počátku sledovaného období. Vysoká doba obratu závazků napovídá také horší likviditě podniku, což má vliv na jeho schopnost včas splácet své závazky. Výhodou podniku je, že většina jeho dodavatelů je propojena s mateřskou společností a proto jsou vůči delším dobám splatnosti faktur benevolentnější. V posledním roce je pak patrné zhoršení všech ukazatelů u sledovaného podniku i u konkurence.</w:t>
      </w:r>
    </w:p>
    <w:p w:rsidR="00AE0C79" w:rsidRDefault="00A61E00" w:rsidP="00FA7B84">
      <w:pPr>
        <w:pStyle w:val="Titulek"/>
        <w:keepNext/>
        <w:spacing w:line="276" w:lineRule="auto"/>
      </w:pPr>
      <w:bookmarkStart w:id="63" w:name="_Toc324932952"/>
      <w:r>
        <w:t xml:space="preserve">Graf </w:t>
      </w:r>
      <w:fldSimple w:instr=" SEQ Graf \* ARABIC ">
        <w:r w:rsidR="00F5284D">
          <w:rPr>
            <w:noProof/>
          </w:rPr>
          <w:t>10</w:t>
        </w:r>
      </w:fldSimple>
      <w:r>
        <w:t>: Doba obratu zásob, pohledávek a závazků společnosti Dentamed s.r.o.</w:t>
      </w:r>
      <w:bookmarkEnd w:id="63"/>
    </w:p>
    <w:p w:rsidR="00AE0C79" w:rsidRDefault="00A61E00" w:rsidP="00FA7B84">
      <w:pPr>
        <w:spacing w:line="276" w:lineRule="auto"/>
      </w:pPr>
      <w:r>
        <w:rPr>
          <w:noProof/>
          <w:lang w:eastAsia="cs-CZ"/>
        </w:rPr>
        <w:drawing>
          <wp:inline distT="0" distB="0" distL="0" distR="0">
            <wp:extent cx="5432115" cy="2952000"/>
            <wp:effectExtent l="19050" t="0" r="16185" b="75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Nadpis3"/>
        <w:spacing w:line="276" w:lineRule="auto"/>
      </w:pPr>
      <w:bookmarkStart w:id="64" w:name="_Toc324932910"/>
      <w:r>
        <w:lastRenderedPageBreak/>
        <w:t>Ukazatele zadluženosti</w:t>
      </w:r>
      <w:bookmarkEnd w:id="64"/>
    </w:p>
    <w:p w:rsidR="00F5284D" w:rsidRDefault="00A61E00" w:rsidP="00FA7B84">
      <w:pPr>
        <w:spacing w:line="276" w:lineRule="auto"/>
      </w:pPr>
      <w:r>
        <w:t>Ukazatele zadluženosti odhalují zřejmě největší problém podniku. Vertikální analýza pasiv ukázala, že podnik k financování využívá velké množství cizího kapitálu. Velké hodnoty cizího kapitálu také způsobily, že nákladové úroky se staly poměrně velkou součástí podnikových nákladů.</w:t>
      </w:r>
    </w:p>
    <w:p w:rsidR="00AE0C79" w:rsidRDefault="00A61E00" w:rsidP="00FA7B84">
      <w:pPr>
        <w:pStyle w:val="Titulek"/>
        <w:keepNext/>
        <w:spacing w:line="276" w:lineRule="auto"/>
      </w:pPr>
      <w:bookmarkStart w:id="65" w:name="_Toc324932936"/>
      <w:r>
        <w:t xml:space="preserve">Tabulka </w:t>
      </w:r>
      <w:fldSimple w:instr=" SEQ Tabulka \* ARABIC ">
        <w:r w:rsidR="00F5284D">
          <w:rPr>
            <w:noProof/>
          </w:rPr>
          <w:t>14</w:t>
        </w:r>
      </w:fldSimple>
      <w:r>
        <w:t>: Ukazatele zadluženosti společnosti Dentamed s.r.o.</w:t>
      </w:r>
      <w:bookmarkEnd w:id="65"/>
    </w:p>
    <w:tbl>
      <w:tblPr>
        <w:tblStyle w:val="Mkatabulky"/>
        <w:tblW w:w="0" w:type="auto"/>
        <w:tblLook w:val="04A0"/>
      </w:tblPr>
      <w:tblGrid>
        <w:gridCol w:w="2966"/>
        <w:gridCol w:w="711"/>
        <w:gridCol w:w="711"/>
        <w:gridCol w:w="711"/>
        <w:gridCol w:w="711"/>
        <w:gridCol w:w="711"/>
        <w:gridCol w:w="711"/>
        <w:gridCol w:w="711"/>
        <w:gridCol w:w="711"/>
      </w:tblGrid>
      <w:tr w:rsidR="00AE0C79">
        <w:tc>
          <w:tcPr>
            <w:tcW w:w="0" w:type="auto"/>
            <w:shd w:val="clear" w:color="auto" w:fill="8DB3E2" w:themeFill="text2" w:themeFillTint="66"/>
          </w:tcPr>
          <w:p w:rsidR="00AE0C79" w:rsidRDefault="00AE0C79" w:rsidP="00FA7B84">
            <w:pPr>
              <w:spacing w:line="276" w:lineRule="auto"/>
              <w:rPr>
                <w:rFonts w:cs="Times New Roman"/>
                <w:b/>
              </w:rPr>
            </w:pPr>
          </w:p>
        </w:tc>
        <w:tc>
          <w:tcPr>
            <w:tcW w:w="0" w:type="auto"/>
            <w:shd w:val="clear" w:color="auto" w:fill="8DB3E2" w:themeFill="text2" w:themeFillTint="66"/>
          </w:tcPr>
          <w:p w:rsidR="00AE0C79" w:rsidRDefault="00A61E00" w:rsidP="00FA7B84">
            <w:pPr>
              <w:spacing w:line="276" w:lineRule="auto"/>
              <w:rPr>
                <w:rFonts w:cs="Times New Roman"/>
                <w:b/>
                <w:lang w:val="en-US"/>
              </w:rPr>
            </w:pPr>
            <w:r>
              <w:rPr>
                <w:rFonts w:cs="Times New Roman"/>
                <w:b/>
                <w:lang w:val="en-US"/>
              </w:rPr>
              <w:t>2003</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2004</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2005</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2006</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2007</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2008</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2009</w:t>
            </w:r>
          </w:p>
        </w:tc>
        <w:tc>
          <w:tcPr>
            <w:tcW w:w="0" w:type="auto"/>
            <w:shd w:val="clear" w:color="auto" w:fill="8DB3E2" w:themeFill="text2" w:themeFillTint="66"/>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Celková zadluženost</w:t>
            </w:r>
          </w:p>
        </w:tc>
        <w:tc>
          <w:tcPr>
            <w:tcW w:w="0" w:type="auto"/>
          </w:tcPr>
          <w:p w:rsidR="00AE0C79" w:rsidRDefault="00A61E00" w:rsidP="00FA7B84">
            <w:pPr>
              <w:spacing w:line="276" w:lineRule="auto"/>
              <w:rPr>
                <w:rFonts w:cs="Times New Roman"/>
              </w:rPr>
            </w:pPr>
            <w:r>
              <w:rPr>
                <w:rFonts w:cs="Times New Roman"/>
              </w:rPr>
              <w:t>93,05</w:t>
            </w:r>
          </w:p>
        </w:tc>
        <w:tc>
          <w:tcPr>
            <w:tcW w:w="0" w:type="auto"/>
          </w:tcPr>
          <w:p w:rsidR="00AE0C79" w:rsidRDefault="00A61E00" w:rsidP="00FA7B84">
            <w:pPr>
              <w:spacing w:line="276" w:lineRule="auto"/>
              <w:rPr>
                <w:rFonts w:cs="Times New Roman"/>
              </w:rPr>
            </w:pPr>
            <w:r>
              <w:rPr>
                <w:rFonts w:cs="Times New Roman"/>
              </w:rPr>
              <w:t>91,60</w:t>
            </w:r>
          </w:p>
        </w:tc>
        <w:tc>
          <w:tcPr>
            <w:tcW w:w="0" w:type="auto"/>
          </w:tcPr>
          <w:p w:rsidR="00AE0C79" w:rsidRDefault="00A61E00" w:rsidP="00FA7B84">
            <w:pPr>
              <w:spacing w:line="276" w:lineRule="auto"/>
              <w:rPr>
                <w:rFonts w:cs="Times New Roman"/>
              </w:rPr>
            </w:pPr>
            <w:r>
              <w:rPr>
                <w:rFonts w:cs="Times New Roman"/>
              </w:rPr>
              <w:t>94,15</w:t>
            </w:r>
          </w:p>
        </w:tc>
        <w:tc>
          <w:tcPr>
            <w:tcW w:w="0" w:type="auto"/>
          </w:tcPr>
          <w:p w:rsidR="00AE0C79" w:rsidRDefault="00A61E00" w:rsidP="00FA7B84">
            <w:pPr>
              <w:spacing w:line="276" w:lineRule="auto"/>
              <w:rPr>
                <w:rFonts w:cs="Times New Roman"/>
              </w:rPr>
            </w:pPr>
            <w:r>
              <w:rPr>
                <w:rFonts w:cs="Times New Roman"/>
              </w:rPr>
              <w:t>89,02</w:t>
            </w:r>
          </w:p>
        </w:tc>
        <w:tc>
          <w:tcPr>
            <w:tcW w:w="0" w:type="auto"/>
          </w:tcPr>
          <w:p w:rsidR="00AE0C79" w:rsidRDefault="00A61E00" w:rsidP="00FA7B84">
            <w:pPr>
              <w:spacing w:line="276" w:lineRule="auto"/>
              <w:rPr>
                <w:rFonts w:cs="Times New Roman"/>
              </w:rPr>
            </w:pPr>
            <w:r>
              <w:rPr>
                <w:rFonts w:cs="Times New Roman"/>
              </w:rPr>
              <w:t>81,02</w:t>
            </w:r>
          </w:p>
        </w:tc>
        <w:tc>
          <w:tcPr>
            <w:tcW w:w="0" w:type="auto"/>
          </w:tcPr>
          <w:p w:rsidR="00AE0C79" w:rsidRDefault="00A61E00" w:rsidP="00FA7B84">
            <w:pPr>
              <w:spacing w:line="276" w:lineRule="auto"/>
              <w:rPr>
                <w:rFonts w:cs="Times New Roman"/>
              </w:rPr>
            </w:pPr>
            <w:r>
              <w:rPr>
                <w:rFonts w:cs="Times New Roman"/>
              </w:rPr>
              <w:t>88,98</w:t>
            </w:r>
          </w:p>
        </w:tc>
        <w:tc>
          <w:tcPr>
            <w:tcW w:w="0" w:type="auto"/>
          </w:tcPr>
          <w:p w:rsidR="00AE0C79" w:rsidRDefault="00A61E00" w:rsidP="00FA7B84">
            <w:pPr>
              <w:spacing w:line="276" w:lineRule="auto"/>
              <w:rPr>
                <w:rFonts w:cs="Times New Roman"/>
              </w:rPr>
            </w:pPr>
            <w:r>
              <w:rPr>
                <w:rFonts w:cs="Times New Roman"/>
              </w:rPr>
              <w:t>91,60</w:t>
            </w:r>
          </w:p>
        </w:tc>
        <w:tc>
          <w:tcPr>
            <w:tcW w:w="0" w:type="auto"/>
          </w:tcPr>
          <w:p w:rsidR="00AE0C79" w:rsidRDefault="00A61E00" w:rsidP="00FA7B84">
            <w:pPr>
              <w:spacing w:line="276" w:lineRule="auto"/>
              <w:rPr>
                <w:rFonts w:cs="Times New Roman"/>
              </w:rPr>
            </w:pPr>
            <w:r>
              <w:rPr>
                <w:rFonts w:cs="Times New Roman"/>
              </w:rPr>
              <w:t>80,34</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Zadluženost Vlastního kapitálu</w:t>
            </w:r>
          </w:p>
        </w:tc>
        <w:tc>
          <w:tcPr>
            <w:tcW w:w="0" w:type="auto"/>
          </w:tcPr>
          <w:p w:rsidR="00AE0C79" w:rsidRDefault="00A61E00" w:rsidP="00FA7B84">
            <w:pPr>
              <w:spacing w:line="276" w:lineRule="auto"/>
              <w:rPr>
                <w:rFonts w:cs="Times New Roman"/>
                <w:lang w:val="en-US"/>
              </w:rPr>
            </w:pPr>
            <w:r>
              <w:rPr>
                <w:rFonts w:cs="Times New Roman"/>
              </w:rPr>
              <w:t>13,66</w:t>
            </w:r>
          </w:p>
        </w:tc>
        <w:tc>
          <w:tcPr>
            <w:tcW w:w="0" w:type="auto"/>
          </w:tcPr>
          <w:p w:rsidR="00AE0C79" w:rsidRDefault="00A61E00" w:rsidP="00FA7B84">
            <w:pPr>
              <w:spacing w:line="276" w:lineRule="auto"/>
              <w:rPr>
                <w:rFonts w:cs="Times New Roman"/>
              </w:rPr>
            </w:pPr>
            <w:r>
              <w:rPr>
                <w:rFonts w:cs="Times New Roman"/>
              </w:rPr>
              <w:t>11,55</w:t>
            </w:r>
          </w:p>
        </w:tc>
        <w:tc>
          <w:tcPr>
            <w:tcW w:w="0" w:type="auto"/>
          </w:tcPr>
          <w:p w:rsidR="00AE0C79" w:rsidRDefault="00A61E00" w:rsidP="00FA7B84">
            <w:pPr>
              <w:spacing w:line="276" w:lineRule="auto"/>
              <w:rPr>
                <w:rFonts w:cs="Times New Roman"/>
              </w:rPr>
            </w:pPr>
            <w:r>
              <w:rPr>
                <w:rFonts w:cs="Times New Roman"/>
              </w:rPr>
              <w:t>22,32</w:t>
            </w:r>
          </w:p>
        </w:tc>
        <w:tc>
          <w:tcPr>
            <w:tcW w:w="0" w:type="auto"/>
          </w:tcPr>
          <w:p w:rsidR="00AE0C79" w:rsidRDefault="00A61E00" w:rsidP="00FA7B84">
            <w:pPr>
              <w:spacing w:line="276" w:lineRule="auto"/>
              <w:rPr>
                <w:rFonts w:cs="Times New Roman"/>
              </w:rPr>
            </w:pPr>
            <w:r>
              <w:rPr>
                <w:rFonts w:cs="Times New Roman"/>
              </w:rPr>
              <w:t>8,95</w:t>
            </w:r>
          </w:p>
        </w:tc>
        <w:tc>
          <w:tcPr>
            <w:tcW w:w="0" w:type="auto"/>
          </w:tcPr>
          <w:p w:rsidR="00AE0C79" w:rsidRDefault="00A61E00" w:rsidP="00FA7B84">
            <w:pPr>
              <w:spacing w:line="276" w:lineRule="auto"/>
              <w:rPr>
                <w:rFonts w:cs="Times New Roman"/>
              </w:rPr>
            </w:pPr>
            <w:r>
              <w:rPr>
                <w:rFonts w:cs="Times New Roman"/>
              </w:rPr>
              <w:t>4,29</w:t>
            </w:r>
          </w:p>
        </w:tc>
        <w:tc>
          <w:tcPr>
            <w:tcW w:w="0" w:type="auto"/>
          </w:tcPr>
          <w:p w:rsidR="00AE0C79" w:rsidRDefault="00A61E00" w:rsidP="00FA7B84">
            <w:pPr>
              <w:spacing w:line="276" w:lineRule="auto"/>
              <w:rPr>
                <w:rFonts w:cs="Times New Roman"/>
              </w:rPr>
            </w:pPr>
            <w:r>
              <w:rPr>
                <w:rFonts w:cs="Times New Roman"/>
              </w:rPr>
              <w:t>8,11</w:t>
            </w:r>
          </w:p>
        </w:tc>
        <w:tc>
          <w:tcPr>
            <w:tcW w:w="0" w:type="auto"/>
          </w:tcPr>
          <w:p w:rsidR="00AE0C79" w:rsidRDefault="00A61E00" w:rsidP="00FA7B84">
            <w:pPr>
              <w:spacing w:line="276" w:lineRule="auto"/>
              <w:rPr>
                <w:rFonts w:cs="Times New Roman"/>
              </w:rPr>
            </w:pPr>
            <w:r>
              <w:rPr>
                <w:rFonts w:cs="Times New Roman"/>
              </w:rPr>
              <w:t>10,94</w:t>
            </w:r>
          </w:p>
        </w:tc>
        <w:tc>
          <w:tcPr>
            <w:tcW w:w="0" w:type="auto"/>
          </w:tcPr>
          <w:p w:rsidR="00AE0C79" w:rsidRDefault="00A61E00" w:rsidP="00FA7B84">
            <w:pPr>
              <w:spacing w:line="276" w:lineRule="auto"/>
              <w:rPr>
                <w:rFonts w:cs="Times New Roman"/>
              </w:rPr>
            </w:pPr>
            <w:r>
              <w:rPr>
                <w:rFonts w:cs="Times New Roman"/>
              </w:rPr>
              <w:t>4,54</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Úrokové krytí</w:t>
            </w:r>
          </w:p>
        </w:tc>
        <w:tc>
          <w:tcPr>
            <w:tcW w:w="0" w:type="auto"/>
          </w:tcPr>
          <w:p w:rsidR="00AE0C79" w:rsidRDefault="00A61E00" w:rsidP="00FA7B84">
            <w:pPr>
              <w:spacing w:line="276" w:lineRule="auto"/>
              <w:rPr>
                <w:rFonts w:cs="Times New Roman"/>
              </w:rPr>
            </w:pPr>
            <w:r>
              <w:rPr>
                <w:rFonts w:cs="Times New Roman"/>
              </w:rPr>
              <w:t>6,22</w:t>
            </w:r>
          </w:p>
        </w:tc>
        <w:tc>
          <w:tcPr>
            <w:tcW w:w="0" w:type="auto"/>
          </w:tcPr>
          <w:p w:rsidR="00AE0C79" w:rsidRDefault="00A61E00" w:rsidP="00FA7B84">
            <w:pPr>
              <w:spacing w:line="276" w:lineRule="auto"/>
              <w:rPr>
                <w:rFonts w:cs="Times New Roman"/>
              </w:rPr>
            </w:pPr>
            <w:r>
              <w:rPr>
                <w:rFonts w:cs="Times New Roman"/>
              </w:rPr>
              <w:t>10,67</w:t>
            </w:r>
          </w:p>
        </w:tc>
        <w:tc>
          <w:tcPr>
            <w:tcW w:w="0" w:type="auto"/>
          </w:tcPr>
          <w:p w:rsidR="00AE0C79" w:rsidRDefault="00A61E00" w:rsidP="00FA7B84">
            <w:pPr>
              <w:spacing w:line="276" w:lineRule="auto"/>
              <w:rPr>
                <w:rFonts w:cs="Times New Roman"/>
              </w:rPr>
            </w:pPr>
            <w:r>
              <w:rPr>
                <w:rFonts w:cs="Times New Roman"/>
              </w:rPr>
              <w:t>-7,69</w:t>
            </w:r>
          </w:p>
        </w:tc>
        <w:tc>
          <w:tcPr>
            <w:tcW w:w="0" w:type="auto"/>
          </w:tcPr>
          <w:p w:rsidR="00AE0C79" w:rsidRDefault="00A61E00" w:rsidP="00FA7B84">
            <w:pPr>
              <w:spacing w:line="276" w:lineRule="auto"/>
              <w:rPr>
                <w:rFonts w:cs="Times New Roman"/>
              </w:rPr>
            </w:pPr>
            <w:r>
              <w:rPr>
                <w:rFonts w:cs="Times New Roman"/>
              </w:rPr>
              <w:t>6,22</w:t>
            </w:r>
          </w:p>
        </w:tc>
        <w:tc>
          <w:tcPr>
            <w:tcW w:w="0" w:type="auto"/>
          </w:tcPr>
          <w:p w:rsidR="00AE0C79" w:rsidRDefault="00A61E00" w:rsidP="00FA7B84">
            <w:pPr>
              <w:spacing w:line="276" w:lineRule="auto"/>
              <w:rPr>
                <w:rFonts w:cs="Times New Roman"/>
              </w:rPr>
            </w:pPr>
            <w:r>
              <w:rPr>
                <w:rFonts w:cs="Times New Roman"/>
              </w:rPr>
              <w:t>6,52</w:t>
            </w:r>
          </w:p>
        </w:tc>
        <w:tc>
          <w:tcPr>
            <w:tcW w:w="0" w:type="auto"/>
          </w:tcPr>
          <w:p w:rsidR="00AE0C79" w:rsidRDefault="00A61E00" w:rsidP="00FA7B84">
            <w:pPr>
              <w:spacing w:line="276" w:lineRule="auto"/>
              <w:rPr>
                <w:rFonts w:cs="Times New Roman"/>
              </w:rPr>
            </w:pPr>
            <w:r>
              <w:rPr>
                <w:rFonts w:cs="Times New Roman"/>
              </w:rPr>
              <w:t>-1,37</w:t>
            </w:r>
          </w:p>
        </w:tc>
        <w:tc>
          <w:tcPr>
            <w:tcW w:w="0" w:type="auto"/>
          </w:tcPr>
          <w:p w:rsidR="00AE0C79" w:rsidRDefault="00A61E00" w:rsidP="00FA7B84">
            <w:pPr>
              <w:spacing w:line="276" w:lineRule="auto"/>
              <w:rPr>
                <w:rFonts w:cs="Times New Roman"/>
              </w:rPr>
            </w:pPr>
            <w:r>
              <w:rPr>
                <w:rFonts w:cs="Times New Roman"/>
              </w:rPr>
              <w:t>2,42</w:t>
            </w:r>
          </w:p>
        </w:tc>
        <w:tc>
          <w:tcPr>
            <w:tcW w:w="0" w:type="auto"/>
          </w:tcPr>
          <w:p w:rsidR="00AE0C79" w:rsidRDefault="00A61E00" w:rsidP="00FA7B84">
            <w:pPr>
              <w:spacing w:line="276" w:lineRule="auto"/>
              <w:rPr>
                <w:rFonts w:cs="Times New Roman"/>
              </w:rPr>
            </w:pPr>
            <w:r>
              <w:rPr>
                <w:rFonts w:cs="Times New Roman"/>
              </w:rPr>
              <w:t>6,28</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Dlouhodobé krytí</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0,33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2,16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1,48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6,60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3,18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3,50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5,18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3,52</w:t>
            </w:r>
          </w:p>
        </w:tc>
      </w:tr>
      <w:tr w:rsidR="00AE0C79">
        <w:tc>
          <w:tcPr>
            <w:tcW w:w="0" w:type="auto"/>
            <w:shd w:val="clear" w:color="auto" w:fill="C6D9F1" w:themeFill="text2" w:themeFillTint="33"/>
          </w:tcPr>
          <w:p w:rsidR="00AE0C79" w:rsidRDefault="00A61E00" w:rsidP="00FA7B84">
            <w:pPr>
              <w:spacing w:line="276" w:lineRule="auto"/>
              <w:rPr>
                <w:rFonts w:cs="Times New Roman"/>
              </w:rPr>
            </w:pPr>
            <w:r>
              <w:rPr>
                <w:rFonts w:cs="Times New Roman"/>
              </w:rPr>
              <w:t>Průměrná úroková míra</w:t>
            </w:r>
          </w:p>
        </w:tc>
        <w:tc>
          <w:tcPr>
            <w:tcW w:w="0" w:type="auto"/>
          </w:tcPr>
          <w:p w:rsidR="00AE0C79" w:rsidRDefault="00A61E00" w:rsidP="00FA7B84">
            <w:pPr>
              <w:spacing w:line="276" w:lineRule="auto"/>
              <w:rPr>
                <w:rFonts w:cs="Times New Roman"/>
                <w:lang w:val="en-US"/>
              </w:rPr>
            </w:pPr>
            <w:r>
              <w:rPr>
                <w:rFonts w:cs="Times New Roman"/>
                <w:lang w:val="en-US"/>
              </w:rPr>
              <w:t>1,01</w:t>
            </w:r>
          </w:p>
        </w:tc>
        <w:tc>
          <w:tcPr>
            <w:tcW w:w="0" w:type="auto"/>
          </w:tcPr>
          <w:p w:rsidR="00AE0C79" w:rsidRDefault="00A61E00" w:rsidP="00FA7B84">
            <w:pPr>
              <w:spacing w:line="276" w:lineRule="auto"/>
              <w:rPr>
                <w:rFonts w:cs="Times New Roman"/>
              </w:rPr>
            </w:pPr>
            <w:r>
              <w:rPr>
                <w:rFonts w:cs="Times New Roman"/>
              </w:rPr>
              <w:t>0,83</w:t>
            </w:r>
          </w:p>
        </w:tc>
        <w:tc>
          <w:tcPr>
            <w:tcW w:w="0" w:type="auto"/>
          </w:tcPr>
          <w:p w:rsidR="00AE0C79" w:rsidRDefault="00A61E00" w:rsidP="00FA7B84">
            <w:pPr>
              <w:spacing w:line="276" w:lineRule="auto"/>
              <w:rPr>
                <w:rFonts w:cs="Times New Roman"/>
              </w:rPr>
            </w:pPr>
            <w:r>
              <w:rPr>
                <w:rFonts w:cs="Times New Roman"/>
              </w:rPr>
              <w:t>2,48</w:t>
            </w:r>
          </w:p>
        </w:tc>
        <w:tc>
          <w:tcPr>
            <w:tcW w:w="0" w:type="auto"/>
          </w:tcPr>
          <w:p w:rsidR="00AE0C79" w:rsidRDefault="00A61E00" w:rsidP="00FA7B84">
            <w:pPr>
              <w:spacing w:line="276" w:lineRule="auto"/>
              <w:rPr>
                <w:rFonts w:cs="Times New Roman"/>
              </w:rPr>
            </w:pPr>
            <w:r>
              <w:rPr>
                <w:rFonts w:cs="Times New Roman"/>
              </w:rPr>
              <w:t>8,86</w:t>
            </w:r>
          </w:p>
        </w:tc>
        <w:tc>
          <w:tcPr>
            <w:tcW w:w="0" w:type="auto"/>
          </w:tcPr>
          <w:p w:rsidR="00AE0C79" w:rsidRDefault="00A61E00" w:rsidP="00FA7B84">
            <w:pPr>
              <w:spacing w:line="276" w:lineRule="auto"/>
              <w:rPr>
                <w:rFonts w:cs="Times New Roman"/>
              </w:rPr>
            </w:pPr>
            <w:r>
              <w:rPr>
                <w:rFonts w:cs="Times New Roman"/>
              </w:rPr>
              <w:t>9,61</w:t>
            </w:r>
          </w:p>
        </w:tc>
        <w:tc>
          <w:tcPr>
            <w:tcW w:w="0" w:type="auto"/>
          </w:tcPr>
          <w:p w:rsidR="00AE0C79" w:rsidRDefault="00A61E00" w:rsidP="00FA7B84">
            <w:pPr>
              <w:spacing w:line="276" w:lineRule="auto"/>
              <w:rPr>
                <w:rFonts w:cs="Times New Roman"/>
              </w:rPr>
            </w:pPr>
            <w:r>
              <w:rPr>
                <w:rFonts w:cs="Times New Roman"/>
              </w:rPr>
              <w:t>13,21</w:t>
            </w:r>
          </w:p>
        </w:tc>
        <w:tc>
          <w:tcPr>
            <w:tcW w:w="0" w:type="auto"/>
          </w:tcPr>
          <w:p w:rsidR="00AE0C79" w:rsidRDefault="00A61E00" w:rsidP="00FA7B84">
            <w:pPr>
              <w:spacing w:line="276" w:lineRule="auto"/>
              <w:rPr>
                <w:rFonts w:cs="Times New Roman"/>
              </w:rPr>
            </w:pPr>
            <w:r>
              <w:rPr>
                <w:rFonts w:cs="Times New Roman"/>
              </w:rPr>
              <w:t>8,39</w:t>
            </w:r>
          </w:p>
        </w:tc>
        <w:tc>
          <w:tcPr>
            <w:tcW w:w="0" w:type="auto"/>
          </w:tcPr>
          <w:p w:rsidR="00AE0C79" w:rsidRDefault="00A61E00" w:rsidP="00FA7B84">
            <w:pPr>
              <w:spacing w:line="276" w:lineRule="auto"/>
              <w:rPr>
                <w:rFonts w:cs="Times New Roman"/>
              </w:rPr>
            </w:pPr>
            <w:r>
              <w:rPr>
                <w:rFonts w:cs="Times New Roman"/>
              </w:rPr>
              <w:t>7,01</w:t>
            </w:r>
          </w:p>
        </w:tc>
      </w:tr>
    </w:tbl>
    <w:p w:rsidR="00505ECB"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Titulek"/>
        <w:keepNext/>
        <w:spacing w:line="276" w:lineRule="auto"/>
      </w:pPr>
      <w:bookmarkStart w:id="66" w:name="_Toc324932937"/>
      <w:r>
        <w:t xml:space="preserve">Tabulka </w:t>
      </w:r>
      <w:fldSimple w:instr=" SEQ Tabulka \* ARABIC ">
        <w:r w:rsidR="00F5284D">
          <w:rPr>
            <w:noProof/>
          </w:rPr>
          <w:t>15</w:t>
        </w:r>
      </w:fldSimple>
      <w:r>
        <w:t xml:space="preserve">: Ukazatele zadluženosti </w:t>
      </w:r>
      <w:r w:rsidR="00D15BB5">
        <w:t>konkurenčních společností</w:t>
      </w:r>
      <w:bookmarkEnd w:id="66"/>
    </w:p>
    <w:tbl>
      <w:tblPr>
        <w:tblStyle w:val="Mkatabulky"/>
        <w:tblW w:w="0" w:type="auto"/>
        <w:tblLook w:val="04A0"/>
      </w:tblPr>
      <w:tblGrid>
        <w:gridCol w:w="2917"/>
        <w:gridCol w:w="711"/>
        <w:gridCol w:w="711"/>
        <w:gridCol w:w="711"/>
        <w:gridCol w:w="711"/>
        <w:gridCol w:w="711"/>
        <w:gridCol w:w="711"/>
        <w:gridCol w:w="711"/>
        <w:gridCol w:w="711"/>
      </w:tblGrid>
      <w:tr w:rsidR="00AE0C79">
        <w:tc>
          <w:tcPr>
            <w:tcW w:w="0" w:type="auto"/>
            <w:shd w:val="clear" w:color="auto" w:fill="BFBFBF" w:themeFill="background1" w:themeFillShade="BF"/>
          </w:tcPr>
          <w:p w:rsidR="00AE0C79" w:rsidRDefault="00AE0C79" w:rsidP="00FA7B84">
            <w:pPr>
              <w:spacing w:line="276" w:lineRule="auto"/>
              <w:rPr>
                <w:rFonts w:cs="Times New Roman"/>
                <w:b/>
              </w:rPr>
            </w:pP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2003</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2004</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2005</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2006</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2007</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2008</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2009</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Celková zadluženost</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68,56</w:t>
            </w:r>
          </w:p>
        </w:tc>
        <w:tc>
          <w:tcPr>
            <w:tcW w:w="0" w:type="auto"/>
            <w:vAlign w:val="bottom"/>
          </w:tcPr>
          <w:p w:rsidR="00AE0C79" w:rsidRDefault="00A61E00" w:rsidP="00FA7B84">
            <w:pPr>
              <w:spacing w:line="276" w:lineRule="auto"/>
              <w:rPr>
                <w:rFonts w:cs="Times New Roman"/>
                <w:color w:val="000000"/>
              </w:rPr>
            </w:pPr>
            <w:r>
              <w:rPr>
                <w:rFonts w:cs="Times New Roman"/>
                <w:color w:val="000000"/>
              </w:rPr>
              <w:t>61,27</w:t>
            </w:r>
          </w:p>
        </w:tc>
        <w:tc>
          <w:tcPr>
            <w:tcW w:w="0" w:type="auto"/>
            <w:vAlign w:val="bottom"/>
          </w:tcPr>
          <w:p w:rsidR="00AE0C79" w:rsidRDefault="00A61E00" w:rsidP="00FA7B84">
            <w:pPr>
              <w:spacing w:line="276" w:lineRule="auto"/>
              <w:rPr>
                <w:rFonts w:cs="Times New Roman"/>
                <w:color w:val="000000"/>
              </w:rPr>
            </w:pPr>
            <w:r>
              <w:rPr>
                <w:rFonts w:cs="Times New Roman"/>
                <w:color w:val="000000"/>
              </w:rPr>
              <w:t>56,56</w:t>
            </w:r>
          </w:p>
        </w:tc>
        <w:tc>
          <w:tcPr>
            <w:tcW w:w="0" w:type="auto"/>
            <w:vAlign w:val="bottom"/>
          </w:tcPr>
          <w:p w:rsidR="00AE0C79" w:rsidRDefault="00A61E00" w:rsidP="00FA7B84">
            <w:pPr>
              <w:spacing w:line="276" w:lineRule="auto"/>
              <w:rPr>
                <w:rFonts w:cs="Times New Roman"/>
                <w:color w:val="000000"/>
              </w:rPr>
            </w:pPr>
            <w:r>
              <w:rPr>
                <w:rFonts w:cs="Times New Roman"/>
                <w:color w:val="000000"/>
              </w:rPr>
              <w:t>53,37</w:t>
            </w:r>
          </w:p>
        </w:tc>
        <w:tc>
          <w:tcPr>
            <w:tcW w:w="0" w:type="auto"/>
            <w:vAlign w:val="bottom"/>
          </w:tcPr>
          <w:p w:rsidR="00AE0C79" w:rsidRDefault="00A61E00" w:rsidP="00FA7B84">
            <w:pPr>
              <w:spacing w:line="276" w:lineRule="auto"/>
              <w:rPr>
                <w:rFonts w:cs="Times New Roman"/>
                <w:color w:val="000000"/>
              </w:rPr>
            </w:pPr>
            <w:r>
              <w:rPr>
                <w:rFonts w:cs="Times New Roman"/>
                <w:color w:val="000000"/>
              </w:rPr>
              <w:t>57,84</w:t>
            </w:r>
          </w:p>
        </w:tc>
        <w:tc>
          <w:tcPr>
            <w:tcW w:w="0" w:type="auto"/>
            <w:vAlign w:val="bottom"/>
          </w:tcPr>
          <w:p w:rsidR="00AE0C79" w:rsidRDefault="00A61E00" w:rsidP="00FA7B84">
            <w:pPr>
              <w:spacing w:line="276" w:lineRule="auto"/>
              <w:rPr>
                <w:rFonts w:cs="Times New Roman"/>
                <w:color w:val="000000"/>
              </w:rPr>
            </w:pPr>
            <w:r>
              <w:rPr>
                <w:rFonts w:cs="Times New Roman"/>
                <w:color w:val="000000"/>
              </w:rPr>
              <w:t>39,86</w:t>
            </w:r>
          </w:p>
        </w:tc>
        <w:tc>
          <w:tcPr>
            <w:tcW w:w="0" w:type="auto"/>
            <w:vAlign w:val="bottom"/>
          </w:tcPr>
          <w:p w:rsidR="00AE0C79" w:rsidRDefault="00A61E00" w:rsidP="00FA7B84">
            <w:pPr>
              <w:spacing w:line="276" w:lineRule="auto"/>
              <w:rPr>
                <w:rFonts w:cs="Times New Roman"/>
                <w:color w:val="000000"/>
              </w:rPr>
            </w:pPr>
            <w:r>
              <w:rPr>
                <w:rFonts w:cs="Times New Roman"/>
                <w:color w:val="000000"/>
              </w:rPr>
              <w:t>37,86</w:t>
            </w:r>
          </w:p>
        </w:tc>
        <w:tc>
          <w:tcPr>
            <w:tcW w:w="0" w:type="auto"/>
            <w:vAlign w:val="bottom"/>
          </w:tcPr>
          <w:p w:rsidR="00AE0C79" w:rsidRDefault="00A61E00" w:rsidP="00FA7B84">
            <w:pPr>
              <w:spacing w:line="276" w:lineRule="auto"/>
              <w:rPr>
                <w:rFonts w:cs="Times New Roman"/>
                <w:color w:val="000000"/>
              </w:rPr>
            </w:pPr>
            <w:r>
              <w:rPr>
                <w:rFonts w:cs="Times New Roman"/>
                <w:color w:val="000000"/>
              </w:rPr>
              <w:t>57,29</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Zadluženost vlastního kapitálu</w:t>
            </w:r>
          </w:p>
        </w:tc>
        <w:tc>
          <w:tcPr>
            <w:tcW w:w="0" w:type="auto"/>
            <w:vAlign w:val="bottom"/>
          </w:tcPr>
          <w:p w:rsidR="00AE0C79" w:rsidRDefault="00A61E00" w:rsidP="00FA7B84">
            <w:pPr>
              <w:spacing w:line="276" w:lineRule="auto"/>
              <w:rPr>
                <w:rFonts w:cs="Times New Roman"/>
                <w:color w:val="000000"/>
              </w:rPr>
            </w:pPr>
            <w:r>
              <w:rPr>
                <w:rFonts w:cs="Times New Roman"/>
                <w:color w:val="000000"/>
              </w:rPr>
              <w:t>2,25</w:t>
            </w:r>
          </w:p>
        </w:tc>
        <w:tc>
          <w:tcPr>
            <w:tcW w:w="0" w:type="auto"/>
            <w:vAlign w:val="bottom"/>
          </w:tcPr>
          <w:p w:rsidR="00AE0C79" w:rsidRDefault="00A61E00" w:rsidP="00FA7B84">
            <w:pPr>
              <w:spacing w:line="276" w:lineRule="auto"/>
              <w:rPr>
                <w:rFonts w:cs="Times New Roman"/>
                <w:color w:val="000000"/>
              </w:rPr>
            </w:pPr>
            <w:r>
              <w:rPr>
                <w:rFonts w:cs="Times New Roman"/>
                <w:color w:val="000000"/>
              </w:rPr>
              <w:t>1,96</w:t>
            </w:r>
          </w:p>
        </w:tc>
        <w:tc>
          <w:tcPr>
            <w:tcW w:w="0" w:type="auto"/>
            <w:vAlign w:val="bottom"/>
          </w:tcPr>
          <w:p w:rsidR="00AE0C79" w:rsidRDefault="00A61E00" w:rsidP="00FA7B84">
            <w:pPr>
              <w:spacing w:line="276" w:lineRule="auto"/>
              <w:rPr>
                <w:rFonts w:cs="Times New Roman"/>
                <w:color w:val="000000"/>
              </w:rPr>
            </w:pPr>
            <w:r>
              <w:rPr>
                <w:rFonts w:cs="Times New Roman"/>
                <w:color w:val="000000"/>
              </w:rPr>
              <w:t>1,76</w:t>
            </w:r>
          </w:p>
        </w:tc>
        <w:tc>
          <w:tcPr>
            <w:tcW w:w="0" w:type="auto"/>
            <w:vAlign w:val="bottom"/>
          </w:tcPr>
          <w:p w:rsidR="00AE0C79" w:rsidRDefault="00A61E00" w:rsidP="00FA7B84">
            <w:pPr>
              <w:spacing w:line="276" w:lineRule="auto"/>
              <w:rPr>
                <w:rFonts w:cs="Times New Roman"/>
                <w:color w:val="000000"/>
              </w:rPr>
            </w:pPr>
            <w:r>
              <w:rPr>
                <w:rFonts w:cs="Times New Roman"/>
                <w:color w:val="000000"/>
              </w:rPr>
              <w:t>1,51</w:t>
            </w:r>
          </w:p>
        </w:tc>
        <w:tc>
          <w:tcPr>
            <w:tcW w:w="0" w:type="auto"/>
            <w:vAlign w:val="bottom"/>
          </w:tcPr>
          <w:p w:rsidR="00AE0C79" w:rsidRDefault="00A61E00" w:rsidP="00FA7B84">
            <w:pPr>
              <w:spacing w:line="276" w:lineRule="auto"/>
              <w:rPr>
                <w:rFonts w:cs="Times New Roman"/>
                <w:color w:val="000000"/>
              </w:rPr>
            </w:pPr>
            <w:r>
              <w:rPr>
                <w:rFonts w:cs="Times New Roman"/>
                <w:color w:val="000000"/>
              </w:rPr>
              <w:t>1,73</w:t>
            </w:r>
          </w:p>
        </w:tc>
        <w:tc>
          <w:tcPr>
            <w:tcW w:w="0" w:type="auto"/>
            <w:vAlign w:val="bottom"/>
          </w:tcPr>
          <w:p w:rsidR="00AE0C79" w:rsidRDefault="00A61E00" w:rsidP="00FA7B84">
            <w:pPr>
              <w:spacing w:line="276" w:lineRule="auto"/>
              <w:rPr>
                <w:rFonts w:cs="Times New Roman"/>
                <w:color w:val="000000"/>
              </w:rPr>
            </w:pPr>
            <w:r>
              <w:rPr>
                <w:rFonts w:cs="Times New Roman"/>
                <w:color w:val="000000"/>
              </w:rPr>
              <w:t>0,89</w:t>
            </w:r>
          </w:p>
        </w:tc>
        <w:tc>
          <w:tcPr>
            <w:tcW w:w="0" w:type="auto"/>
            <w:vAlign w:val="bottom"/>
          </w:tcPr>
          <w:p w:rsidR="00AE0C79" w:rsidRDefault="00A61E00" w:rsidP="00FA7B84">
            <w:pPr>
              <w:spacing w:line="276" w:lineRule="auto"/>
              <w:rPr>
                <w:rFonts w:cs="Times New Roman"/>
                <w:color w:val="000000"/>
              </w:rPr>
            </w:pPr>
            <w:r>
              <w:rPr>
                <w:rFonts w:cs="Times New Roman"/>
                <w:color w:val="000000"/>
              </w:rPr>
              <w:t>0,85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1,66</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Úrokové krytí</w:t>
            </w:r>
          </w:p>
        </w:tc>
        <w:tc>
          <w:tcPr>
            <w:tcW w:w="0" w:type="auto"/>
          </w:tcPr>
          <w:p w:rsidR="00AE0C79" w:rsidRDefault="00A61E00" w:rsidP="00FA7B84">
            <w:pPr>
              <w:spacing w:line="276" w:lineRule="auto"/>
              <w:rPr>
                <w:rFonts w:cs="Times New Roman"/>
              </w:rPr>
            </w:pPr>
            <w:r>
              <w:rPr>
                <w:rFonts w:eastAsia="Times New Roman" w:cs="Times New Roman"/>
                <w:color w:val="000000"/>
                <w:lang w:eastAsia="cs-CZ"/>
              </w:rPr>
              <w:t>19,35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18,14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13,58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32,71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31,96</w:t>
            </w:r>
          </w:p>
        </w:tc>
        <w:tc>
          <w:tcPr>
            <w:tcW w:w="0" w:type="auto"/>
            <w:vAlign w:val="bottom"/>
          </w:tcPr>
          <w:p w:rsidR="00AE0C79" w:rsidRDefault="00A61E00" w:rsidP="00FA7B84">
            <w:pPr>
              <w:spacing w:line="276" w:lineRule="auto"/>
              <w:rPr>
                <w:rFonts w:cs="Times New Roman"/>
                <w:color w:val="000000"/>
              </w:rPr>
            </w:pPr>
            <w:r>
              <w:rPr>
                <w:rFonts w:cs="Times New Roman"/>
                <w:color w:val="000000"/>
              </w:rPr>
              <w:t>35,34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18,42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7,48</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Dlouhodobé krytí</w:t>
            </w:r>
          </w:p>
        </w:tc>
        <w:tc>
          <w:tcPr>
            <w:tcW w:w="0" w:type="auto"/>
          </w:tcPr>
          <w:p w:rsidR="00AE0C79" w:rsidRDefault="00A61E00" w:rsidP="00FA7B84">
            <w:pPr>
              <w:spacing w:line="276" w:lineRule="auto"/>
              <w:rPr>
                <w:rFonts w:cs="Times New Roman"/>
                <w:color w:val="000000"/>
              </w:rPr>
            </w:pPr>
            <w:r>
              <w:rPr>
                <w:rFonts w:cs="Times New Roman"/>
                <w:color w:val="000000"/>
              </w:rPr>
              <w:t>12,59</w:t>
            </w:r>
          </w:p>
        </w:tc>
        <w:tc>
          <w:tcPr>
            <w:tcW w:w="0" w:type="auto"/>
          </w:tcPr>
          <w:p w:rsidR="00AE0C79" w:rsidRDefault="00A61E00" w:rsidP="00FA7B84">
            <w:pPr>
              <w:spacing w:line="276" w:lineRule="auto"/>
              <w:rPr>
                <w:rFonts w:cs="Times New Roman"/>
                <w:color w:val="000000"/>
              </w:rPr>
            </w:pPr>
            <w:r>
              <w:rPr>
                <w:rFonts w:cs="Times New Roman"/>
                <w:color w:val="000000"/>
              </w:rPr>
              <w:t>4,82</w:t>
            </w:r>
          </w:p>
        </w:tc>
        <w:tc>
          <w:tcPr>
            <w:tcW w:w="0" w:type="auto"/>
          </w:tcPr>
          <w:p w:rsidR="00AE0C79" w:rsidRDefault="00A61E00" w:rsidP="00FA7B84">
            <w:pPr>
              <w:spacing w:line="276" w:lineRule="auto"/>
              <w:rPr>
                <w:rFonts w:cs="Times New Roman"/>
                <w:color w:val="000000"/>
              </w:rPr>
            </w:pPr>
            <w:r>
              <w:rPr>
                <w:rFonts w:cs="Times New Roman"/>
                <w:color w:val="000000"/>
              </w:rPr>
              <w:t>4,11</w:t>
            </w:r>
          </w:p>
        </w:tc>
        <w:tc>
          <w:tcPr>
            <w:tcW w:w="0" w:type="auto"/>
          </w:tcPr>
          <w:p w:rsidR="00AE0C79" w:rsidRDefault="00A61E00" w:rsidP="00FA7B84">
            <w:pPr>
              <w:spacing w:line="276" w:lineRule="auto"/>
              <w:rPr>
                <w:rFonts w:cs="Times New Roman"/>
                <w:color w:val="000000"/>
              </w:rPr>
            </w:pPr>
            <w:r>
              <w:rPr>
                <w:rFonts w:cs="Times New Roman"/>
                <w:color w:val="000000"/>
              </w:rPr>
              <w:t>3,55</w:t>
            </w:r>
          </w:p>
        </w:tc>
        <w:tc>
          <w:tcPr>
            <w:tcW w:w="0" w:type="auto"/>
          </w:tcPr>
          <w:p w:rsidR="00AE0C79" w:rsidRDefault="00A61E00" w:rsidP="00FA7B84">
            <w:pPr>
              <w:spacing w:line="276" w:lineRule="auto"/>
              <w:rPr>
                <w:rFonts w:cs="Times New Roman"/>
                <w:color w:val="000000"/>
              </w:rPr>
            </w:pPr>
            <w:r>
              <w:rPr>
                <w:rFonts w:cs="Times New Roman"/>
                <w:color w:val="000000"/>
              </w:rPr>
              <w:t>4,13</w:t>
            </w:r>
          </w:p>
        </w:tc>
        <w:tc>
          <w:tcPr>
            <w:tcW w:w="0" w:type="auto"/>
          </w:tcPr>
          <w:p w:rsidR="00AE0C79" w:rsidRDefault="00A61E00" w:rsidP="00FA7B84">
            <w:pPr>
              <w:spacing w:line="276" w:lineRule="auto"/>
              <w:rPr>
                <w:rFonts w:cs="Times New Roman"/>
                <w:color w:val="000000"/>
              </w:rPr>
            </w:pPr>
            <w:r>
              <w:rPr>
                <w:rFonts w:cs="Times New Roman"/>
                <w:color w:val="000000"/>
              </w:rPr>
              <w:t>7,15</w:t>
            </w:r>
          </w:p>
        </w:tc>
        <w:tc>
          <w:tcPr>
            <w:tcW w:w="0" w:type="auto"/>
          </w:tcPr>
          <w:p w:rsidR="00AE0C79" w:rsidRDefault="00A61E00" w:rsidP="00FA7B84">
            <w:pPr>
              <w:spacing w:line="276" w:lineRule="auto"/>
              <w:rPr>
                <w:rFonts w:cs="Times New Roman"/>
                <w:color w:val="000000"/>
              </w:rPr>
            </w:pPr>
            <w:r>
              <w:rPr>
                <w:rFonts w:cs="Times New Roman"/>
                <w:color w:val="000000"/>
              </w:rPr>
              <w:t>7,56</w:t>
            </w:r>
          </w:p>
        </w:tc>
        <w:tc>
          <w:tcPr>
            <w:tcW w:w="0" w:type="auto"/>
          </w:tcPr>
          <w:p w:rsidR="00AE0C79" w:rsidRDefault="00A61E00" w:rsidP="00FA7B84">
            <w:pPr>
              <w:spacing w:line="276" w:lineRule="auto"/>
              <w:rPr>
                <w:rFonts w:cs="Times New Roman"/>
                <w:color w:val="000000"/>
              </w:rPr>
            </w:pPr>
            <w:r>
              <w:rPr>
                <w:rFonts w:cs="Times New Roman"/>
                <w:color w:val="000000"/>
              </w:rPr>
              <w:t>2,84</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Průměrná úroková míra</w:t>
            </w:r>
          </w:p>
        </w:tc>
        <w:tc>
          <w:tcPr>
            <w:tcW w:w="0" w:type="auto"/>
          </w:tcPr>
          <w:p w:rsidR="00AE0C79" w:rsidRDefault="00A61E00" w:rsidP="00FA7B84">
            <w:pPr>
              <w:spacing w:line="276" w:lineRule="auto"/>
              <w:rPr>
                <w:rFonts w:cs="Times New Roman"/>
                <w:color w:val="000000"/>
              </w:rPr>
            </w:pPr>
            <w:r>
              <w:rPr>
                <w:rFonts w:cs="Times New Roman"/>
                <w:color w:val="000000"/>
              </w:rPr>
              <w:t>2,34</w:t>
            </w:r>
          </w:p>
        </w:tc>
        <w:tc>
          <w:tcPr>
            <w:tcW w:w="0" w:type="auto"/>
          </w:tcPr>
          <w:p w:rsidR="00AE0C79" w:rsidRDefault="00A61E00" w:rsidP="00FA7B84">
            <w:pPr>
              <w:spacing w:line="276" w:lineRule="auto"/>
              <w:rPr>
                <w:rFonts w:cs="Times New Roman"/>
                <w:color w:val="000000"/>
              </w:rPr>
            </w:pPr>
            <w:r>
              <w:rPr>
                <w:rFonts w:cs="Times New Roman"/>
                <w:color w:val="000000"/>
              </w:rPr>
              <w:t>2,55</w:t>
            </w:r>
          </w:p>
        </w:tc>
        <w:tc>
          <w:tcPr>
            <w:tcW w:w="0" w:type="auto"/>
          </w:tcPr>
          <w:p w:rsidR="00AE0C79" w:rsidRDefault="00A61E00" w:rsidP="00FA7B84">
            <w:pPr>
              <w:spacing w:line="276" w:lineRule="auto"/>
              <w:rPr>
                <w:rFonts w:cs="Times New Roman"/>
                <w:color w:val="000000"/>
              </w:rPr>
            </w:pPr>
            <w:r>
              <w:rPr>
                <w:rFonts w:cs="Times New Roman"/>
                <w:color w:val="000000"/>
              </w:rPr>
              <w:t>5,45</w:t>
            </w:r>
          </w:p>
        </w:tc>
        <w:tc>
          <w:tcPr>
            <w:tcW w:w="0" w:type="auto"/>
          </w:tcPr>
          <w:p w:rsidR="00AE0C79" w:rsidRDefault="00A61E00" w:rsidP="00FA7B84">
            <w:pPr>
              <w:spacing w:line="276" w:lineRule="auto"/>
              <w:rPr>
                <w:rFonts w:cs="Times New Roman"/>
                <w:color w:val="000000"/>
              </w:rPr>
            </w:pPr>
            <w:r>
              <w:rPr>
                <w:rFonts w:cs="Times New Roman"/>
                <w:color w:val="000000"/>
              </w:rPr>
              <w:t>5,32</w:t>
            </w:r>
          </w:p>
        </w:tc>
        <w:tc>
          <w:tcPr>
            <w:tcW w:w="0" w:type="auto"/>
          </w:tcPr>
          <w:p w:rsidR="00AE0C79" w:rsidRDefault="00A61E00" w:rsidP="00FA7B84">
            <w:pPr>
              <w:spacing w:line="276" w:lineRule="auto"/>
              <w:rPr>
                <w:rFonts w:cs="Times New Roman"/>
                <w:color w:val="000000"/>
              </w:rPr>
            </w:pPr>
            <w:r>
              <w:rPr>
                <w:rFonts w:cs="Times New Roman"/>
                <w:color w:val="000000"/>
              </w:rPr>
              <w:t>6,17</w:t>
            </w:r>
          </w:p>
        </w:tc>
        <w:tc>
          <w:tcPr>
            <w:tcW w:w="0" w:type="auto"/>
          </w:tcPr>
          <w:p w:rsidR="00AE0C79" w:rsidRDefault="00A61E00" w:rsidP="00FA7B84">
            <w:pPr>
              <w:spacing w:line="276" w:lineRule="auto"/>
              <w:rPr>
                <w:rFonts w:cs="Times New Roman"/>
                <w:color w:val="000000"/>
              </w:rPr>
            </w:pPr>
            <w:r>
              <w:rPr>
                <w:rFonts w:cs="Times New Roman"/>
                <w:color w:val="000000"/>
              </w:rPr>
              <w:t>10,61</w:t>
            </w:r>
          </w:p>
        </w:tc>
        <w:tc>
          <w:tcPr>
            <w:tcW w:w="0" w:type="auto"/>
          </w:tcPr>
          <w:p w:rsidR="00AE0C79" w:rsidRDefault="00A61E00" w:rsidP="00FA7B84">
            <w:pPr>
              <w:spacing w:line="276" w:lineRule="auto"/>
              <w:rPr>
                <w:rFonts w:cs="Times New Roman"/>
                <w:color w:val="000000"/>
              </w:rPr>
            </w:pPr>
            <w:r>
              <w:rPr>
                <w:rFonts w:cs="Times New Roman"/>
                <w:color w:val="000000"/>
              </w:rPr>
              <w:t>7,80</w:t>
            </w:r>
          </w:p>
        </w:tc>
        <w:tc>
          <w:tcPr>
            <w:tcW w:w="0" w:type="auto"/>
          </w:tcPr>
          <w:p w:rsidR="00AE0C79" w:rsidRDefault="00A61E00" w:rsidP="00FA7B84">
            <w:pPr>
              <w:spacing w:line="276" w:lineRule="auto"/>
              <w:rPr>
                <w:rFonts w:cs="Times New Roman"/>
                <w:color w:val="000000"/>
              </w:rPr>
            </w:pPr>
            <w:r>
              <w:rPr>
                <w:rFonts w:cs="Times New Roman"/>
                <w:color w:val="000000"/>
              </w:rPr>
              <w:t>6,23</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Konkurence naopak vykazuje mnohem menší podíl cizího kapitálu. To se také projevilo už u ukazatelů rentability, kde podnik vykazoval vyšší hodnoty ukazatele ROE, ale s konkurencí srovnatelné hodnoty ukazatele ROA. Hodnoty těchto ukazatelů tedy naznačily, že podnik využívá příliš velké množství cizích zdrojů a nedaří se mu vykazovat vyšší výnosnost kapitálu, která je od využívání cizího kapitálu očekávána. Ukazatel celkové zadluženosti je shodný s procentuálním podílem cizích zdrojů na celkové sumě pasiv, který byl součástí vertikální analýzy rozvahy. Jeho hodnota tedy také roste v letech se záporným hospodářským výsledkem a naopak klesá v letech s kladným výsledkem hospodaření.</w:t>
      </w:r>
    </w:p>
    <w:p w:rsidR="00AE0C79" w:rsidRDefault="00A61E00" w:rsidP="00FA7B84">
      <w:pPr>
        <w:spacing w:line="276" w:lineRule="auto"/>
      </w:pPr>
      <w:r>
        <w:t>S vyšším poměrem cizího kapitálu je spojen také ukazatel zadlužení vlastního kapitálu, který také odráží výrazně vyšší poměr cizího kapitálu v podniku. Nutnost platit vyšší úroky se pak projevuje u ukazatele úrokového krytí, který je po většinu sledovaného období výrazně nižší než u konkurence. V letech 2005 a 2008 byla hodnota úrokového krytí dokonce záporná. Jak jsem již uvedl, vyšší zadlužení obecně mívá za následek vyšší úrokovou míru. Ta byla u sledovaného podniku od roku 2006 vždy vyšší oproti konkurenci a dále tak zvyšuje nákladové úroky podniku.</w:t>
      </w:r>
    </w:p>
    <w:p w:rsidR="00AE0C79" w:rsidRDefault="00A61E00" w:rsidP="00FA7B84">
      <w:pPr>
        <w:spacing w:line="276" w:lineRule="auto"/>
      </w:pPr>
      <w:r>
        <w:t>Hodnoty dlouhodobého krytí stálých aktiv sledovaného podniku i konkurence ukazují na překapitalizovanost, která sebou nese vyšší stabilitu, ale také nižší podnikatelskou efektivnost.</w:t>
      </w:r>
    </w:p>
    <w:p w:rsidR="00AE0C79" w:rsidRDefault="00A61E00" w:rsidP="00FA7B84">
      <w:pPr>
        <w:pStyle w:val="Nadpis3"/>
        <w:spacing w:line="276" w:lineRule="auto"/>
      </w:pPr>
      <w:bookmarkStart w:id="67" w:name="_Toc324932911"/>
      <w:r>
        <w:lastRenderedPageBreak/>
        <w:t>Ukazatele likvidity</w:t>
      </w:r>
      <w:bookmarkEnd w:id="67"/>
    </w:p>
    <w:p w:rsidR="00AE0C79" w:rsidRDefault="00A61E00" w:rsidP="00FA7B84">
      <w:pPr>
        <w:spacing w:line="276" w:lineRule="auto"/>
      </w:pPr>
      <w:r>
        <w:t>Horizontální analýza rozvahy ukázala, že tempo růstu zásob a krátkodobého finančního majetku je mnohem vyšší, než tempo růstu krátkodobých pohledávek. Díky tomu se samozřejmě v průběhu sledovaného období zvyšuje likvidita podniku, jak ukazuje i následující tabulka.</w:t>
      </w:r>
    </w:p>
    <w:p w:rsidR="00AE0C79" w:rsidRDefault="00A61E00" w:rsidP="00FA7B84">
      <w:pPr>
        <w:pStyle w:val="Titulek"/>
        <w:keepNext/>
        <w:spacing w:line="276" w:lineRule="auto"/>
      </w:pPr>
      <w:bookmarkStart w:id="68" w:name="_Toc324932938"/>
      <w:r>
        <w:t xml:space="preserve">Tabulka </w:t>
      </w:r>
      <w:fldSimple w:instr=" SEQ Tabulka \* ARABIC ">
        <w:r w:rsidR="00F5284D">
          <w:rPr>
            <w:noProof/>
          </w:rPr>
          <w:t>16</w:t>
        </w:r>
      </w:fldSimple>
      <w:r>
        <w:t>: Ukazatele likvidity společnosti Dentamed s.r.o.</w:t>
      </w:r>
      <w:bookmarkEnd w:id="68"/>
    </w:p>
    <w:tbl>
      <w:tblPr>
        <w:tblStyle w:val="Mkatabulky"/>
        <w:tblW w:w="0" w:type="auto"/>
        <w:tblLook w:val="04A0"/>
      </w:tblPr>
      <w:tblGrid>
        <w:gridCol w:w="1836"/>
        <w:gridCol w:w="656"/>
        <w:gridCol w:w="656"/>
        <w:gridCol w:w="656"/>
        <w:gridCol w:w="656"/>
        <w:gridCol w:w="656"/>
        <w:gridCol w:w="656"/>
        <w:gridCol w:w="656"/>
        <w:gridCol w:w="656"/>
      </w:tblGrid>
      <w:tr w:rsidR="00AE0C79">
        <w:tc>
          <w:tcPr>
            <w:tcW w:w="0" w:type="auto"/>
            <w:shd w:val="clear" w:color="auto" w:fill="8DB3E2" w:themeFill="text2" w:themeFillTint="66"/>
          </w:tcPr>
          <w:p w:rsidR="00AE0C79" w:rsidRDefault="00AE0C79" w:rsidP="00FA7B84">
            <w:pPr>
              <w:spacing w:line="276" w:lineRule="auto"/>
              <w:rPr>
                <w:b/>
              </w:rPr>
            </w:pPr>
          </w:p>
        </w:tc>
        <w:tc>
          <w:tcPr>
            <w:tcW w:w="0" w:type="auto"/>
            <w:shd w:val="clear" w:color="auto" w:fill="8DB3E2" w:themeFill="text2" w:themeFillTint="66"/>
          </w:tcPr>
          <w:p w:rsidR="00AE0C79" w:rsidRDefault="00A61E00" w:rsidP="00FA7B84">
            <w:pPr>
              <w:spacing w:line="276" w:lineRule="auto"/>
              <w:rPr>
                <w:b/>
              </w:rPr>
            </w:pPr>
            <w:r>
              <w:rPr>
                <w:b/>
              </w:rPr>
              <w:t>2003</w:t>
            </w:r>
          </w:p>
        </w:tc>
        <w:tc>
          <w:tcPr>
            <w:tcW w:w="0" w:type="auto"/>
            <w:shd w:val="clear" w:color="auto" w:fill="8DB3E2" w:themeFill="text2" w:themeFillTint="66"/>
          </w:tcPr>
          <w:p w:rsidR="00AE0C79" w:rsidRDefault="00A61E00" w:rsidP="00FA7B84">
            <w:pPr>
              <w:spacing w:line="276" w:lineRule="auto"/>
              <w:rPr>
                <w:b/>
              </w:rPr>
            </w:pPr>
            <w:r>
              <w:rPr>
                <w:b/>
              </w:rPr>
              <w:t>2004</w:t>
            </w:r>
          </w:p>
        </w:tc>
        <w:tc>
          <w:tcPr>
            <w:tcW w:w="0" w:type="auto"/>
            <w:shd w:val="clear" w:color="auto" w:fill="8DB3E2" w:themeFill="text2" w:themeFillTint="66"/>
          </w:tcPr>
          <w:p w:rsidR="00AE0C79" w:rsidRDefault="00A61E00" w:rsidP="00FA7B84">
            <w:pPr>
              <w:spacing w:line="276" w:lineRule="auto"/>
              <w:rPr>
                <w:b/>
              </w:rPr>
            </w:pPr>
            <w:r>
              <w:rPr>
                <w:b/>
              </w:rPr>
              <w:t>2005</w:t>
            </w:r>
          </w:p>
        </w:tc>
        <w:tc>
          <w:tcPr>
            <w:tcW w:w="0" w:type="auto"/>
            <w:shd w:val="clear" w:color="auto" w:fill="8DB3E2" w:themeFill="text2" w:themeFillTint="66"/>
          </w:tcPr>
          <w:p w:rsidR="00AE0C79" w:rsidRDefault="00A61E00" w:rsidP="00FA7B84">
            <w:pPr>
              <w:spacing w:line="276" w:lineRule="auto"/>
              <w:rPr>
                <w:b/>
              </w:rPr>
            </w:pPr>
            <w:r>
              <w:rPr>
                <w:b/>
              </w:rPr>
              <w:t>2006</w:t>
            </w:r>
          </w:p>
        </w:tc>
        <w:tc>
          <w:tcPr>
            <w:tcW w:w="0" w:type="auto"/>
            <w:shd w:val="clear" w:color="auto" w:fill="8DB3E2" w:themeFill="text2" w:themeFillTint="66"/>
          </w:tcPr>
          <w:p w:rsidR="00AE0C79" w:rsidRDefault="00A61E00" w:rsidP="00FA7B84">
            <w:pPr>
              <w:spacing w:line="276" w:lineRule="auto"/>
              <w:rPr>
                <w:b/>
              </w:rPr>
            </w:pPr>
            <w:r>
              <w:rPr>
                <w:b/>
              </w:rPr>
              <w:t>2007</w:t>
            </w:r>
          </w:p>
        </w:tc>
        <w:tc>
          <w:tcPr>
            <w:tcW w:w="0" w:type="auto"/>
            <w:shd w:val="clear" w:color="auto" w:fill="8DB3E2" w:themeFill="text2" w:themeFillTint="66"/>
          </w:tcPr>
          <w:p w:rsidR="00AE0C79" w:rsidRDefault="00A61E00" w:rsidP="00FA7B84">
            <w:pPr>
              <w:spacing w:line="276" w:lineRule="auto"/>
              <w:rPr>
                <w:b/>
              </w:rPr>
            </w:pPr>
            <w:r>
              <w:rPr>
                <w:b/>
              </w:rPr>
              <w:t>2008</w:t>
            </w:r>
          </w:p>
        </w:tc>
        <w:tc>
          <w:tcPr>
            <w:tcW w:w="0" w:type="auto"/>
            <w:shd w:val="clear" w:color="auto" w:fill="8DB3E2" w:themeFill="text2" w:themeFillTint="66"/>
          </w:tcPr>
          <w:p w:rsidR="00AE0C79" w:rsidRDefault="00A61E00" w:rsidP="00FA7B84">
            <w:pPr>
              <w:spacing w:line="276" w:lineRule="auto"/>
              <w:rPr>
                <w:b/>
              </w:rPr>
            </w:pPr>
            <w:r>
              <w:rPr>
                <w:b/>
              </w:rPr>
              <w:t>2009</w:t>
            </w:r>
          </w:p>
        </w:tc>
        <w:tc>
          <w:tcPr>
            <w:tcW w:w="0" w:type="auto"/>
            <w:shd w:val="clear" w:color="auto" w:fill="8DB3E2" w:themeFill="text2" w:themeFillTint="66"/>
          </w:tcPr>
          <w:p w:rsidR="00AE0C79" w:rsidRDefault="00A61E00" w:rsidP="00FA7B84">
            <w:pPr>
              <w:spacing w:line="276" w:lineRule="auto"/>
              <w:rPr>
                <w:b/>
              </w:rPr>
            </w:pPr>
            <w:r>
              <w:rPr>
                <w:b/>
              </w:rPr>
              <w:t>2010</w:t>
            </w:r>
          </w:p>
        </w:tc>
      </w:tr>
      <w:tr w:rsidR="00AE0C79">
        <w:tc>
          <w:tcPr>
            <w:tcW w:w="0" w:type="auto"/>
            <w:shd w:val="clear" w:color="auto" w:fill="C6D9F1" w:themeFill="text2" w:themeFillTint="33"/>
          </w:tcPr>
          <w:p w:rsidR="00AE0C79" w:rsidRDefault="00A61E00" w:rsidP="00FA7B84">
            <w:pPr>
              <w:spacing w:line="276" w:lineRule="auto"/>
            </w:pPr>
            <w:r>
              <w:t>Běžná likvidita</w:t>
            </w:r>
          </w:p>
        </w:tc>
        <w:tc>
          <w:tcPr>
            <w:tcW w:w="0" w:type="auto"/>
          </w:tcPr>
          <w:p w:rsidR="00AE0C79" w:rsidRDefault="00A61E00" w:rsidP="00FA7B84">
            <w:pPr>
              <w:spacing w:line="276" w:lineRule="auto"/>
              <w:rPr>
                <w:lang w:val="en-US"/>
              </w:rPr>
            </w:pPr>
            <w:r>
              <w:rPr>
                <w:lang w:val="en-US"/>
              </w:rPr>
              <w:t>1,01</w:t>
            </w:r>
          </w:p>
        </w:tc>
        <w:tc>
          <w:tcPr>
            <w:tcW w:w="0" w:type="auto"/>
          </w:tcPr>
          <w:p w:rsidR="00AE0C79" w:rsidRDefault="00A61E00" w:rsidP="00FA7B84">
            <w:pPr>
              <w:spacing w:line="276" w:lineRule="auto"/>
            </w:pPr>
            <w:r>
              <w:t>1,87</w:t>
            </w:r>
          </w:p>
        </w:tc>
        <w:tc>
          <w:tcPr>
            <w:tcW w:w="0" w:type="auto"/>
          </w:tcPr>
          <w:p w:rsidR="00AE0C79" w:rsidRDefault="00A61E00" w:rsidP="00FA7B84">
            <w:pPr>
              <w:spacing w:line="276" w:lineRule="auto"/>
            </w:pPr>
            <w:r>
              <w:t>1,80</w:t>
            </w:r>
          </w:p>
        </w:tc>
        <w:tc>
          <w:tcPr>
            <w:tcW w:w="0" w:type="auto"/>
          </w:tcPr>
          <w:p w:rsidR="00AE0C79" w:rsidRDefault="00A61E00" w:rsidP="00FA7B84">
            <w:pPr>
              <w:spacing w:line="276" w:lineRule="auto"/>
            </w:pPr>
            <w:r>
              <w:t>1,99</w:t>
            </w:r>
          </w:p>
        </w:tc>
        <w:tc>
          <w:tcPr>
            <w:tcW w:w="0" w:type="auto"/>
          </w:tcPr>
          <w:p w:rsidR="00AE0C79" w:rsidRDefault="00A61E00" w:rsidP="00FA7B84">
            <w:pPr>
              <w:spacing w:line="276" w:lineRule="auto"/>
            </w:pPr>
            <w:r>
              <w:t>1,53</w:t>
            </w:r>
          </w:p>
        </w:tc>
        <w:tc>
          <w:tcPr>
            <w:tcW w:w="0" w:type="auto"/>
          </w:tcPr>
          <w:p w:rsidR="00AE0C79" w:rsidRDefault="00A61E00" w:rsidP="00FA7B84">
            <w:pPr>
              <w:spacing w:line="276" w:lineRule="auto"/>
            </w:pPr>
            <w:r>
              <w:t>1,56</w:t>
            </w:r>
          </w:p>
        </w:tc>
        <w:tc>
          <w:tcPr>
            <w:tcW w:w="0" w:type="auto"/>
          </w:tcPr>
          <w:p w:rsidR="00AE0C79" w:rsidRDefault="00A61E00" w:rsidP="00FA7B84">
            <w:pPr>
              <w:spacing w:line="276" w:lineRule="auto"/>
            </w:pPr>
            <w:r>
              <w:t>1,95</w:t>
            </w:r>
          </w:p>
        </w:tc>
        <w:tc>
          <w:tcPr>
            <w:tcW w:w="0" w:type="auto"/>
          </w:tcPr>
          <w:p w:rsidR="00AE0C79" w:rsidRDefault="00A61E00" w:rsidP="00FA7B84">
            <w:pPr>
              <w:spacing w:line="276" w:lineRule="auto"/>
            </w:pPr>
            <w:r>
              <w:t>2,00</w:t>
            </w:r>
          </w:p>
        </w:tc>
      </w:tr>
      <w:tr w:rsidR="00AE0C79">
        <w:tc>
          <w:tcPr>
            <w:tcW w:w="0" w:type="auto"/>
            <w:shd w:val="clear" w:color="auto" w:fill="C6D9F1" w:themeFill="text2" w:themeFillTint="33"/>
          </w:tcPr>
          <w:p w:rsidR="00AE0C79" w:rsidRDefault="00A61E00" w:rsidP="00FA7B84">
            <w:pPr>
              <w:spacing w:line="276" w:lineRule="auto"/>
            </w:pPr>
            <w:r>
              <w:t>Pohotová likvidita</w:t>
            </w:r>
          </w:p>
        </w:tc>
        <w:tc>
          <w:tcPr>
            <w:tcW w:w="0" w:type="auto"/>
          </w:tcPr>
          <w:p w:rsidR="00AE0C79" w:rsidRDefault="00A61E00" w:rsidP="00FA7B84">
            <w:pPr>
              <w:spacing w:line="276" w:lineRule="auto"/>
              <w:rPr>
                <w:lang w:val="en-US"/>
              </w:rPr>
            </w:pPr>
            <w:r>
              <w:rPr>
                <w:lang w:val="en-US"/>
              </w:rPr>
              <w:t>0,43</w:t>
            </w:r>
          </w:p>
        </w:tc>
        <w:tc>
          <w:tcPr>
            <w:tcW w:w="0" w:type="auto"/>
          </w:tcPr>
          <w:p w:rsidR="00AE0C79" w:rsidRDefault="00A61E00" w:rsidP="00FA7B84">
            <w:pPr>
              <w:spacing w:line="276" w:lineRule="auto"/>
            </w:pPr>
            <w:r>
              <w:t>0,79</w:t>
            </w:r>
          </w:p>
        </w:tc>
        <w:tc>
          <w:tcPr>
            <w:tcW w:w="0" w:type="auto"/>
          </w:tcPr>
          <w:p w:rsidR="00AE0C79" w:rsidRDefault="00A61E00" w:rsidP="00FA7B84">
            <w:pPr>
              <w:spacing w:line="276" w:lineRule="auto"/>
            </w:pPr>
            <w:r>
              <w:t>0,52</w:t>
            </w:r>
          </w:p>
        </w:tc>
        <w:tc>
          <w:tcPr>
            <w:tcW w:w="0" w:type="auto"/>
          </w:tcPr>
          <w:p w:rsidR="00AE0C79" w:rsidRDefault="00A61E00" w:rsidP="00FA7B84">
            <w:pPr>
              <w:spacing w:line="276" w:lineRule="auto"/>
            </w:pPr>
            <w:r>
              <w:t>0,82</w:t>
            </w:r>
          </w:p>
        </w:tc>
        <w:tc>
          <w:tcPr>
            <w:tcW w:w="0" w:type="auto"/>
          </w:tcPr>
          <w:p w:rsidR="00AE0C79" w:rsidRDefault="00A61E00" w:rsidP="00FA7B84">
            <w:pPr>
              <w:spacing w:line="276" w:lineRule="auto"/>
            </w:pPr>
            <w:r>
              <w:t>0,78</w:t>
            </w:r>
          </w:p>
        </w:tc>
        <w:tc>
          <w:tcPr>
            <w:tcW w:w="0" w:type="auto"/>
          </w:tcPr>
          <w:p w:rsidR="00AE0C79" w:rsidRDefault="00A61E00" w:rsidP="00FA7B84">
            <w:pPr>
              <w:spacing w:line="276" w:lineRule="auto"/>
            </w:pPr>
            <w:r>
              <w:t>0,84</w:t>
            </w:r>
          </w:p>
        </w:tc>
        <w:tc>
          <w:tcPr>
            <w:tcW w:w="0" w:type="auto"/>
          </w:tcPr>
          <w:p w:rsidR="00AE0C79" w:rsidRDefault="00A61E00" w:rsidP="00FA7B84">
            <w:pPr>
              <w:spacing w:line="276" w:lineRule="auto"/>
            </w:pPr>
            <w:r>
              <w:t>0,92</w:t>
            </w:r>
          </w:p>
        </w:tc>
        <w:tc>
          <w:tcPr>
            <w:tcW w:w="0" w:type="auto"/>
          </w:tcPr>
          <w:p w:rsidR="00AE0C79" w:rsidRDefault="00A61E00" w:rsidP="00FA7B84">
            <w:pPr>
              <w:spacing w:line="276" w:lineRule="auto"/>
            </w:pPr>
            <w:r>
              <w:t>0,96</w:t>
            </w:r>
          </w:p>
        </w:tc>
      </w:tr>
      <w:tr w:rsidR="00AE0C79">
        <w:tc>
          <w:tcPr>
            <w:tcW w:w="0" w:type="auto"/>
            <w:shd w:val="clear" w:color="auto" w:fill="C6D9F1" w:themeFill="text2" w:themeFillTint="33"/>
          </w:tcPr>
          <w:p w:rsidR="00AE0C79" w:rsidRDefault="00A61E00" w:rsidP="00FA7B84">
            <w:pPr>
              <w:spacing w:line="276" w:lineRule="auto"/>
            </w:pPr>
            <w:r>
              <w:t>Peněžní likvidita</w:t>
            </w:r>
          </w:p>
        </w:tc>
        <w:tc>
          <w:tcPr>
            <w:tcW w:w="0" w:type="auto"/>
          </w:tcPr>
          <w:p w:rsidR="00AE0C79" w:rsidRDefault="00A61E00" w:rsidP="00FA7B84">
            <w:pPr>
              <w:spacing w:line="276" w:lineRule="auto"/>
              <w:rPr>
                <w:lang w:val="en-US"/>
              </w:rPr>
            </w:pPr>
            <w:r>
              <w:rPr>
                <w:lang w:val="en-US"/>
              </w:rPr>
              <w:t>0,01</w:t>
            </w:r>
          </w:p>
        </w:tc>
        <w:tc>
          <w:tcPr>
            <w:tcW w:w="0" w:type="auto"/>
          </w:tcPr>
          <w:p w:rsidR="00AE0C79" w:rsidRDefault="00A61E00" w:rsidP="00FA7B84">
            <w:pPr>
              <w:spacing w:line="276" w:lineRule="auto"/>
            </w:pPr>
            <w:r>
              <w:t>0,02</w:t>
            </w:r>
          </w:p>
        </w:tc>
        <w:tc>
          <w:tcPr>
            <w:tcW w:w="0" w:type="auto"/>
          </w:tcPr>
          <w:p w:rsidR="00AE0C79" w:rsidRDefault="00A61E00" w:rsidP="00FA7B84">
            <w:pPr>
              <w:spacing w:line="276" w:lineRule="auto"/>
            </w:pPr>
            <w:r>
              <w:t>0,13</w:t>
            </w:r>
          </w:p>
        </w:tc>
        <w:tc>
          <w:tcPr>
            <w:tcW w:w="0" w:type="auto"/>
          </w:tcPr>
          <w:p w:rsidR="00AE0C79" w:rsidRDefault="00A61E00" w:rsidP="00FA7B84">
            <w:pPr>
              <w:spacing w:line="276" w:lineRule="auto"/>
            </w:pPr>
            <w:r>
              <w:t>0,26</w:t>
            </w:r>
          </w:p>
        </w:tc>
        <w:tc>
          <w:tcPr>
            <w:tcW w:w="0" w:type="auto"/>
          </w:tcPr>
          <w:p w:rsidR="00AE0C79" w:rsidRDefault="00A61E00" w:rsidP="00FA7B84">
            <w:pPr>
              <w:spacing w:line="276" w:lineRule="auto"/>
            </w:pPr>
            <w:r>
              <w:t>0,29</w:t>
            </w:r>
          </w:p>
        </w:tc>
        <w:tc>
          <w:tcPr>
            <w:tcW w:w="0" w:type="auto"/>
          </w:tcPr>
          <w:p w:rsidR="00AE0C79" w:rsidRDefault="00A61E00" w:rsidP="00FA7B84">
            <w:pPr>
              <w:spacing w:line="276" w:lineRule="auto"/>
            </w:pPr>
            <w:r>
              <w:t>0,50</w:t>
            </w:r>
          </w:p>
        </w:tc>
        <w:tc>
          <w:tcPr>
            <w:tcW w:w="0" w:type="auto"/>
          </w:tcPr>
          <w:p w:rsidR="00AE0C79" w:rsidRDefault="00A61E00" w:rsidP="00FA7B84">
            <w:pPr>
              <w:spacing w:line="276" w:lineRule="auto"/>
            </w:pPr>
            <w:r>
              <w:t>0,50</w:t>
            </w:r>
          </w:p>
        </w:tc>
        <w:tc>
          <w:tcPr>
            <w:tcW w:w="0" w:type="auto"/>
          </w:tcPr>
          <w:p w:rsidR="00AE0C79" w:rsidRDefault="00A61E00" w:rsidP="00FA7B84">
            <w:pPr>
              <w:spacing w:line="276" w:lineRule="auto"/>
            </w:pPr>
            <w:r>
              <w:t>0,45</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Titulek"/>
        <w:keepNext/>
        <w:spacing w:line="276" w:lineRule="auto"/>
      </w:pPr>
      <w:bookmarkStart w:id="69" w:name="_Toc324932939"/>
      <w:r>
        <w:t xml:space="preserve">Tabulka </w:t>
      </w:r>
      <w:fldSimple w:instr=" SEQ Tabulka \* ARABIC ">
        <w:r w:rsidR="00F5284D">
          <w:rPr>
            <w:noProof/>
          </w:rPr>
          <w:t>17</w:t>
        </w:r>
      </w:fldSimple>
      <w:r>
        <w:t xml:space="preserve">: Ukazatele likvidity </w:t>
      </w:r>
      <w:r w:rsidR="00D15BB5">
        <w:t>konkurenčních společností</w:t>
      </w:r>
      <w:bookmarkEnd w:id="69"/>
    </w:p>
    <w:tbl>
      <w:tblPr>
        <w:tblStyle w:val="Mkatabulky"/>
        <w:tblW w:w="0" w:type="auto"/>
        <w:tblLook w:val="04A0"/>
      </w:tblPr>
      <w:tblGrid>
        <w:gridCol w:w="1836"/>
        <w:gridCol w:w="656"/>
        <w:gridCol w:w="656"/>
        <w:gridCol w:w="656"/>
        <w:gridCol w:w="656"/>
        <w:gridCol w:w="656"/>
        <w:gridCol w:w="656"/>
        <w:gridCol w:w="656"/>
        <w:gridCol w:w="656"/>
      </w:tblGrid>
      <w:tr w:rsidR="00AE0C79">
        <w:tc>
          <w:tcPr>
            <w:tcW w:w="0" w:type="auto"/>
            <w:shd w:val="clear" w:color="auto" w:fill="BFBFBF" w:themeFill="background1" w:themeFillShade="BF"/>
          </w:tcPr>
          <w:p w:rsidR="00AE0C79" w:rsidRDefault="00AE0C79" w:rsidP="00FA7B84">
            <w:pPr>
              <w:spacing w:line="276" w:lineRule="auto"/>
              <w:rPr>
                <w:rFonts w:cs="Times New Roman"/>
                <w:b/>
              </w:rPr>
            </w:pP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2003</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2004</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2005</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2006</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2007</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2008</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2009</w:t>
            </w:r>
          </w:p>
        </w:tc>
        <w:tc>
          <w:tcPr>
            <w:tcW w:w="0" w:type="auto"/>
            <w:shd w:val="clear" w:color="auto" w:fill="BFBFBF" w:themeFill="background1" w:themeFillShade="BF"/>
          </w:tcPr>
          <w:p w:rsidR="00AE0C79" w:rsidRDefault="00A61E00" w:rsidP="00FA7B84">
            <w:pPr>
              <w:spacing w:line="276" w:lineRule="auto"/>
              <w:rPr>
                <w:rFonts w:cs="Times New Roman"/>
                <w:b/>
              </w:rPr>
            </w:pPr>
            <w:r>
              <w:rPr>
                <w:rFonts w:cs="Times New Roman"/>
                <w:b/>
              </w:rPr>
              <w:t>2010</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Běžná likvidita</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1,42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1,66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2,24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2,34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1,91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2,65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3,03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1,95</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Pohotová likvidita</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0,90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0,85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1,14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1,34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1,19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2,02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1,80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1,17</w:t>
            </w:r>
          </w:p>
        </w:tc>
      </w:tr>
      <w:tr w:rsidR="00AE0C79">
        <w:tc>
          <w:tcPr>
            <w:tcW w:w="0" w:type="auto"/>
            <w:shd w:val="clear" w:color="auto" w:fill="D9D9D9" w:themeFill="background1" w:themeFillShade="D9"/>
          </w:tcPr>
          <w:p w:rsidR="00AE0C79" w:rsidRDefault="00A61E00" w:rsidP="00FA7B84">
            <w:pPr>
              <w:spacing w:line="276" w:lineRule="auto"/>
              <w:rPr>
                <w:rFonts w:cs="Times New Roman"/>
              </w:rPr>
            </w:pPr>
            <w:r>
              <w:rPr>
                <w:rFonts w:cs="Times New Roman"/>
              </w:rPr>
              <w:t>Peněžní likvidita</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0,47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0,50</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0,51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0,84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0,84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0,24</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pPr>
      <w:r>
        <w:t>Situace likvidity podniku za sledované období není nejpříznivější. Oproti konkurenci vykazuje podnik vyšší likviditu pouze v roce 2010 u hodnoty peněžní likvidity, ale kromě této výjimky značně zaostává jak za konkurenci, tak za některými doporučeními.</w:t>
      </w:r>
    </w:p>
    <w:p w:rsidR="00AE0C79" w:rsidRDefault="00A61E00" w:rsidP="00FA7B84">
      <w:pPr>
        <w:spacing w:line="276" w:lineRule="auto"/>
      </w:pPr>
      <w:r>
        <w:t xml:space="preserve">Běžná likvidita na první pohled vykazuje pozitivní hodnoty, které překračují doporučenou hodnotu 1,5 (s výjimkou roku 2003), ale značný rozdíl mezi běžnou a pohotovou likviditou ukazuje na velký vliv zásob na hodnoty běžné likvidity. Už při analýze ukazatelů aktivity jsem uvedl, že velká doba obratu zásob může způsobovat podniku potíže s likviditou kvůli dlouhé době potřebné k převodu zásob na peněžní prostředky. Tyto potíže se ukazují na hodnotě pohotové likvidity, která do výpočtu nezahrnuje zásoby. Její hodnota nedosahuje doporučené hodnoty 1 ani v jednom roce a značně zaostává i za likviditou konkurence. </w:t>
      </w:r>
    </w:p>
    <w:p w:rsidR="00AE0C79" w:rsidRDefault="00A61E00" w:rsidP="00FA7B84">
      <w:pPr>
        <w:spacing w:line="276" w:lineRule="auto"/>
      </w:pPr>
      <w:r>
        <w:t xml:space="preserve">Peněžní likvidita podniku také za celé období nepřesáhla doporučenou hodnotu 0,6, v letech 2003 a 2004 dokonce nepřesahovala ani kritickou hodnotu 0,2. V těchto letech podnik držel jen malé peněžní prostředky, ale od roku 2005 se výše držených peněžních prostředků zvýšila, což mělo pozitivní dopad na likviditu podniku. </w:t>
      </w:r>
    </w:p>
    <w:p w:rsidR="00AE0C79" w:rsidRDefault="00A61E00" w:rsidP="00FA7B84">
      <w:pPr>
        <w:spacing w:line="276" w:lineRule="auto"/>
      </w:pPr>
      <w:r>
        <w:t>Celkově můžeme říci, že likvidita je pro podnik velkým problémem. Oproti počátku sledovaného období je znatelné zlepšení likvidity, ale ta stále nedosahuje dostatečných hodnot. V případě náhlé potřeby většího množství peněžních prostředků se tak podnik musí uchylovat k úvěrům, aby byl schopen pokrýt své závazky. Nižší likvidita se také odráží v horší schopnosti podniku dostát svým závazkům. Jak ukázala analýza ukazatelů likvidity, podnik skutečně vykazuje poměrně dlouhou dobu obratu závazků, která je způsobena právě jeho nižší likviditou.</w:t>
      </w:r>
    </w:p>
    <w:p w:rsidR="00AE0C79" w:rsidRDefault="00A61E00" w:rsidP="00FA7B84">
      <w:pPr>
        <w:pStyle w:val="Titulek"/>
        <w:keepNext/>
        <w:spacing w:line="276" w:lineRule="auto"/>
      </w:pPr>
      <w:bookmarkStart w:id="70" w:name="_Toc324932953"/>
      <w:r>
        <w:lastRenderedPageBreak/>
        <w:t xml:space="preserve">Graf </w:t>
      </w:r>
      <w:fldSimple w:instr=" SEQ Graf \* ARABIC ">
        <w:r w:rsidR="00F5284D">
          <w:rPr>
            <w:noProof/>
          </w:rPr>
          <w:t>11</w:t>
        </w:r>
      </w:fldSimple>
      <w:r>
        <w:t>: Vývoj ukazatelů likvidity společnosti Dentamed s.r.o.</w:t>
      </w:r>
      <w:bookmarkEnd w:id="70"/>
    </w:p>
    <w:p w:rsidR="00AE0C79" w:rsidRDefault="00A61E00" w:rsidP="00FA7B84">
      <w:pPr>
        <w:spacing w:line="276" w:lineRule="auto"/>
      </w:pPr>
      <w:r>
        <w:rPr>
          <w:noProof/>
          <w:lang w:eastAsia="cs-CZ"/>
        </w:rPr>
        <w:drawing>
          <wp:inline distT="0" distB="0" distL="0" distR="0">
            <wp:extent cx="5436000" cy="2881423"/>
            <wp:effectExtent l="19050" t="0" r="12300" b="0"/>
            <wp:docPr id="16" name="Graf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pStyle w:val="Nadpis2"/>
        <w:spacing w:line="276" w:lineRule="auto"/>
      </w:pPr>
      <w:bookmarkStart w:id="71" w:name="_Toc324932912"/>
      <w:r>
        <w:t>Bonitní a bankrotní modely</w:t>
      </w:r>
      <w:bookmarkEnd w:id="71"/>
    </w:p>
    <w:p w:rsidR="00AE0C79" w:rsidRDefault="00A61E00" w:rsidP="00FA7B84">
      <w:pPr>
        <w:pStyle w:val="Nadpis3"/>
        <w:spacing w:line="276" w:lineRule="auto"/>
      </w:pPr>
      <w:bookmarkStart w:id="72" w:name="_Toc324932913"/>
      <w:r>
        <w:t>Kralicekův Quick test</w:t>
      </w:r>
      <w:bookmarkEnd w:id="72"/>
    </w:p>
    <w:p w:rsidR="00AE0C79" w:rsidRDefault="00F61EC2" w:rsidP="00FA7B84">
      <w:pPr>
        <w:spacing w:line="276" w:lineRule="auto"/>
      </w:pPr>
      <w:r>
        <w:t xml:space="preserve">Podle výsledků Kralicekova testu rozhodně není situace podniku příznivá. Nejhorší situace podnik dosáhl v roce 2005, kdy se podnik podle modelu ocitl na okraji ohrožení insolvencí. Také v letech 2003, 2004, 2008 a 2009 podnik dosáhl slabých celkových známek. V těchto letech můžeme tedy hospodaření podniku označit jako špatné. Nejlepších výsledků podnik dosáhl v letech 2006, 2010 a také v roce 2007, kdy je možno hospodaření podniku označit jako dobré. Jak je zřejmé i z následujících tabulek, během sledovaného období podnik nedosáhl lepší celkové známky než 3, </w:t>
      </w:r>
      <w:r w:rsidR="00377AD8">
        <w:t xml:space="preserve">abych jeho hospodaření mohl na základě tohoto modelu označit jako velmi dobré, popřípadě výborné, </w:t>
      </w:r>
      <w:r>
        <w:t>a zároveň se většinou pohyboval spíše</w:t>
      </w:r>
      <w:r w:rsidR="00377AD8">
        <w:t xml:space="preserve"> v hodnotách značících špatné hospodaření.</w:t>
      </w:r>
    </w:p>
    <w:p w:rsidR="00AE0C79" w:rsidRDefault="00A3110A" w:rsidP="00FA7B84">
      <w:pPr>
        <w:pStyle w:val="Titulek"/>
        <w:keepNext/>
        <w:spacing w:line="276" w:lineRule="auto"/>
      </w:pPr>
      <w:bookmarkStart w:id="73" w:name="_Toc324932940"/>
      <w:r>
        <w:t xml:space="preserve">Tabulka </w:t>
      </w:r>
      <w:fldSimple w:instr=" SEQ Tabulka \* ARABIC ">
        <w:r w:rsidR="00F5284D">
          <w:rPr>
            <w:noProof/>
          </w:rPr>
          <w:t>18</w:t>
        </w:r>
      </w:fldSimple>
      <w:r>
        <w:t>: Absolutní hodnoty Kralicekova rychlého testu pro společnost Dentamed s.r.o.</w:t>
      </w:r>
      <w:bookmarkEnd w:id="73"/>
    </w:p>
    <w:tbl>
      <w:tblPr>
        <w:tblStyle w:val="Mkatabulky"/>
        <w:tblW w:w="0" w:type="auto"/>
        <w:tblLook w:val="04A0"/>
      </w:tblPr>
      <w:tblGrid>
        <w:gridCol w:w="2929"/>
        <w:gridCol w:w="895"/>
        <w:gridCol w:w="895"/>
        <w:gridCol w:w="675"/>
        <w:gridCol w:w="711"/>
        <w:gridCol w:w="711"/>
        <w:gridCol w:w="711"/>
        <w:gridCol w:w="711"/>
        <w:gridCol w:w="711"/>
      </w:tblGrid>
      <w:tr w:rsidR="00AE0C79" w:rsidRPr="00E027E3" w:rsidTr="00377AD8">
        <w:tc>
          <w:tcPr>
            <w:tcW w:w="0" w:type="auto"/>
            <w:shd w:val="clear" w:color="auto" w:fill="8DB3E2" w:themeFill="text2" w:themeFillTint="66"/>
          </w:tcPr>
          <w:p w:rsidR="00AE0C79" w:rsidRPr="00E027E3" w:rsidRDefault="00AE0C79" w:rsidP="00FA7B84">
            <w:pPr>
              <w:spacing w:line="276" w:lineRule="auto"/>
              <w:rPr>
                <w:rFonts w:cs="Times New Roman"/>
                <w:b/>
              </w:rPr>
            </w:pP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2003</w:t>
            </w: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2004</w:t>
            </w: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2005</w:t>
            </w: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2006</w:t>
            </w: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2007</w:t>
            </w: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2008</w:t>
            </w: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2009</w:t>
            </w:r>
          </w:p>
        </w:tc>
        <w:tc>
          <w:tcPr>
            <w:tcW w:w="0" w:type="auto"/>
            <w:shd w:val="clear" w:color="auto" w:fill="8DB3E2" w:themeFill="text2" w:themeFillTint="66"/>
          </w:tcPr>
          <w:p w:rsidR="00AE0C79" w:rsidRPr="00E027E3" w:rsidRDefault="00A61E00" w:rsidP="00FA7B84">
            <w:pPr>
              <w:spacing w:line="276" w:lineRule="auto"/>
              <w:rPr>
                <w:rFonts w:cs="Times New Roman"/>
                <w:b/>
              </w:rPr>
            </w:pPr>
            <w:r w:rsidRPr="00E027E3">
              <w:rPr>
                <w:rFonts w:cs="Times New Roman"/>
                <w:b/>
              </w:rPr>
              <w:t>2010</w:t>
            </w:r>
          </w:p>
        </w:tc>
      </w:tr>
      <w:tr w:rsidR="00AE0C79" w:rsidRPr="007D7EAC" w:rsidTr="00377AD8">
        <w:tc>
          <w:tcPr>
            <w:tcW w:w="0" w:type="auto"/>
            <w:shd w:val="clear" w:color="auto" w:fill="C6D9F1" w:themeFill="text2" w:themeFillTint="33"/>
          </w:tcPr>
          <w:p w:rsidR="00AE0C79" w:rsidRPr="007D7EAC" w:rsidRDefault="00A61E00" w:rsidP="00FA7B84">
            <w:pPr>
              <w:spacing w:line="276" w:lineRule="auto"/>
              <w:rPr>
                <w:rFonts w:cs="Times New Roman"/>
              </w:rPr>
            </w:pPr>
            <w:r w:rsidRPr="007D7EAC">
              <w:rPr>
                <w:rFonts w:cs="Times New Roman"/>
              </w:rPr>
              <w:t>Kvóta vlastního kapitálu</w:t>
            </w:r>
            <w:r w:rsidR="00A3110A">
              <w:rPr>
                <w:rFonts w:cs="Times New Roman"/>
              </w:rPr>
              <w:t xml:space="preserve"> (v %)</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6,81</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7,93</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4,22</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9,95</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18,90</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10,98</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8,37</w:t>
            </w:r>
          </w:p>
        </w:tc>
        <w:tc>
          <w:tcPr>
            <w:tcW w:w="0" w:type="auto"/>
            <w:vAlign w:val="bottom"/>
          </w:tcPr>
          <w:p w:rsidR="00AE0C79" w:rsidRPr="007D7EAC" w:rsidRDefault="00A61E00"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17,70</w:t>
            </w:r>
          </w:p>
        </w:tc>
      </w:tr>
      <w:tr w:rsidR="00031F76" w:rsidRPr="007D7EAC" w:rsidTr="00377AD8">
        <w:tc>
          <w:tcPr>
            <w:tcW w:w="0" w:type="auto"/>
            <w:shd w:val="clear" w:color="auto" w:fill="C6D9F1" w:themeFill="text2" w:themeFillTint="33"/>
          </w:tcPr>
          <w:p w:rsidR="00C1246E" w:rsidRPr="007D7EAC" w:rsidRDefault="00C1246E" w:rsidP="00FA7B84">
            <w:pPr>
              <w:spacing w:line="276" w:lineRule="auto"/>
              <w:rPr>
                <w:rFonts w:cs="Times New Roman"/>
              </w:rPr>
            </w:pPr>
            <w:r w:rsidRPr="007D7EAC">
              <w:rPr>
                <w:rFonts w:cs="Times New Roman"/>
              </w:rPr>
              <w:t>Doba splácení dluhu</w:t>
            </w:r>
            <w:r w:rsidR="00A3110A">
              <w:rPr>
                <w:rFonts w:cs="Times New Roman"/>
              </w:rPr>
              <w:t xml:space="preserve"> </w:t>
            </w:r>
            <w:r w:rsidR="00377AD8">
              <w:rPr>
                <w:rFonts w:cs="Times New Roman"/>
              </w:rPr>
              <w:t>z CF (let)</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-671,36</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-123,36</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-6,73</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9,84</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12,48</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-6,88</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26,10</w:t>
            </w:r>
          </w:p>
        </w:tc>
        <w:tc>
          <w:tcPr>
            <w:tcW w:w="0" w:type="auto"/>
            <w:shd w:val="clear" w:color="auto" w:fill="auto"/>
            <w:vAlign w:val="bottom"/>
          </w:tcPr>
          <w:p w:rsidR="00C1246E" w:rsidRPr="007D7EAC" w:rsidRDefault="00C1246E"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5,26</w:t>
            </w:r>
          </w:p>
        </w:tc>
      </w:tr>
      <w:tr w:rsidR="007D7EAC" w:rsidRPr="007D7EAC" w:rsidTr="00377AD8">
        <w:tc>
          <w:tcPr>
            <w:tcW w:w="0" w:type="auto"/>
            <w:shd w:val="clear" w:color="auto" w:fill="C6D9F1" w:themeFill="text2" w:themeFillTint="33"/>
          </w:tcPr>
          <w:p w:rsidR="007D7EAC" w:rsidRPr="007D7EAC" w:rsidRDefault="007D7EAC" w:rsidP="00FA7B84">
            <w:pPr>
              <w:spacing w:line="276" w:lineRule="auto"/>
              <w:rPr>
                <w:rFonts w:cs="Times New Roman"/>
              </w:rPr>
            </w:pPr>
            <w:r w:rsidRPr="007D7EAC">
              <w:rPr>
                <w:rFonts w:cs="Times New Roman"/>
              </w:rPr>
              <w:t>Cash flow v</w:t>
            </w:r>
            <w:r w:rsidR="00A3110A">
              <w:rPr>
                <w:rFonts w:cs="Times New Roman"/>
              </w:rPr>
              <w:t> </w:t>
            </w:r>
            <w:r w:rsidRPr="007D7EAC">
              <w:rPr>
                <w:rFonts w:cs="Times New Roman"/>
              </w:rPr>
              <w:t>tržbách</w:t>
            </w:r>
            <w:r w:rsidR="00A3110A">
              <w:rPr>
                <w:rFonts w:cs="Times New Roman"/>
              </w:rPr>
              <w:t xml:space="preserve"> (v %)</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0,07</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0,07</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1,67</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2,34</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3,57</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4,45</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-2,14</w:t>
            </w:r>
          </w:p>
        </w:tc>
        <w:tc>
          <w:tcPr>
            <w:tcW w:w="0" w:type="auto"/>
            <w:vAlign w:val="bottom"/>
          </w:tcPr>
          <w:p w:rsidR="007D7EAC" w:rsidRPr="007D7EAC" w:rsidRDefault="007D7EAC" w:rsidP="00FA7B84">
            <w:pPr>
              <w:spacing w:line="276" w:lineRule="auto"/>
              <w:rPr>
                <w:rFonts w:eastAsia="Times New Roman" w:cs="Times New Roman"/>
                <w:color w:val="000000"/>
                <w:lang w:eastAsia="cs-CZ"/>
              </w:rPr>
            </w:pPr>
            <w:r w:rsidRPr="007D7EAC">
              <w:rPr>
                <w:rFonts w:eastAsia="Times New Roman" w:cs="Times New Roman"/>
                <w:color w:val="000000"/>
                <w:lang w:eastAsia="cs-CZ"/>
              </w:rPr>
              <w:t>-0,07</w:t>
            </w:r>
          </w:p>
        </w:tc>
      </w:tr>
      <w:tr w:rsidR="007D7EAC" w:rsidRPr="007D7EAC" w:rsidTr="00377AD8">
        <w:tc>
          <w:tcPr>
            <w:tcW w:w="0" w:type="auto"/>
            <w:shd w:val="clear" w:color="auto" w:fill="C6D9F1" w:themeFill="text2" w:themeFillTint="33"/>
          </w:tcPr>
          <w:p w:rsidR="007D7EAC" w:rsidRPr="007D7EAC" w:rsidRDefault="007D7EAC" w:rsidP="00FA7B84">
            <w:pPr>
              <w:spacing w:line="276" w:lineRule="auto"/>
              <w:rPr>
                <w:rFonts w:cs="Times New Roman"/>
              </w:rPr>
            </w:pPr>
            <w:r w:rsidRPr="007D7EAC">
              <w:rPr>
                <w:rFonts w:cs="Times New Roman"/>
              </w:rPr>
              <w:t>ROA</w:t>
            </w:r>
            <w:r w:rsidR="00A3110A">
              <w:rPr>
                <w:rFonts w:cs="Times New Roman"/>
              </w:rPr>
              <w:t xml:space="preserve"> (v %)</w:t>
            </w:r>
          </w:p>
        </w:tc>
        <w:tc>
          <w:tcPr>
            <w:tcW w:w="0" w:type="auto"/>
          </w:tcPr>
          <w:p w:rsidR="007D7EAC" w:rsidRPr="007D7EAC" w:rsidRDefault="007D7EAC" w:rsidP="00FA7B84">
            <w:pPr>
              <w:spacing w:line="276" w:lineRule="auto"/>
              <w:rPr>
                <w:rFonts w:cs="Times New Roman"/>
              </w:rPr>
            </w:pPr>
            <w:r w:rsidRPr="007D7EAC">
              <w:rPr>
                <w:rFonts w:cs="Times New Roman"/>
              </w:rPr>
              <w:t>1,01</w:t>
            </w:r>
          </w:p>
        </w:tc>
        <w:tc>
          <w:tcPr>
            <w:tcW w:w="0" w:type="auto"/>
          </w:tcPr>
          <w:p w:rsidR="007D7EAC" w:rsidRPr="007D7EAC" w:rsidRDefault="007D7EAC" w:rsidP="00FA7B84">
            <w:pPr>
              <w:spacing w:line="276" w:lineRule="auto"/>
              <w:rPr>
                <w:rFonts w:cs="Times New Roman"/>
              </w:rPr>
            </w:pPr>
            <w:r w:rsidRPr="007D7EAC">
              <w:rPr>
                <w:rFonts w:cs="Times New Roman"/>
              </w:rPr>
              <w:t>4,36</w:t>
            </w:r>
          </w:p>
        </w:tc>
        <w:tc>
          <w:tcPr>
            <w:tcW w:w="0" w:type="auto"/>
          </w:tcPr>
          <w:p w:rsidR="007D7EAC" w:rsidRPr="007D7EAC" w:rsidRDefault="007D7EAC" w:rsidP="00FA7B84">
            <w:pPr>
              <w:spacing w:line="276" w:lineRule="auto"/>
              <w:rPr>
                <w:rFonts w:cs="Times New Roman"/>
              </w:rPr>
            </w:pPr>
            <w:r w:rsidRPr="007D7EAC">
              <w:rPr>
                <w:rFonts w:cs="Times New Roman"/>
              </w:rPr>
              <w:t>-8,92</w:t>
            </w:r>
          </w:p>
        </w:tc>
        <w:tc>
          <w:tcPr>
            <w:tcW w:w="0" w:type="auto"/>
          </w:tcPr>
          <w:p w:rsidR="007D7EAC" w:rsidRPr="007D7EAC" w:rsidRDefault="007D7EAC" w:rsidP="00FA7B84">
            <w:pPr>
              <w:spacing w:line="276" w:lineRule="auto"/>
              <w:rPr>
                <w:rFonts w:cs="Times New Roman"/>
              </w:rPr>
            </w:pPr>
            <w:r w:rsidRPr="007D7EAC">
              <w:rPr>
                <w:rFonts w:cs="Times New Roman"/>
              </w:rPr>
              <w:t>19,08</w:t>
            </w:r>
          </w:p>
        </w:tc>
        <w:tc>
          <w:tcPr>
            <w:tcW w:w="0" w:type="auto"/>
          </w:tcPr>
          <w:p w:rsidR="007D7EAC" w:rsidRPr="007D7EAC" w:rsidRDefault="007D7EAC" w:rsidP="00FA7B84">
            <w:pPr>
              <w:spacing w:line="276" w:lineRule="auto"/>
              <w:rPr>
                <w:rFonts w:cs="Times New Roman"/>
              </w:rPr>
            </w:pPr>
            <w:r w:rsidRPr="007D7EAC">
              <w:rPr>
                <w:rFonts w:cs="Times New Roman"/>
              </w:rPr>
              <w:t>13,13</w:t>
            </w:r>
          </w:p>
        </w:tc>
        <w:tc>
          <w:tcPr>
            <w:tcW w:w="0" w:type="auto"/>
          </w:tcPr>
          <w:p w:rsidR="007D7EAC" w:rsidRPr="007D7EAC" w:rsidRDefault="007D7EAC" w:rsidP="00FA7B84">
            <w:pPr>
              <w:spacing w:line="276" w:lineRule="auto"/>
              <w:rPr>
                <w:rFonts w:cs="Times New Roman"/>
              </w:rPr>
            </w:pPr>
            <w:r w:rsidRPr="007D7EAC">
              <w:rPr>
                <w:rFonts w:cs="Times New Roman"/>
              </w:rPr>
              <w:t>-4,19</w:t>
            </w:r>
          </w:p>
        </w:tc>
        <w:tc>
          <w:tcPr>
            <w:tcW w:w="0" w:type="auto"/>
          </w:tcPr>
          <w:p w:rsidR="007D7EAC" w:rsidRPr="007D7EAC" w:rsidRDefault="007D7EAC" w:rsidP="00FA7B84">
            <w:pPr>
              <w:spacing w:line="276" w:lineRule="auto"/>
              <w:rPr>
                <w:rFonts w:cs="Times New Roman"/>
              </w:rPr>
            </w:pPr>
            <w:r w:rsidRPr="007D7EAC">
              <w:rPr>
                <w:rFonts w:cs="Times New Roman"/>
              </w:rPr>
              <w:t>7,02</w:t>
            </w:r>
          </w:p>
        </w:tc>
        <w:tc>
          <w:tcPr>
            <w:tcW w:w="0" w:type="auto"/>
          </w:tcPr>
          <w:p w:rsidR="007D7EAC" w:rsidRPr="007D7EAC" w:rsidRDefault="007D7EAC" w:rsidP="00FA7B84">
            <w:pPr>
              <w:spacing w:line="276" w:lineRule="auto"/>
              <w:rPr>
                <w:rFonts w:cs="Times New Roman"/>
              </w:rPr>
            </w:pPr>
            <w:r w:rsidRPr="007D7EAC">
              <w:rPr>
                <w:rFonts w:cs="Times New Roman"/>
              </w:rPr>
              <w:t>15,63</w:t>
            </w:r>
          </w:p>
        </w:tc>
      </w:tr>
    </w:tbl>
    <w:p w:rsidR="007D7EAC" w:rsidRDefault="00A3110A" w:rsidP="00FA7B84">
      <w:pPr>
        <w:spacing w:line="276" w:lineRule="auto"/>
        <w:rPr>
          <w:i/>
          <w:sz w:val="20"/>
          <w:szCs w:val="20"/>
        </w:rPr>
      </w:pPr>
      <w:r>
        <w:rPr>
          <w:i/>
          <w:sz w:val="20"/>
          <w:szCs w:val="20"/>
        </w:rPr>
        <w:t>Zdroj: Vlastní výpočty autora na základě finančních výkazů společnosti Dentamed, s.r.o.</w:t>
      </w:r>
    </w:p>
    <w:p w:rsidR="00F61EC2" w:rsidRDefault="00377AD8" w:rsidP="00FA7B84">
      <w:pPr>
        <w:spacing w:line="276" w:lineRule="auto"/>
      </w:pPr>
      <w:r>
        <w:t xml:space="preserve">Při pohledu na hodnocení finanční stability podniku můžeme vidět, že za sledované období došlo k mírnému zlepšení. Toto zlepšení je znatelné v posledních pěti letech, i když je poznamenáno zhoršením ukazatele kvóty vlastního kapitálu v roce 2009, které je způsobeno snížením vlastního kapitálu podniku z důvodu vyplacení podílu na zisku. </w:t>
      </w:r>
      <w:r w:rsidR="00B7769D">
        <w:t xml:space="preserve">Znatelné je také </w:t>
      </w:r>
      <w:r w:rsidR="00B7769D">
        <w:lastRenderedPageBreak/>
        <w:t>zhoršení ukazatele doby splácení dluhu z cash flow v roce 2008, které v tomto roce dosáhlo záporné hodnoty díky zápornému výsledku hospodaření. Nejlepší finanční stability nakonec podnik dosáhl v roce 2010.</w:t>
      </w:r>
    </w:p>
    <w:p w:rsidR="007D7EAC" w:rsidRDefault="00A3110A" w:rsidP="00FA7B84">
      <w:pPr>
        <w:pStyle w:val="Titulek"/>
        <w:keepNext/>
        <w:spacing w:line="276" w:lineRule="auto"/>
      </w:pPr>
      <w:bookmarkStart w:id="74" w:name="_Toc324932941"/>
      <w:r>
        <w:t xml:space="preserve">Tabulka </w:t>
      </w:r>
      <w:fldSimple w:instr=" SEQ Tabulka \* ARABIC ">
        <w:r w:rsidR="00F5284D">
          <w:rPr>
            <w:noProof/>
          </w:rPr>
          <w:t>19</w:t>
        </w:r>
      </w:fldSimple>
      <w:r>
        <w:t>: Známkování Kralicekova rychlého testu pro společnost Dentamed s.r.o.</w:t>
      </w:r>
      <w:bookmarkEnd w:id="74"/>
    </w:p>
    <w:tbl>
      <w:tblPr>
        <w:tblStyle w:val="Mkatabulky"/>
        <w:tblW w:w="0" w:type="auto"/>
        <w:tblLook w:val="04A0"/>
      </w:tblPr>
      <w:tblGrid>
        <w:gridCol w:w="2502"/>
        <w:gridCol w:w="656"/>
        <w:gridCol w:w="656"/>
        <w:gridCol w:w="656"/>
        <w:gridCol w:w="656"/>
        <w:gridCol w:w="656"/>
        <w:gridCol w:w="656"/>
        <w:gridCol w:w="656"/>
        <w:gridCol w:w="656"/>
        <w:gridCol w:w="949"/>
      </w:tblGrid>
      <w:tr w:rsidR="00F61EC2" w:rsidRPr="00E027E3" w:rsidTr="00D417FA">
        <w:tc>
          <w:tcPr>
            <w:tcW w:w="0" w:type="auto"/>
            <w:shd w:val="clear" w:color="auto" w:fill="8DB3E2" w:themeFill="text2" w:themeFillTint="66"/>
          </w:tcPr>
          <w:p w:rsidR="00F61EC2" w:rsidRPr="00E027E3" w:rsidRDefault="00F61EC2" w:rsidP="00FA7B84">
            <w:pPr>
              <w:spacing w:line="276" w:lineRule="auto"/>
              <w:rPr>
                <w:rFonts w:cs="Times New Roman"/>
                <w:b/>
              </w:rPr>
            </w:pP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2003</w:t>
            </w: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2004</w:t>
            </w: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2005</w:t>
            </w: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2006</w:t>
            </w: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2007</w:t>
            </w: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2008</w:t>
            </w: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2009</w:t>
            </w:r>
          </w:p>
        </w:tc>
        <w:tc>
          <w:tcPr>
            <w:tcW w:w="0" w:type="auto"/>
            <w:shd w:val="clear" w:color="auto" w:fill="8DB3E2" w:themeFill="text2" w:themeFillTint="66"/>
          </w:tcPr>
          <w:p w:rsidR="00F61EC2" w:rsidRPr="00E027E3" w:rsidRDefault="00F61EC2" w:rsidP="00FA7B84">
            <w:pPr>
              <w:spacing w:line="276" w:lineRule="auto"/>
              <w:rPr>
                <w:rFonts w:cs="Times New Roman"/>
                <w:b/>
              </w:rPr>
            </w:pPr>
            <w:r w:rsidRPr="00E027E3">
              <w:rPr>
                <w:rFonts w:cs="Times New Roman"/>
                <w:b/>
              </w:rPr>
              <w:t>2010</w:t>
            </w:r>
          </w:p>
        </w:tc>
        <w:tc>
          <w:tcPr>
            <w:tcW w:w="0" w:type="auto"/>
            <w:shd w:val="clear" w:color="auto" w:fill="8DB3E2" w:themeFill="text2" w:themeFillTint="66"/>
          </w:tcPr>
          <w:p w:rsidR="00F61EC2" w:rsidRPr="00E027E3" w:rsidRDefault="00F61EC2" w:rsidP="00FA7B84">
            <w:pPr>
              <w:spacing w:line="276" w:lineRule="auto"/>
              <w:rPr>
                <w:rFonts w:cs="Times New Roman"/>
                <w:b/>
              </w:rPr>
            </w:pPr>
            <w:r>
              <w:rPr>
                <w:rFonts w:cs="Times New Roman"/>
                <w:b/>
              </w:rPr>
              <w:t>Průměr</w:t>
            </w:r>
          </w:p>
        </w:tc>
      </w:tr>
      <w:tr w:rsidR="00F61EC2" w:rsidRPr="00187859" w:rsidTr="00D417FA">
        <w:tc>
          <w:tcPr>
            <w:tcW w:w="0" w:type="auto"/>
            <w:shd w:val="clear" w:color="auto" w:fill="C6D9F1" w:themeFill="text2" w:themeFillTint="33"/>
          </w:tcPr>
          <w:p w:rsidR="00F61EC2" w:rsidRPr="00187859" w:rsidRDefault="00F61EC2" w:rsidP="00FA7B84">
            <w:pPr>
              <w:spacing w:line="276" w:lineRule="auto"/>
              <w:rPr>
                <w:rFonts w:cs="Times New Roman"/>
              </w:rPr>
            </w:pPr>
            <w:r w:rsidRPr="00187859">
              <w:rPr>
                <w:rFonts w:cs="Times New Roman"/>
              </w:rPr>
              <w:t>Kvóta vlastního kapitálu</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3</w:t>
            </w:r>
          </w:p>
        </w:tc>
        <w:tc>
          <w:tcPr>
            <w:tcW w:w="0" w:type="auto"/>
          </w:tcPr>
          <w:p w:rsidR="00F61EC2" w:rsidRPr="00187859" w:rsidRDefault="00F61EC2" w:rsidP="00FA7B84">
            <w:pPr>
              <w:spacing w:line="276" w:lineRule="auto"/>
              <w:rPr>
                <w:rFonts w:cs="Times New Roman"/>
              </w:rPr>
            </w:pPr>
            <w:r w:rsidRPr="00187859">
              <w:rPr>
                <w:rFonts w:cs="Times New Roman"/>
              </w:rPr>
              <w:t>3</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3</w:t>
            </w:r>
          </w:p>
        </w:tc>
        <w:tc>
          <w:tcPr>
            <w:tcW w:w="0" w:type="auto"/>
          </w:tcPr>
          <w:p w:rsidR="00F61EC2" w:rsidRPr="00187859" w:rsidRDefault="00F61EC2" w:rsidP="00FA7B84">
            <w:pPr>
              <w:spacing w:line="276" w:lineRule="auto"/>
              <w:rPr>
                <w:rFonts w:cs="Times New Roman"/>
              </w:rPr>
            </w:pPr>
            <w:r>
              <w:rPr>
                <w:rFonts w:cs="Times New Roman"/>
              </w:rPr>
              <w:t>3,63</w:t>
            </w:r>
          </w:p>
        </w:tc>
      </w:tr>
      <w:tr w:rsidR="00F61EC2" w:rsidRPr="00187859" w:rsidTr="00D417FA">
        <w:tc>
          <w:tcPr>
            <w:tcW w:w="0" w:type="auto"/>
            <w:shd w:val="clear" w:color="auto" w:fill="C6D9F1" w:themeFill="text2" w:themeFillTint="33"/>
          </w:tcPr>
          <w:p w:rsidR="00F61EC2" w:rsidRPr="00187859" w:rsidRDefault="00F61EC2" w:rsidP="00FA7B84">
            <w:pPr>
              <w:spacing w:line="276" w:lineRule="auto"/>
              <w:rPr>
                <w:rFonts w:cs="Times New Roman"/>
              </w:rPr>
            </w:pPr>
            <w:r w:rsidRPr="00187859">
              <w:rPr>
                <w:rFonts w:cs="Times New Roman"/>
              </w:rPr>
              <w:t>Doba splácení dluhu</w:t>
            </w:r>
            <w:r w:rsidR="00377AD8">
              <w:rPr>
                <w:rFonts w:cs="Times New Roman"/>
              </w:rPr>
              <w:t xml:space="preserve"> z CF</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5</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5</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5</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3</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4</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5</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4</w:t>
            </w:r>
          </w:p>
        </w:tc>
        <w:tc>
          <w:tcPr>
            <w:tcW w:w="0" w:type="auto"/>
            <w:shd w:val="clear" w:color="auto" w:fill="auto"/>
          </w:tcPr>
          <w:p w:rsidR="00F61EC2" w:rsidRPr="00187859" w:rsidRDefault="00F61EC2" w:rsidP="00FA7B84">
            <w:pPr>
              <w:spacing w:line="276" w:lineRule="auto"/>
              <w:rPr>
                <w:rFonts w:cs="Times New Roman"/>
              </w:rPr>
            </w:pPr>
            <w:r w:rsidRPr="00187859">
              <w:rPr>
                <w:rFonts w:cs="Times New Roman"/>
              </w:rPr>
              <w:t>3</w:t>
            </w:r>
          </w:p>
        </w:tc>
        <w:tc>
          <w:tcPr>
            <w:tcW w:w="0" w:type="auto"/>
          </w:tcPr>
          <w:p w:rsidR="00F61EC2" w:rsidRPr="00187859" w:rsidRDefault="00F61EC2" w:rsidP="00FA7B84">
            <w:pPr>
              <w:spacing w:line="276" w:lineRule="auto"/>
              <w:rPr>
                <w:rFonts w:cs="Times New Roman"/>
              </w:rPr>
            </w:pPr>
            <w:r>
              <w:rPr>
                <w:rFonts w:cs="Times New Roman"/>
              </w:rPr>
              <w:t>4,25</w:t>
            </w:r>
          </w:p>
        </w:tc>
      </w:tr>
      <w:tr w:rsidR="00F61EC2" w:rsidRPr="00187859" w:rsidTr="00D417FA">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Finanční stabilita</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3,5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3,5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3</w:t>
            </w:r>
          </w:p>
        </w:tc>
        <w:tc>
          <w:tcPr>
            <w:tcW w:w="0" w:type="auto"/>
            <w:shd w:val="clear" w:color="auto" w:fill="C6D9F1" w:themeFill="text2" w:themeFillTint="33"/>
          </w:tcPr>
          <w:p w:rsidR="00F61EC2" w:rsidRDefault="00F61EC2" w:rsidP="00FA7B84">
            <w:pPr>
              <w:spacing w:line="276" w:lineRule="auto"/>
              <w:rPr>
                <w:rFonts w:cs="Times New Roman"/>
              </w:rPr>
            </w:pPr>
            <w:r>
              <w:rPr>
                <w:rFonts w:cs="Times New Roman"/>
              </w:rPr>
              <w:t>3,94</w:t>
            </w:r>
          </w:p>
        </w:tc>
      </w:tr>
      <w:tr w:rsidR="00F61EC2" w:rsidRPr="00187859" w:rsidTr="00D417FA">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Cash flow v </w:t>
            </w:r>
            <w:r w:rsidRPr="00187859">
              <w:rPr>
                <w:rFonts w:cs="Times New Roman"/>
              </w:rPr>
              <w:t>trž</w:t>
            </w:r>
            <w:r>
              <w:rPr>
                <w:rFonts w:cs="Times New Roman"/>
              </w:rPr>
              <w:t>bách</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5</w:t>
            </w:r>
          </w:p>
        </w:tc>
        <w:tc>
          <w:tcPr>
            <w:tcW w:w="0" w:type="auto"/>
          </w:tcPr>
          <w:p w:rsidR="00F61EC2" w:rsidRPr="00187859" w:rsidRDefault="00F61EC2" w:rsidP="00FA7B84">
            <w:pPr>
              <w:spacing w:line="276" w:lineRule="auto"/>
              <w:rPr>
                <w:rFonts w:cs="Times New Roman"/>
              </w:rPr>
            </w:pPr>
            <w:r w:rsidRPr="00187859">
              <w:rPr>
                <w:rFonts w:cs="Times New Roman"/>
              </w:rPr>
              <w:t>5</w:t>
            </w:r>
          </w:p>
        </w:tc>
        <w:tc>
          <w:tcPr>
            <w:tcW w:w="0" w:type="auto"/>
          </w:tcPr>
          <w:p w:rsidR="00F61EC2" w:rsidRPr="00187859" w:rsidRDefault="00F61EC2" w:rsidP="00FA7B84">
            <w:pPr>
              <w:spacing w:line="276" w:lineRule="auto"/>
              <w:rPr>
                <w:rFonts w:cs="Times New Roman"/>
              </w:rPr>
            </w:pPr>
            <w:r>
              <w:rPr>
                <w:rFonts w:cs="Times New Roman"/>
              </w:rPr>
              <w:t>4,25</w:t>
            </w:r>
          </w:p>
        </w:tc>
      </w:tr>
      <w:tr w:rsidR="00F61EC2" w:rsidRPr="00187859" w:rsidTr="00D417FA">
        <w:tc>
          <w:tcPr>
            <w:tcW w:w="0" w:type="auto"/>
            <w:shd w:val="clear" w:color="auto" w:fill="C6D9F1" w:themeFill="text2" w:themeFillTint="33"/>
          </w:tcPr>
          <w:p w:rsidR="00F61EC2" w:rsidRPr="00187859" w:rsidRDefault="00F61EC2" w:rsidP="00FA7B84">
            <w:pPr>
              <w:spacing w:line="276" w:lineRule="auto"/>
              <w:rPr>
                <w:rFonts w:cs="Times New Roman"/>
              </w:rPr>
            </w:pPr>
            <w:r w:rsidRPr="00187859">
              <w:rPr>
                <w:rFonts w:cs="Times New Roman"/>
              </w:rPr>
              <w:t>ROA</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5</w:t>
            </w:r>
          </w:p>
        </w:tc>
        <w:tc>
          <w:tcPr>
            <w:tcW w:w="0" w:type="auto"/>
          </w:tcPr>
          <w:p w:rsidR="00F61EC2" w:rsidRPr="00187859" w:rsidRDefault="00F61EC2" w:rsidP="00FA7B84">
            <w:pPr>
              <w:spacing w:line="276" w:lineRule="auto"/>
              <w:rPr>
                <w:rFonts w:cs="Times New Roman"/>
              </w:rPr>
            </w:pPr>
            <w:r w:rsidRPr="00187859">
              <w:rPr>
                <w:rFonts w:cs="Times New Roman"/>
              </w:rPr>
              <w:t>1</w:t>
            </w:r>
          </w:p>
        </w:tc>
        <w:tc>
          <w:tcPr>
            <w:tcW w:w="0" w:type="auto"/>
          </w:tcPr>
          <w:p w:rsidR="00F61EC2" w:rsidRPr="00187859" w:rsidRDefault="00F61EC2" w:rsidP="00FA7B84">
            <w:pPr>
              <w:spacing w:line="276" w:lineRule="auto"/>
              <w:rPr>
                <w:rFonts w:cs="Times New Roman"/>
              </w:rPr>
            </w:pPr>
            <w:r w:rsidRPr="00187859">
              <w:rPr>
                <w:rFonts w:cs="Times New Roman"/>
              </w:rPr>
              <w:t>2</w:t>
            </w:r>
          </w:p>
        </w:tc>
        <w:tc>
          <w:tcPr>
            <w:tcW w:w="0" w:type="auto"/>
          </w:tcPr>
          <w:p w:rsidR="00F61EC2" w:rsidRPr="00187859" w:rsidRDefault="00F61EC2" w:rsidP="00FA7B84">
            <w:pPr>
              <w:spacing w:line="276" w:lineRule="auto"/>
              <w:rPr>
                <w:rFonts w:cs="Times New Roman"/>
              </w:rPr>
            </w:pPr>
            <w:r w:rsidRPr="00187859">
              <w:rPr>
                <w:rFonts w:cs="Times New Roman"/>
              </w:rPr>
              <w:t>5</w:t>
            </w:r>
          </w:p>
        </w:tc>
        <w:tc>
          <w:tcPr>
            <w:tcW w:w="0" w:type="auto"/>
          </w:tcPr>
          <w:p w:rsidR="00F61EC2" w:rsidRPr="00187859" w:rsidRDefault="00F61EC2" w:rsidP="00FA7B84">
            <w:pPr>
              <w:spacing w:line="276" w:lineRule="auto"/>
              <w:rPr>
                <w:rFonts w:cs="Times New Roman"/>
              </w:rPr>
            </w:pPr>
            <w:r w:rsidRPr="00187859">
              <w:rPr>
                <w:rFonts w:cs="Times New Roman"/>
              </w:rPr>
              <w:t>4</w:t>
            </w:r>
          </w:p>
        </w:tc>
        <w:tc>
          <w:tcPr>
            <w:tcW w:w="0" w:type="auto"/>
          </w:tcPr>
          <w:p w:rsidR="00F61EC2" w:rsidRPr="00187859" w:rsidRDefault="00F61EC2" w:rsidP="00FA7B84">
            <w:pPr>
              <w:spacing w:line="276" w:lineRule="auto"/>
              <w:rPr>
                <w:rFonts w:cs="Times New Roman"/>
              </w:rPr>
            </w:pPr>
            <w:r w:rsidRPr="00187859">
              <w:rPr>
                <w:rFonts w:cs="Times New Roman"/>
              </w:rPr>
              <w:t>1</w:t>
            </w:r>
          </w:p>
        </w:tc>
        <w:tc>
          <w:tcPr>
            <w:tcW w:w="0" w:type="auto"/>
          </w:tcPr>
          <w:p w:rsidR="00F61EC2" w:rsidRPr="00187859" w:rsidRDefault="00F61EC2" w:rsidP="00FA7B84">
            <w:pPr>
              <w:spacing w:line="276" w:lineRule="auto"/>
              <w:rPr>
                <w:rFonts w:cs="Times New Roman"/>
              </w:rPr>
            </w:pPr>
            <w:r>
              <w:rPr>
                <w:rFonts w:cs="Times New Roman"/>
              </w:rPr>
              <w:t>3,25</w:t>
            </w:r>
          </w:p>
        </w:tc>
      </w:tr>
      <w:tr w:rsidR="00F61EC2" w:rsidRPr="00187859" w:rsidTr="00D417FA">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Výnosová situace</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2,5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3</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4,5</w:t>
            </w:r>
          </w:p>
        </w:tc>
        <w:tc>
          <w:tcPr>
            <w:tcW w:w="0" w:type="auto"/>
            <w:shd w:val="clear" w:color="auto" w:fill="C6D9F1" w:themeFill="text2" w:themeFillTint="33"/>
          </w:tcPr>
          <w:p w:rsidR="00F61EC2" w:rsidRPr="00187859" w:rsidRDefault="00F61EC2" w:rsidP="00FA7B84">
            <w:pPr>
              <w:spacing w:line="276" w:lineRule="auto"/>
              <w:rPr>
                <w:rFonts w:cs="Times New Roman"/>
              </w:rPr>
            </w:pPr>
            <w:r>
              <w:rPr>
                <w:rFonts w:cs="Times New Roman"/>
              </w:rPr>
              <w:t>3</w:t>
            </w:r>
          </w:p>
        </w:tc>
        <w:tc>
          <w:tcPr>
            <w:tcW w:w="0" w:type="auto"/>
            <w:shd w:val="clear" w:color="auto" w:fill="C6D9F1" w:themeFill="text2" w:themeFillTint="33"/>
          </w:tcPr>
          <w:p w:rsidR="00F61EC2" w:rsidRDefault="00F61EC2" w:rsidP="00FA7B84">
            <w:pPr>
              <w:spacing w:line="276" w:lineRule="auto"/>
              <w:rPr>
                <w:rFonts w:cs="Times New Roman"/>
              </w:rPr>
            </w:pPr>
            <w:r>
              <w:rPr>
                <w:rFonts w:cs="Times New Roman"/>
              </w:rPr>
              <w:t>3,75</w:t>
            </w:r>
          </w:p>
        </w:tc>
      </w:tr>
      <w:tr w:rsidR="00F61EC2" w:rsidRPr="00D72D80" w:rsidTr="00D417FA">
        <w:tc>
          <w:tcPr>
            <w:tcW w:w="0" w:type="auto"/>
            <w:shd w:val="clear" w:color="auto" w:fill="C6D9F1" w:themeFill="text2" w:themeFillTint="33"/>
          </w:tcPr>
          <w:p w:rsidR="00F61EC2" w:rsidRPr="00D72D80" w:rsidRDefault="00F61EC2" w:rsidP="00FA7B84">
            <w:pPr>
              <w:spacing w:line="276" w:lineRule="auto"/>
              <w:rPr>
                <w:rFonts w:cs="Times New Roman"/>
                <w:b/>
              </w:rPr>
            </w:pPr>
            <w:r w:rsidRPr="00D72D80">
              <w:rPr>
                <w:rFonts w:cs="Times New Roman"/>
                <w:b/>
              </w:rPr>
              <w:t>Celková známka</w:t>
            </w:r>
          </w:p>
        </w:tc>
        <w:tc>
          <w:tcPr>
            <w:tcW w:w="0" w:type="auto"/>
            <w:shd w:val="clear" w:color="auto" w:fill="C6D9F1" w:themeFill="text2" w:themeFillTint="33"/>
            <w:vAlign w:val="bottom"/>
          </w:tcPr>
          <w:p w:rsidR="00F61EC2" w:rsidRPr="00D72D80" w:rsidRDefault="00F61EC2" w:rsidP="00FA7B84">
            <w:pPr>
              <w:spacing w:line="276" w:lineRule="auto"/>
              <w:rPr>
                <w:rFonts w:eastAsia="Times New Roman" w:cs="Times New Roman"/>
                <w:b/>
                <w:color w:val="000000"/>
                <w:lang w:eastAsia="cs-CZ"/>
              </w:rPr>
            </w:pPr>
            <w:r w:rsidRPr="00D72D80">
              <w:rPr>
                <w:rFonts w:eastAsia="Times New Roman" w:cs="Times New Roman"/>
                <w:b/>
                <w:color w:val="000000"/>
                <w:lang w:eastAsia="cs-CZ"/>
              </w:rPr>
              <w:t>4,25</w:t>
            </w:r>
          </w:p>
        </w:tc>
        <w:tc>
          <w:tcPr>
            <w:tcW w:w="0" w:type="auto"/>
            <w:shd w:val="clear" w:color="auto" w:fill="C6D9F1" w:themeFill="text2" w:themeFillTint="33"/>
            <w:vAlign w:val="bottom"/>
          </w:tcPr>
          <w:p w:rsidR="00F61EC2" w:rsidRPr="00D72D80" w:rsidRDefault="00F61EC2" w:rsidP="00FA7B84">
            <w:pPr>
              <w:spacing w:line="276" w:lineRule="auto"/>
              <w:rPr>
                <w:rFonts w:eastAsia="Times New Roman" w:cs="Times New Roman"/>
                <w:b/>
                <w:color w:val="000000"/>
                <w:lang w:eastAsia="cs-CZ"/>
              </w:rPr>
            </w:pPr>
            <w:r w:rsidRPr="00D72D80">
              <w:rPr>
                <w:rFonts w:eastAsia="Times New Roman" w:cs="Times New Roman"/>
                <w:b/>
                <w:color w:val="000000"/>
                <w:lang w:eastAsia="cs-CZ"/>
              </w:rPr>
              <w:t>4,25</w:t>
            </w:r>
          </w:p>
        </w:tc>
        <w:tc>
          <w:tcPr>
            <w:tcW w:w="0" w:type="auto"/>
            <w:shd w:val="clear" w:color="auto" w:fill="C6D9F1" w:themeFill="text2" w:themeFillTint="33"/>
            <w:vAlign w:val="bottom"/>
          </w:tcPr>
          <w:p w:rsidR="00F61EC2" w:rsidRPr="00D72D80" w:rsidRDefault="00F61EC2" w:rsidP="00FA7B84">
            <w:pPr>
              <w:spacing w:line="276" w:lineRule="auto"/>
              <w:rPr>
                <w:rFonts w:eastAsia="Times New Roman" w:cs="Times New Roman"/>
                <w:b/>
                <w:color w:val="000000"/>
                <w:lang w:eastAsia="cs-CZ"/>
              </w:rPr>
            </w:pPr>
            <w:r w:rsidRPr="00D72D80">
              <w:rPr>
                <w:rFonts w:eastAsia="Times New Roman" w:cs="Times New Roman"/>
                <w:b/>
                <w:color w:val="000000"/>
                <w:lang w:eastAsia="cs-CZ"/>
              </w:rPr>
              <w:t>4,5</w:t>
            </w:r>
          </w:p>
        </w:tc>
        <w:tc>
          <w:tcPr>
            <w:tcW w:w="0" w:type="auto"/>
            <w:shd w:val="clear" w:color="auto" w:fill="C6D9F1" w:themeFill="text2" w:themeFillTint="33"/>
          </w:tcPr>
          <w:p w:rsidR="00F61EC2" w:rsidRPr="00D72D80" w:rsidRDefault="00F61EC2" w:rsidP="00FA7B84">
            <w:pPr>
              <w:spacing w:line="276" w:lineRule="auto"/>
              <w:rPr>
                <w:rFonts w:cs="Times New Roman"/>
                <w:b/>
              </w:rPr>
            </w:pPr>
            <w:r w:rsidRPr="00D72D80">
              <w:rPr>
                <w:rFonts w:cs="Times New Roman"/>
                <w:b/>
              </w:rPr>
              <w:t>3</w:t>
            </w:r>
          </w:p>
        </w:tc>
        <w:tc>
          <w:tcPr>
            <w:tcW w:w="0" w:type="auto"/>
            <w:shd w:val="clear" w:color="auto" w:fill="C6D9F1" w:themeFill="text2" w:themeFillTint="33"/>
            <w:vAlign w:val="bottom"/>
          </w:tcPr>
          <w:p w:rsidR="00F61EC2" w:rsidRPr="00D72D80" w:rsidRDefault="00F61EC2" w:rsidP="00FA7B84">
            <w:pPr>
              <w:spacing w:line="276" w:lineRule="auto"/>
              <w:rPr>
                <w:rFonts w:eastAsia="Times New Roman" w:cs="Times New Roman"/>
                <w:b/>
                <w:color w:val="000000"/>
                <w:lang w:eastAsia="cs-CZ"/>
              </w:rPr>
            </w:pPr>
            <w:r w:rsidRPr="00D72D80">
              <w:rPr>
                <w:rFonts w:eastAsia="Times New Roman" w:cs="Times New Roman"/>
                <w:b/>
                <w:color w:val="000000"/>
                <w:lang w:eastAsia="cs-CZ"/>
              </w:rPr>
              <w:t>3,25</w:t>
            </w:r>
          </w:p>
        </w:tc>
        <w:tc>
          <w:tcPr>
            <w:tcW w:w="0" w:type="auto"/>
            <w:shd w:val="clear" w:color="auto" w:fill="C6D9F1" w:themeFill="text2" w:themeFillTint="33"/>
            <w:vAlign w:val="bottom"/>
          </w:tcPr>
          <w:p w:rsidR="00F61EC2" w:rsidRPr="00D72D80" w:rsidRDefault="00F61EC2" w:rsidP="00FA7B84">
            <w:pPr>
              <w:spacing w:line="276" w:lineRule="auto"/>
              <w:rPr>
                <w:rFonts w:eastAsia="Times New Roman" w:cs="Times New Roman"/>
                <w:b/>
                <w:color w:val="000000"/>
                <w:lang w:eastAsia="cs-CZ"/>
              </w:rPr>
            </w:pPr>
            <w:r w:rsidRPr="00D72D80">
              <w:rPr>
                <w:rFonts w:eastAsia="Times New Roman" w:cs="Times New Roman"/>
                <w:b/>
                <w:color w:val="000000"/>
                <w:lang w:eastAsia="cs-CZ"/>
              </w:rPr>
              <w:t>4,25</w:t>
            </w:r>
          </w:p>
        </w:tc>
        <w:tc>
          <w:tcPr>
            <w:tcW w:w="0" w:type="auto"/>
            <w:shd w:val="clear" w:color="auto" w:fill="C6D9F1" w:themeFill="text2" w:themeFillTint="33"/>
          </w:tcPr>
          <w:p w:rsidR="00F61EC2" w:rsidRPr="00D72D80" w:rsidRDefault="00F61EC2" w:rsidP="00FA7B84">
            <w:pPr>
              <w:spacing w:line="276" w:lineRule="auto"/>
              <w:rPr>
                <w:rFonts w:cs="Times New Roman"/>
                <w:b/>
              </w:rPr>
            </w:pPr>
            <w:r w:rsidRPr="00D72D80">
              <w:rPr>
                <w:rFonts w:cs="Times New Roman"/>
                <w:b/>
              </w:rPr>
              <w:t>4,25</w:t>
            </w:r>
          </w:p>
        </w:tc>
        <w:tc>
          <w:tcPr>
            <w:tcW w:w="0" w:type="auto"/>
            <w:shd w:val="clear" w:color="auto" w:fill="C6D9F1" w:themeFill="text2" w:themeFillTint="33"/>
            <w:vAlign w:val="bottom"/>
          </w:tcPr>
          <w:p w:rsidR="00F61EC2" w:rsidRPr="00D72D80" w:rsidRDefault="00F61EC2" w:rsidP="00FA7B84">
            <w:pPr>
              <w:spacing w:line="276" w:lineRule="auto"/>
              <w:rPr>
                <w:rFonts w:eastAsia="Times New Roman" w:cs="Times New Roman"/>
                <w:b/>
                <w:color w:val="000000"/>
                <w:lang w:eastAsia="cs-CZ"/>
              </w:rPr>
            </w:pPr>
            <w:r w:rsidRPr="00D72D80">
              <w:rPr>
                <w:rFonts w:eastAsia="Times New Roman" w:cs="Times New Roman"/>
                <w:b/>
                <w:color w:val="000000"/>
                <w:lang w:eastAsia="cs-CZ"/>
              </w:rPr>
              <w:t>3</w:t>
            </w:r>
          </w:p>
        </w:tc>
        <w:tc>
          <w:tcPr>
            <w:tcW w:w="0" w:type="auto"/>
            <w:shd w:val="clear" w:color="auto" w:fill="C6D9F1" w:themeFill="text2" w:themeFillTint="33"/>
          </w:tcPr>
          <w:p w:rsidR="00F61EC2" w:rsidRPr="00D72D80" w:rsidRDefault="00F61EC2" w:rsidP="00FA7B84">
            <w:pPr>
              <w:spacing w:line="276" w:lineRule="auto"/>
              <w:rPr>
                <w:rFonts w:eastAsia="Times New Roman" w:cs="Times New Roman"/>
                <w:b/>
                <w:color w:val="000000"/>
                <w:lang w:eastAsia="cs-CZ"/>
              </w:rPr>
            </w:pPr>
            <w:r>
              <w:rPr>
                <w:rFonts w:eastAsia="Times New Roman" w:cs="Times New Roman"/>
                <w:b/>
                <w:color w:val="000000"/>
                <w:lang w:eastAsia="cs-CZ"/>
              </w:rPr>
              <w:t>3,84</w:t>
            </w:r>
          </w:p>
        </w:tc>
      </w:tr>
    </w:tbl>
    <w:p w:rsidR="00A3110A" w:rsidRDefault="00A3110A" w:rsidP="00FA7B84">
      <w:pPr>
        <w:spacing w:line="276" w:lineRule="auto"/>
        <w:rPr>
          <w:i/>
          <w:sz w:val="20"/>
          <w:szCs w:val="20"/>
        </w:rPr>
      </w:pPr>
      <w:r>
        <w:rPr>
          <w:i/>
          <w:sz w:val="20"/>
          <w:szCs w:val="20"/>
        </w:rPr>
        <w:t>Zdroj: Vlastní výpočty autora na základě finančních výkazů společnosti Dentamed, s.r.o.</w:t>
      </w:r>
    </w:p>
    <w:p w:rsidR="00AE0C79" w:rsidRDefault="00B7769D" w:rsidP="00FA7B84">
      <w:pPr>
        <w:spacing w:line="276" w:lineRule="auto"/>
      </w:pPr>
      <w:r>
        <w:t>Z podobných důvodů došlo také u výnosové situace podniku ke zhoršení hodnocení v letech 2008 a 2009. Zlepšení výnosové situace podniku, které</w:t>
      </w:r>
      <w:r w:rsidR="007D0D31">
        <w:t xml:space="preserve"> </w:t>
      </w:r>
      <w:r>
        <w:t>j</w:t>
      </w:r>
      <w:r w:rsidR="007D0D31">
        <w:t>e</w:t>
      </w:r>
      <w:r>
        <w:t xml:space="preserve"> také patrné v posledních pěti letech, je způsobeno výhradně zlepšením ukazatele ROA. Právě zlepšení tohoto ukazatele je pro podnik nejpříznivější zprávou zjištěnou pomocí tohoto modelu. </w:t>
      </w:r>
    </w:p>
    <w:p w:rsidR="00AE0C79" w:rsidRDefault="00A61E00" w:rsidP="00FA7B84">
      <w:pPr>
        <w:pStyle w:val="Nadpis3"/>
        <w:spacing w:line="276" w:lineRule="auto"/>
      </w:pPr>
      <w:bookmarkStart w:id="75" w:name="_Toc324932914"/>
      <w:r>
        <w:t>IN index</w:t>
      </w:r>
      <w:bookmarkEnd w:id="75"/>
    </w:p>
    <w:p w:rsidR="00AE0C79" w:rsidRDefault="00A61E00" w:rsidP="00FA7B84">
      <w:pPr>
        <w:spacing w:line="276" w:lineRule="auto"/>
      </w:pPr>
      <w:r>
        <w:t xml:space="preserve">Podnik se během sledovaného období nacházel podle indexu IN01 většinou v šedé zóně. Mimo její pásmo se dostal v letech 2005 a 2008, kdy podle slovního hodnocení podnik směřoval k bankrotu. Naopak v roce 2006 se podnik dostal do pásma, ve kterém můžeme říci, že tvoří hodnotu. Podnik se kromě již zmíněných let pohyboval spíše v horní polovině této zóny, což je pro podnik pozitivní. </w:t>
      </w:r>
    </w:p>
    <w:p w:rsidR="00AE0C79" w:rsidRDefault="00A61E00" w:rsidP="00FA7B84">
      <w:pPr>
        <w:pStyle w:val="Titulek"/>
        <w:keepNext/>
        <w:spacing w:line="276" w:lineRule="auto"/>
      </w:pPr>
      <w:bookmarkStart w:id="76" w:name="_Toc324932942"/>
      <w:r>
        <w:t xml:space="preserve">Tabulka </w:t>
      </w:r>
      <w:fldSimple w:instr=" SEQ Tabulka \* ARABIC ">
        <w:r w:rsidR="00F5284D">
          <w:rPr>
            <w:noProof/>
          </w:rPr>
          <w:t>20</w:t>
        </w:r>
      </w:fldSimple>
      <w:r>
        <w:t>: Hodnoty indexu IN01 pro společnost Dentamed s.r.o.</w:t>
      </w:r>
      <w:bookmarkEnd w:id="76"/>
    </w:p>
    <w:tbl>
      <w:tblPr>
        <w:tblStyle w:val="Mkatabulky"/>
        <w:tblW w:w="0" w:type="auto"/>
        <w:tblLook w:val="04A0"/>
      </w:tblPr>
      <w:tblGrid>
        <w:gridCol w:w="2534"/>
        <w:gridCol w:w="656"/>
        <w:gridCol w:w="711"/>
        <w:gridCol w:w="675"/>
        <w:gridCol w:w="656"/>
        <w:gridCol w:w="656"/>
        <w:gridCol w:w="675"/>
        <w:gridCol w:w="656"/>
        <w:gridCol w:w="656"/>
      </w:tblGrid>
      <w:tr w:rsidR="00AE0C79">
        <w:tc>
          <w:tcPr>
            <w:tcW w:w="0" w:type="auto"/>
            <w:shd w:val="clear" w:color="auto" w:fill="8DB3E2" w:themeFill="text2" w:themeFillTint="66"/>
          </w:tcPr>
          <w:p w:rsidR="00AE0C79" w:rsidRDefault="00AE0C79" w:rsidP="00FA7B84">
            <w:pPr>
              <w:spacing w:line="276" w:lineRule="auto"/>
              <w:rPr>
                <w:rFonts w:cs="Times New Roman"/>
                <w:b/>
              </w:rPr>
            </w:pPr>
          </w:p>
        </w:tc>
        <w:tc>
          <w:tcPr>
            <w:tcW w:w="0" w:type="auto"/>
            <w:shd w:val="clear" w:color="auto" w:fill="8DB3E2" w:themeFill="text2" w:themeFillTint="66"/>
          </w:tcPr>
          <w:p w:rsidR="00AE0C79" w:rsidRDefault="00A61E00" w:rsidP="00FA7B84">
            <w:pPr>
              <w:spacing w:line="276" w:lineRule="auto"/>
              <w:rPr>
                <w:rFonts w:cs="Times New Roman"/>
                <w:b/>
              </w:rPr>
            </w:pPr>
            <w:r>
              <w:rPr>
                <w:rFonts w:eastAsia="Times New Roman" w:cs="Times New Roman"/>
                <w:b/>
                <w:color w:val="000000"/>
                <w:lang w:eastAsia="cs-CZ"/>
              </w:rPr>
              <w:t>2003</w:t>
            </w:r>
          </w:p>
        </w:tc>
        <w:tc>
          <w:tcPr>
            <w:tcW w:w="0" w:type="auto"/>
            <w:shd w:val="clear" w:color="auto" w:fill="8DB3E2" w:themeFill="text2" w:themeFillTint="66"/>
          </w:tcPr>
          <w:p w:rsidR="00AE0C79" w:rsidRDefault="00A61E00" w:rsidP="00FA7B84">
            <w:pPr>
              <w:spacing w:line="276" w:lineRule="auto"/>
              <w:rPr>
                <w:rFonts w:cs="Times New Roman"/>
                <w:b/>
              </w:rPr>
            </w:pPr>
            <w:r>
              <w:rPr>
                <w:rFonts w:eastAsia="Times New Roman" w:cs="Times New Roman"/>
                <w:b/>
                <w:color w:val="000000"/>
                <w:lang w:eastAsia="cs-CZ"/>
              </w:rPr>
              <w:t>2004</w:t>
            </w:r>
          </w:p>
        </w:tc>
        <w:tc>
          <w:tcPr>
            <w:tcW w:w="0" w:type="auto"/>
            <w:shd w:val="clear" w:color="auto" w:fill="8DB3E2" w:themeFill="text2" w:themeFillTint="66"/>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2005</w:t>
            </w:r>
          </w:p>
        </w:tc>
        <w:tc>
          <w:tcPr>
            <w:tcW w:w="0" w:type="auto"/>
            <w:shd w:val="clear" w:color="auto" w:fill="8DB3E2" w:themeFill="text2" w:themeFillTint="66"/>
          </w:tcPr>
          <w:p w:rsidR="00AE0C79" w:rsidRDefault="00A61E00" w:rsidP="00FA7B84">
            <w:pPr>
              <w:spacing w:line="276" w:lineRule="auto"/>
              <w:rPr>
                <w:rFonts w:cs="Times New Roman"/>
                <w:b/>
              </w:rPr>
            </w:pPr>
            <w:r>
              <w:rPr>
                <w:rFonts w:eastAsia="Times New Roman" w:cs="Times New Roman"/>
                <w:b/>
                <w:color w:val="000000"/>
                <w:lang w:eastAsia="cs-CZ"/>
              </w:rPr>
              <w:t>2006</w:t>
            </w:r>
          </w:p>
        </w:tc>
        <w:tc>
          <w:tcPr>
            <w:tcW w:w="0" w:type="auto"/>
            <w:shd w:val="clear" w:color="auto" w:fill="8DB3E2" w:themeFill="text2" w:themeFillTint="66"/>
          </w:tcPr>
          <w:p w:rsidR="00AE0C79" w:rsidRDefault="00A61E00" w:rsidP="00FA7B84">
            <w:pPr>
              <w:spacing w:line="276" w:lineRule="auto"/>
              <w:rPr>
                <w:rFonts w:cs="Times New Roman"/>
                <w:b/>
              </w:rPr>
            </w:pPr>
            <w:r>
              <w:rPr>
                <w:rFonts w:eastAsia="Times New Roman" w:cs="Times New Roman"/>
                <w:b/>
                <w:color w:val="000000"/>
                <w:lang w:eastAsia="cs-CZ"/>
              </w:rPr>
              <w:t>2007</w:t>
            </w:r>
          </w:p>
        </w:tc>
        <w:tc>
          <w:tcPr>
            <w:tcW w:w="0" w:type="auto"/>
            <w:shd w:val="clear" w:color="auto" w:fill="8DB3E2" w:themeFill="text2" w:themeFillTint="66"/>
          </w:tcPr>
          <w:p w:rsidR="00AE0C79" w:rsidRDefault="00A61E00" w:rsidP="00FA7B84">
            <w:pPr>
              <w:spacing w:line="276" w:lineRule="auto"/>
              <w:rPr>
                <w:rFonts w:cs="Times New Roman"/>
                <w:b/>
              </w:rPr>
            </w:pPr>
            <w:r>
              <w:rPr>
                <w:rFonts w:eastAsia="Times New Roman" w:cs="Times New Roman"/>
                <w:b/>
                <w:color w:val="000000"/>
                <w:lang w:eastAsia="cs-CZ"/>
              </w:rPr>
              <w:t>2008</w:t>
            </w:r>
          </w:p>
        </w:tc>
        <w:tc>
          <w:tcPr>
            <w:tcW w:w="0" w:type="auto"/>
            <w:shd w:val="clear" w:color="auto" w:fill="8DB3E2" w:themeFill="text2" w:themeFillTint="66"/>
          </w:tcPr>
          <w:p w:rsidR="00AE0C79" w:rsidRDefault="00A61E00" w:rsidP="00FA7B84">
            <w:pPr>
              <w:spacing w:line="276" w:lineRule="auto"/>
              <w:rPr>
                <w:rFonts w:cs="Times New Roman"/>
                <w:b/>
              </w:rPr>
            </w:pPr>
            <w:r>
              <w:rPr>
                <w:rFonts w:eastAsia="Times New Roman" w:cs="Times New Roman"/>
                <w:b/>
                <w:color w:val="000000"/>
                <w:lang w:eastAsia="cs-CZ"/>
              </w:rPr>
              <w:t>2009</w:t>
            </w:r>
          </w:p>
        </w:tc>
        <w:tc>
          <w:tcPr>
            <w:tcW w:w="0" w:type="auto"/>
            <w:shd w:val="clear" w:color="auto" w:fill="8DB3E2" w:themeFill="text2" w:themeFillTint="66"/>
          </w:tcPr>
          <w:p w:rsidR="00AE0C79" w:rsidRDefault="00A61E00" w:rsidP="00FA7B84">
            <w:pPr>
              <w:spacing w:line="276" w:lineRule="auto"/>
              <w:rPr>
                <w:rFonts w:cs="Times New Roman"/>
                <w:b/>
              </w:rPr>
            </w:pPr>
            <w:r>
              <w:rPr>
                <w:rFonts w:eastAsia="Times New Roman" w:cs="Times New Roman"/>
                <w:b/>
                <w:color w:val="000000"/>
                <w:lang w:eastAsia="cs-CZ"/>
              </w:rPr>
              <w:t>2010</w:t>
            </w:r>
          </w:p>
        </w:tc>
      </w:tr>
      <w:tr w:rsidR="00AE0C79">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A</w:t>
            </w:r>
            <w:r w:rsidR="00D417FA">
              <w:rPr>
                <w:rFonts w:eastAsia="Times New Roman" w:cs="Times New Roman"/>
                <w:color w:val="000000"/>
                <w:lang w:eastAsia="cs-CZ"/>
              </w:rPr>
              <w:t>ktiva/Cizí zdroje</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1,12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1,23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1,12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1,24</w:t>
            </w:r>
          </w:p>
        </w:tc>
      </w:tr>
      <w:tr w:rsidR="00AE0C79">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EBIT/</w:t>
            </w:r>
            <w:r w:rsidR="00D417FA">
              <w:rPr>
                <w:rFonts w:eastAsia="Times New Roman" w:cs="Times New Roman"/>
                <w:color w:val="000000"/>
                <w:lang w:eastAsia="cs-CZ"/>
              </w:rPr>
              <w:t>Nákladové úroky</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6,22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10,67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-7,69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6,22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6,52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-1,37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2,42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6,28</w:t>
            </w:r>
          </w:p>
        </w:tc>
      </w:tr>
      <w:tr w:rsidR="00AE0C79">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EBIT/A</w:t>
            </w:r>
            <w:r w:rsidR="00D417FA">
              <w:rPr>
                <w:rFonts w:eastAsia="Times New Roman" w:cs="Times New Roman"/>
                <w:color w:val="000000"/>
                <w:lang w:eastAsia="cs-CZ"/>
              </w:rPr>
              <w:t>ktiva</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0,19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0,13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-0,04</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0,07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0,16</w:t>
            </w:r>
          </w:p>
        </w:tc>
      </w:tr>
      <w:tr w:rsidR="00AE0C79">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V</w:t>
            </w:r>
            <w:r w:rsidR="00D417FA">
              <w:rPr>
                <w:rFonts w:eastAsia="Times New Roman" w:cs="Times New Roman"/>
                <w:color w:val="000000"/>
                <w:lang w:eastAsia="cs-CZ"/>
              </w:rPr>
              <w:t>ýnosy</w:t>
            </w:r>
            <w:r>
              <w:rPr>
                <w:rFonts w:eastAsia="Times New Roman" w:cs="Times New Roman"/>
                <w:color w:val="000000"/>
                <w:lang w:eastAsia="cs-CZ"/>
              </w:rPr>
              <w:t>/A</w:t>
            </w:r>
            <w:r w:rsidR="00D417FA">
              <w:rPr>
                <w:rFonts w:eastAsia="Times New Roman" w:cs="Times New Roman"/>
                <w:color w:val="000000"/>
                <w:lang w:eastAsia="cs-CZ"/>
              </w:rPr>
              <w:t>ktiva</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2,02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2,28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2,51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3,01</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2,42</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2,58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2,79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2,52</w:t>
            </w:r>
          </w:p>
        </w:tc>
      </w:tr>
      <w:tr w:rsidR="00AE0C79">
        <w:tc>
          <w:tcPr>
            <w:tcW w:w="0" w:type="auto"/>
            <w:shd w:val="clear" w:color="auto" w:fill="C6D9F1" w:themeFill="text2" w:themeFillTint="33"/>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O</w:t>
            </w:r>
            <w:r w:rsidR="00D417FA">
              <w:rPr>
                <w:rFonts w:eastAsia="Times New Roman" w:cs="Times New Roman"/>
                <w:color w:val="000000"/>
                <w:lang w:eastAsia="cs-CZ"/>
              </w:rPr>
              <w:t>běžná aktiva</w:t>
            </w:r>
            <w:r>
              <w:rPr>
                <w:rFonts w:eastAsia="Times New Roman" w:cs="Times New Roman"/>
                <w:color w:val="000000"/>
                <w:lang w:eastAsia="cs-CZ"/>
              </w:rPr>
              <w:t>/K</w:t>
            </w:r>
            <w:r w:rsidR="0005258D">
              <w:rPr>
                <w:rFonts w:eastAsia="Times New Roman" w:cs="Times New Roman"/>
                <w:color w:val="000000"/>
                <w:lang w:eastAsia="cs-CZ"/>
              </w:rPr>
              <w:t xml:space="preserve">Z </w:t>
            </w:r>
            <w:r>
              <w:rPr>
                <w:rFonts w:eastAsia="Times New Roman" w:cs="Times New Roman"/>
                <w:color w:val="000000"/>
                <w:lang w:eastAsia="cs-CZ"/>
              </w:rPr>
              <w:t>+</w:t>
            </w:r>
            <w:r w:rsidR="0005258D">
              <w:rPr>
                <w:rFonts w:eastAsia="Times New Roman" w:cs="Times New Roman"/>
                <w:color w:val="000000"/>
                <w:lang w:eastAsia="cs-CZ"/>
              </w:rPr>
              <w:t xml:space="preserve"> </w:t>
            </w:r>
            <w:r>
              <w:rPr>
                <w:rFonts w:eastAsia="Times New Roman" w:cs="Times New Roman"/>
                <w:color w:val="000000"/>
                <w:lang w:eastAsia="cs-CZ"/>
              </w:rPr>
              <w:t>K</w:t>
            </w:r>
            <w:r w:rsidR="0005258D">
              <w:rPr>
                <w:rFonts w:eastAsia="Times New Roman" w:cs="Times New Roman"/>
                <w:color w:val="000000"/>
                <w:lang w:eastAsia="cs-CZ"/>
              </w:rPr>
              <w:t>BÚ</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0,97</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1,76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1,68</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1,99</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1,53</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1,56</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1,95</w:t>
            </w:r>
          </w:p>
        </w:tc>
        <w:tc>
          <w:tcPr>
            <w:tcW w:w="0" w:type="auto"/>
            <w:vAlign w:val="bottom"/>
          </w:tcPr>
          <w:p w:rsidR="00AE0C79" w:rsidRDefault="00A61E00" w:rsidP="00FA7B84">
            <w:pPr>
              <w:spacing w:line="276" w:lineRule="auto"/>
              <w:rPr>
                <w:rFonts w:eastAsia="Times New Roman" w:cs="Times New Roman"/>
                <w:color w:val="000000"/>
                <w:lang w:eastAsia="cs-CZ"/>
              </w:rPr>
            </w:pPr>
            <w:r>
              <w:rPr>
                <w:rFonts w:eastAsia="Times New Roman" w:cs="Times New Roman"/>
                <w:color w:val="000000"/>
                <w:lang w:eastAsia="cs-CZ"/>
              </w:rPr>
              <w:t>1,72</w:t>
            </w:r>
          </w:p>
        </w:tc>
      </w:tr>
      <w:tr w:rsidR="00AE0C79">
        <w:tc>
          <w:tcPr>
            <w:tcW w:w="0" w:type="auto"/>
            <w:shd w:val="clear" w:color="auto" w:fill="C6D9F1" w:themeFill="text2" w:themeFillTint="33"/>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IN</w:t>
            </w:r>
            <w:r w:rsidR="00F5284D">
              <w:rPr>
                <w:rFonts w:eastAsia="Times New Roman" w:cs="Times New Roman"/>
                <w:b/>
                <w:color w:val="000000"/>
                <w:lang w:eastAsia="cs-CZ"/>
              </w:rPr>
              <w:t>01</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0,94</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1,38</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0,16</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1,95</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1,58</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0,61</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1,27</w:t>
            </w:r>
          </w:p>
        </w:tc>
        <w:tc>
          <w:tcPr>
            <w:tcW w:w="0" w:type="auto"/>
            <w:vAlign w:val="bottom"/>
          </w:tcPr>
          <w:p w:rsidR="00AE0C79" w:rsidRDefault="00A61E00" w:rsidP="00FA7B84">
            <w:pPr>
              <w:spacing w:line="276" w:lineRule="auto"/>
              <w:rPr>
                <w:rFonts w:eastAsia="Times New Roman" w:cs="Times New Roman"/>
                <w:b/>
                <w:color w:val="000000"/>
                <w:lang w:eastAsia="cs-CZ"/>
              </w:rPr>
            </w:pPr>
            <w:r>
              <w:rPr>
                <w:rFonts w:eastAsia="Times New Roman" w:cs="Times New Roman"/>
                <w:b/>
                <w:color w:val="000000"/>
                <w:lang w:eastAsia="cs-CZ"/>
              </w:rPr>
              <w:t>1,71</w:t>
            </w:r>
          </w:p>
        </w:tc>
      </w:tr>
    </w:tbl>
    <w:p w:rsidR="00AE0C79" w:rsidRDefault="00A61E00" w:rsidP="00FA7B84">
      <w:pPr>
        <w:spacing w:line="276" w:lineRule="auto"/>
        <w:rPr>
          <w:i/>
          <w:sz w:val="20"/>
          <w:szCs w:val="20"/>
        </w:rPr>
      </w:pPr>
      <w:r>
        <w:rPr>
          <w:i/>
          <w:sz w:val="20"/>
          <w:szCs w:val="20"/>
        </w:rPr>
        <w:t>Zdroj: Vlastní výpočty autora na základě finančních výkazů společnosti Dentamed, s.r.o.</w:t>
      </w:r>
    </w:p>
    <w:p w:rsidR="00AE0C79" w:rsidRDefault="00A61E00" w:rsidP="00FA7B84">
      <w:pPr>
        <w:spacing w:line="276" w:lineRule="auto"/>
        <w:jc w:val="left"/>
        <w:rPr>
          <w:rFonts w:eastAsiaTheme="majorEastAsia" w:cstheme="majorBidi"/>
          <w:b/>
          <w:bCs/>
          <w:sz w:val="32"/>
          <w:szCs w:val="28"/>
        </w:rPr>
      </w:pPr>
      <w:r>
        <w:br w:type="page"/>
      </w:r>
    </w:p>
    <w:p w:rsidR="00AE0C79" w:rsidRDefault="00A61E00" w:rsidP="00FA7B84">
      <w:pPr>
        <w:pStyle w:val="Nadpis1"/>
        <w:numPr>
          <w:ilvl w:val="0"/>
          <w:numId w:val="0"/>
        </w:numPr>
        <w:spacing w:line="276" w:lineRule="auto"/>
      </w:pPr>
      <w:bookmarkStart w:id="77" w:name="_Toc324932915"/>
      <w:r>
        <w:lastRenderedPageBreak/>
        <w:t>Závěr</w:t>
      </w:r>
      <w:bookmarkEnd w:id="77"/>
    </w:p>
    <w:p w:rsidR="00AE0C79" w:rsidRDefault="00A61E00" w:rsidP="00FA7B84">
      <w:pPr>
        <w:spacing w:line="276" w:lineRule="auto"/>
      </w:pPr>
      <w:r>
        <w:t>Cílem mé práce bylo zhodnotit konkurenceschopnost podniku Dentamed s.r.o. z finančního hlediska.</w:t>
      </w:r>
    </w:p>
    <w:p w:rsidR="00AE0C79" w:rsidRDefault="00A61E00" w:rsidP="00FA7B84">
      <w:pPr>
        <w:spacing w:line="276" w:lineRule="auto"/>
      </w:pPr>
      <w:r>
        <w:t>Úvodem teoretické části jsem stručně vysvětlil pojem konkurenceschopnost a naznačil možnosti jejího měření. Hlavním nástrojem tohoto měření byla finanční analýza, jejíž metody byly nejprve popsány v teoretické části práce a v praktické části poté aplikovány na data podniku za období 2003 – 2010. Hodnocení konkurenceschopnosti podniku probíhalo pomocí srovnávání a porovnávání výsledků finanční analýzy podniku s výsledky pěti konkurenčních podniků. Tato práce se tedy věnovala pouze posouzením konkurenceschopnosti z finančního hlediska. Pro lepší posouzení celkové konkurenceschopnosti by bylo vhodné doplnit tuto analýzu o další metody měření konkurenceschopnosti (SWOT analýzy, Porterova analýza pěti konkurenčních sil), které se jejímu měření věnují z jiného hlediska. Tyto metody by dokázaly odhalit jiné silné a slabé stránky podniku, které jsou z finančního hlediska nezměřitelné.</w:t>
      </w:r>
    </w:p>
    <w:p w:rsidR="00AE0C79" w:rsidRDefault="00A61E00" w:rsidP="00FA7B84">
      <w:pPr>
        <w:spacing w:line="276" w:lineRule="auto"/>
      </w:pPr>
      <w:r>
        <w:t>Hlavní nedostatky, které odhalila finanční analýza, a které se ukázaly jako nedostatky i při srovnání s konkurencí, jsou vysoká zadluže</w:t>
      </w:r>
      <w:r w:rsidR="00B72FFA">
        <w:t>nost a nízká likvidita podniku. Vysoká</w:t>
      </w:r>
      <w:r>
        <w:t xml:space="preserve"> zadluženost odvádí z podniku velké množství financí prostřednictvím úroků a dalších nákladů spojených s držením takto velkého poměru cizího kapitálu. Nízká likvidita naopak vytváří další potřebu úvěrů, neboť podnik díky vysokým dobám obratu zásob není schopen jinou cestou získat vyšší množství peněžních prostředků v krátkém čase. Příznivou zprávou pro podnik je, že tyto nevýhody se v průběhu sledovaného období snižovaly a hospodaření podniku se během tohoto období zlepšilo. </w:t>
      </w:r>
    </w:p>
    <w:p w:rsidR="00AE0C79" w:rsidRDefault="00B72FFA" w:rsidP="00FA7B84">
      <w:pPr>
        <w:spacing w:line="276" w:lineRule="auto"/>
      </w:pPr>
      <w:r>
        <w:t>Pro zvýšení konkurenceschopnosti podniku je potřeba tyto nedostatky odstranit. Podniku</w:t>
      </w:r>
      <w:r w:rsidR="00A61E00">
        <w:t xml:space="preserve"> by </w:t>
      </w:r>
      <w:r>
        <w:t>pravděpodobně prospěla revize</w:t>
      </w:r>
      <w:r w:rsidR="00A61E00">
        <w:t xml:space="preserve"> skladového hospodářství. Podnik drží vysokou hladinu zásob, které mají dlouhou dobu obratu, a je v nich tedy vázána velká hodnota, která podniku poté chyb</w:t>
      </w:r>
      <w:r>
        <w:t>í. Nižší hladina zásob by uvolnila podniku další finanční prostředky. Důležité ovšem je, aby snížení hladiny zásob nemělo vliv na včasné dodávky odběratelům. J</w:t>
      </w:r>
      <w:r w:rsidR="00A61E00">
        <w:t>ako řešení problému se zadlužeností se nabízí zvýšení základního kapitálu, které by přineslo do podniku nové finanční prostředky a pomohlo tak zmírnit i špatnou likviditu. Zvýšení vlastního kapitálu může proběhnout vícero způsoby: vložením prostředků a zvýšením základní</w:t>
      </w:r>
      <w:r>
        <w:t>ho kapitálu, anebo ponecháním nerozděleného</w:t>
      </w:r>
      <w:r w:rsidR="00A61E00">
        <w:t xml:space="preserve"> zisk</w:t>
      </w:r>
      <w:r>
        <w:t>u</w:t>
      </w:r>
      <w:r w:rsidR="00A61E00">
        <w:t xml:space="preserve"> z minulých let</w:t>
      </w:r>
      <w:r>
        <w:t xml:space="preserve"> v podniku</w:t>
      </w:r>
      <w:r w:rsidR="00A61E00">
        <w:t xml:space="preserve">. </w:t>
      </w:r>
      <w:r w:rsidR="00875ADD">
        <w:t xml:space="preserve">Při zvyšování vlastního kapitálu je důležitá role vlastníka podniku. Kroky vedoucí k navýšení základního kapitálu vlastníkům totiž přinesou v nejbližším období nižší výnosy, ovšem tyto kroky mají potenciál zvýšit nejen konkurenceschopnost podniku, ale také jeho budoucí výnosnost směrem k jeho vlastníkům. </w:t>
      </w:r>
      <w:r w:rsidR="00A61E00">
        <w:t>Výsledkem těchto kroků by měl</w:t>
      </w:r>
      <w:r w:rsidR="00875ADD">
        <w:t>a být zvýšená stabilita podniku. V</w:t>
      </w:r>
      <w:r w:rsidR="00A61E00">
        <w:t> očích věřitelů by se také zvýšila důvěryhodnost podniku, což by podniku přineslo nové možnosti získání výhodnějších úvěrů s nižšími úrokovými sazbami.</w:t>
      </w:r>
    </w:p>
    <w:p w:rsidR="00AE0C79" w:rsidRDefault="00A61E00" w:rsidP="00FA7B84">
      <w:pPr>
        <w:spacing w:line="276" w:lineRule="auto"/>
      </w:pPr>
      <w:r>
        <w:t xml:space="preserve">Ve světle výsledků finanční analýzy a jejich srovnání s konkurenčními podniky hodnotím sledovaný podnik jako konkurenceschopný. </w:t>
      </w:r>
      <w:r w:rsidR="00C21DC4">
        <w:t xml:space="preserve">I při nalezených nedostatcích je hospodaření podniku poměrně dobré a při jejich odstranění by v budoucnu podnik mohl dosahovat daleko lepších výsledků. </w:t>
      </w:r>
      <w:r>
        <w:t xml:space="preserve">Největší nevýhodou podniku do budoucna je, že obchoduje se </w:t>
      </w:r>
      <w:r>
        <w:lastRenderedPageBreak/>
        <w:t xml:space="preserve">zdravotnickým zbožím, na které se od roku 2012 uplatňuje vyšší sazba DPH, což podniku </w:t>
      </w:r>
      <w:r w:rsidR="00C21DC4">
        <w:t xml:space="preserve">pravděpodobně přinese </w:t>
      </w:r>
      <w:r>
        <w:t>nižší tržby než doposud a tím také zhoršení některých ukazatelů.</w:t>
      </w:r>
    </w:p>
    <w:p w:rsidR="00AE0C79" w:rsidRDefault="00A61E00" w:rsidP="00FA7B84">
      <w:pPr>
        <w:spacing w:line="276" w:lineRule="auto"/>
        <w:jc w:val="left"/>
      </w:pPr>
      <w:r>
        <w:br w:type="page"/>
      </w:r>
    </w:p>
    <w:p w:rsidR="00AE0C79" w:rsidRDefault="008B37C9" w:rsidP="00FA7B84">
      <w:pPr>
        <w:pStyle w:val="Nadpis1"/>
        <w:numPr>
          <w:ilvl w:val="0"/>
          <w:numId w:val="0"/>
        </w:numPr>
        <w:spacing w:line="276" w:lineRule="auto"/>
      </w:pPr>
      <w:bookmarkStart w:id="78" w:name="_Toc324932916"/>
      <w:r>
        <w:lastRenderedPageBreak/>
        <w:t>Seznam použité l</w:t>
      </w:r>
      <w:r w:rsidR="00A61E00">
        <w:t>iteratur</w:t>
      </w:r>
      <w:r>
        <w:t>y</w:t>
      </w:r>
      <w:bookmarkEnd w:id="78"/>
    </w:p>
    <w:p w:rsidR="00AE0C79" w:rsidRDefault="00A61E00" w:rsidP="00FA7B84">
      <w:pPr>
        <w:pStyle w:val="Odstavecseseznamem"/>
        <w:numPr>
          <w:ilvl w:val="0"/>
          <w:numId w:val="12"/>
        </w:numPr>
        <w:spacing w:line="276" w:lineRule="auto"/>
        <w:rPr>
          <w:rFonts w:cs="Times New Roman"/>
          <w:szCs w:val="24"/>
        </w:rPr>
      </w:pPr>
      <w:r>
        <w:t xml:space="preserve">SEDLÁČEK, J. </w:t>
      </w:r>
      <w:r>
        <w:rPr>
          <w:rFonts w:eastAsia="Calibri" w:cs="Times New Roman"/>
          <w:i/>
          <w:szCs w:val="20"/>
        </w:rPr>
        <w:t>Účetní data v rukou manažera</w:t>
      </w:r>
      <w:r>
        <w:rPr>
          <w:rFonts w:eastAsia="Calibri" w:cs="Times New Roman"/>
          <w:szCs w:val="20"/>
        </w:rPr>
        <w:t>, 2. dopl. vyd. Praha: Computer Press, 2001. 220</w:t>
      </w:r>
      <w:r w:rsidR="00B4547F">
        <w:rPr>
          <w:rFonts w:eastAsia="Calibri" w:cs="Times New Roman"/>
          <w:szCs w:val="20"/>
        </w:rPr>
        <w:t xml:space="preserve"> </w:t>
      </w:r>
      <w:r>
        <w:rPr>
          <w:rFonts w:eastAsia="Calibri" w:cs="Times New Roman"/>
          <w:szCs w:val="20"/>
        </w:rPr>
        <w:t>s. ISBN 80-7226-562-8.</w:t>
      </w:r>
    </w:p>
    <w:p w:rsidR="00AE0C79" w:rsidRDefault="00A61E00" w:rsidP="00FA7B84">
      <w:pPr>
        <w:pStyle w:val="Odstavecseseznamem"/>
        <w:numPr>
          <w:ilvl w:val="0"/>
          <w:numId w:val="12"/>
        </w:numPr>
        <w:spacing w:line="276" w:lineRule="auto"/>
        <w:rPr>
          <w:rFonts w:cs="Times New Roman"/>
          <w:szCs w:val="24"/>
        </w:rPr>
      </w:pPr>
      <w:r>
        <w:t xml:space="preserve">RŮČKOVÁ, P. </w:t>
      </w:r>
      <w:r>
        <w:rPr>
          <w:rFonts w:eastAsia="Calibri" w:cs="Times New Roman"/>
          <w:i/>
          <w:szCs w:val="20"/>
        </w:rPr>
        <w:t>Finanční analýza</w:t>
      </w:r>
      <w:r>
        <w:rPr>
          <w:rFonts w:eastAsia="Calibri" w:cs="Times New Roman"/>
          <w:szCs w:val="20"/>
        </w:rPr>
        <w:t>, 1. vyd. Praha: Grada publishing, 2007. 120s. ISBN 978-80-247-1386-1.</w:t>
      </w:r>
    </w:p>
    <w:p w:rsidR="00AE0C79" w:rsidRDefault="00A61E00" w:rsidP="00FA7B84">
      <w:pPr>
        <w:pStyle w:val="Odstavecseseznamem"/>
        <w:numPr>
          <w:ilvl w:val="0"/>
          <w:numId w:val="12"/>
        </w:numPr>
        <w:spacing w:line="276" w:lineRule="auto"/>
        <w:rPr>
          <w:rFonts w:cs="Times New Roman"/>
          <w:szCs w:val="24"/>
        </w:rPr>
      </w:pPr>
      <w:r>
        <w:rPr>
          <w:rFonts w:cs="Times New Roman"/>
          <w:szCs w:val="24"/>
        </w:rPr>
        <w:t>GR</w:t>
      </w:r>
      <w:r>
        <w:rPr>
          <w:rFonts w:eastAsia="Calibri" w:cs="Times New Roman"/>
        </w:rPr>
        <w:t xml:space="preserve">ÜNWALD, R.; HOLEČKOVÁ, J. </w:t>
      </w:r>
      <w:r>
        <w:rPr>
          <w:rStyle w:val="StylKurzvaChar"/>
          <w:rFonts w:eastAsia="Calibri"/>
        </w:rPr>
        <w:t>Finanční analýza a plánování podniku,</w:t>
      </w:r>
      <w:r>
        <w:rPr>
          <w:rFonts w:eastAsia="Calibri" w:cs="Times New Roman"/>
        </w:rPr>
        <w:t xml:space="preserve"> 1. vyd. Praha: Ekopress, 2007. 320 s. ISBN 978-80-86929-26-2.</w:t>
      </w:r>
    </w:p>
    <w:p w:rsidR="00AE0C79" w:rsidRDefault="00A61E00" w:rsidP="00FA7B84">
      <w:pPr>
        <w:pStyle w:val="Odstavecseseznamem"/>
        <w:numPr>
          <w:ilvl w:val="0"/>
          <w:numId w:val="12"/>
        </w:numPr>
        <w:spacing w:line="276" w:lineRule="auto"/>
        <w:rPr>
          <w:rFonts w:cs="Times New Roman"/>
          <w:szCs w:val="24"/>
        </w:rPr>
      </w:pPr>
      <w:r>
        <w:rPr>
          <w:rFonts w:cs="Times New Roman"/>
          <w:szCs w:val="24"/>
        </w:rPr>
        <w:t xml:space="preserve">MAREK, P. a kol. </w:t>
      </w:r>
      <w:r>
        <w:rPr>
          <w:rFonts w:cs="Times New Roman"/>
          <w:i/>
          <w:szCs w:val="24"/>
        </w:rPr>
        <w:t xml:space="preserve">Studijní průvodce financemi podniku, </w:t>
      </w:r>
      <w:r>
        <w:rPr>
          <w:rFonts w:cs="Times New Roman"/>
          <w:szCs w:val="24"/>
        </w:rPr>
        <w:t>1. vyd. Praha: Ekopress, 2006. 624 s. ISBN 80-86119-37-8.</w:t>
      </w:r>
    </w:p>
    <w:p w:rsidR="00AE0C79" w:rsidRDefault="00A61E00" w:rsidP="00FA7B84">
      <w:pPr>
        <w:pStyle w:val="Odstavecseseznamem"/>
        <w:numPr>
          <w:ilvl w:val="0"/>
          <w:numId w:val="12"/>
        </w:numPr>
        <w:spacing w:line="276" w:lineRule="auto"/>
        <w:rPr>
          <w:rFonts w:cs="Times New Roman"/>
          <w:szCs w:val="24"/>
        </w:rPr>
      </w:pPr>
      <w:r>
        <w:rPr>
          <w:rFonts w:cs="Times New Roman"/>
          <w:szCs w:val="24"/>
        </w:rPr>
        <w:t xml:space="preserve">JIRÁSEK, J. A. </w:t>
      </w:r>
      <w:r>
        <w:rPr>
          <w:rFonts w:cs="Times New Roman"/>
          <w:i/>
          <w:szCs w:val="24"/>
        </w:rPr>
        <w:t>Konkurenčnost: Vítězství a porážky na kolbišti trhu,</w:t>
      </w:r>
      <w:r>
        <w:rPr>
          <w:rFonts w:cs="Times New Roman"/>
          <w:szCs w:val="24"/>
        </w:rPr>
        <w:t xml:space="preserve"> 1. vyd. Praha: Professional publishing. 101 s. ISBN 80-86419-11-8.</w:t>
      </w:r>
    </w:p>
    <w:p w:rsidR="00AE0C79" w:rsidRDefault="00A61E00" w:rsidP="00FA7B84">
      <w:pPr>
        <w:pStyle w:val="Odstavecseseznamem"/>
        <w:numPr>
          <w:ilvl w:val="0"/>
          <w:numId w:val="12"/>
        </w:numPr>
        <w:spacing w:line="276" w:lineRule="auto"/>
        <w:rPr>
          <w:rFonts w:cs="Times New Roman"/>
          <w:szCs w:val="24"/>
        </w:rPr>
      </w:pPr>
      <w:r>
        <w:rPr>
          <w:rFonts w:cs="Times New Roman"/>
          <w:szCs w:val="24"/>
        </w:rPr>
        <w:t xml:space="preserve">VALACH, J. a kol. </w:t>
      </w:r>
      <w:r>
        <w:rPr>
          <w:rFonts w:cs="Times New Roman"/>
          <w:i/>
          <w:szCs w:val="24"/>
        </w:rPr>
        <w:t>Finanční řízení podniku</w:t>
      </w:r>
      <w:r>
        <w:rPr>
          <w:rFonts w:cs="Times New Roman"/>
          <w:szCs w:val="24"/>
        </w:rPr>
        <w:t>, 1. vyd. Praha: Ekopress, 1997. 247 s. ISBN 80-901991-6-X.</w:t>
      </w:r>
    </w:p>
    <w:p w:rsidR="00AE0C79" w:rsidRDefault="00A61E00" w:rsidP="00FA7B84">
      <w:pPr>
        <w:pStyle w:val="Odstavecseseznamem"/>
        <w:numPr>
          <w:ilvl w:val="0"/>
          <w:numId w:val="12"/>
        </w:numPr>
        <w:spacing w:line="276" w:lineRule="auto"/>
        <w:rPr>
          <w:rFonts w:cs="Times New Roman"/>
          <w:szCs w:val="24"/>
        </w:rPr>
      </w:pPr>
      <w:r>
        <w:rPr>
          <w:rFonts w:cs="Times New Roman"/>
          <w:szCs w:val="24"/>
        </w:rPr>
        <w:t>SUCHÁNEK, P.</w:t>
      </w:r>
      <w:r>
        <w:rPr>
          <w:rFonts w:cs="Times New Roman"/>
          <w:i/>
          <w:szCs w:val="24"/>
        </w:rPr>
        <w:t xml:space="preserve"> Finanční management,</w:t>
      </w:r>
      <w:r>
        <w:rPr>
          <w:rFonts w:cs="Times New Roman"/>
          <w:szCs w:val="24"/>
        </w:rPr>
        <w:t xml:space="preserve"> 1. vyd. Brno: Masarykova univerzita, 2007. 127 s. ISBN 978-80-210-4277-3.</w:t>
      </w:r>
    </w:p>
    <w:p w:rsidR="00AE0C79" w:rsidRDefault="00A61E00" w:rsidP="00FA7B84">
      <w:pPr>
        <w:pStyle w:val="Odstavecseseznamem"/>
        <w:numPr>
          <w:ilvl w:val="0"/>
          <w:numId w:val="12"/>
        </w:numPr>
        <w:spacing w:line="276" w:lineRule="auto"/>
        <w:rPr>
          <w:rFonts w:cs="Times New Roman"/>
          <w:szCs w:val="24"/>
        </w:rPr>
      </w:pPr>
      <w:r>
        <w:rPr>
          <w:rFonts w:cs="Times New Roman"/>
          <w:szCs w:val="24"/>
        </w:rPr>
        <w:t xml:space="preserve">BLAŽEK, L. a kol. </w:t>
      </w:r>
      <w:r>
        <w:rPr>
          <w:rFonts w:cs="Times New Roman"/>
          <w:i/>
          <w:szCs w:val="24"/>
        </w:rPr>
        <w:t>Konkurenční schopnost podniků. Analýza faktorů hospodářské úspěšnosti,</w:t>
      </w:r>
      <w:r>
        <w:rPr>
          <w:rFonts w:cs="Times New Roman"/>
          <w:szCs w:val="24"/>
        </w:rPr>
        <w:t xml:space="preserve"> 1.vyd. Brno: Masarykova univerzita, 2008. 210 s. ISBN 978-80-210-4734-1.</w:t>
      </w:r>
    </w:p>
    <w:p w:rsidR="00AE0C79" w:rsidRDefault="00A61E00" w:rsidP="00FA7B84">
      <w:pPr>
        <w:pStyle w:val="Odstavecseseznamem"/>
        <w:numPr>
          <w:ilvl w:val="0"/>
          <w:numId w:val="12"/>
        </w:numPr>
        <w:spacing w:line="276" w:lineRule="auto"/>
        <w:rPr>
          <w:rFonts w:cs="Times New Roman"/>
          <w:szCs w:val="24"/>
        </w:rPr>
      </w:pPr>
      <w:r>
        <w:rPr>
          <w:rFonts w:cs="Times New Roman"/>
          <w:szCs w:val="24"/>
        </w:rPr>
        <w:t xml:space="preserve">ŠÍMA, J. (ed.) </w:t>
      </w:r>
      <w:r>
        <w:rPr>
          <w:rFonts w:cs="Times New Roman"/>
          <w:i/>
          <w:szCs w:val="24"/>
        </w:rPr>
        <w:t>Adam Smith semper vivus</w:t>
      </w:r>
      <w:r>
        <w:rPr>
          <w:rFonts w:cs="Times New Roman"/>
          <w:szCs w:val="24"/>
        </w:rPr>
        <w:t>, Praha: Liberální institut, 2003. 48s. ISBN 80-86389-19-7.</w:t>
      </w:r>
    </w:p>
    <w:p w:rsidR="00AE0C79" w:rsidRPr="00B4547F" w:rsidRDefault="00A61E00" w:rsidP="00FA7B84">
      <w:pPr>
        <w:pStyle w:val="Odstavecseseznamem"/>
        <w:numPr>
          <w:ilvl w:val="0"/>
          <w:numId w:val="12"/>
        </w:numPr>
        <w:tabs>
          <w:tab w:val="left" w:pos="851"/>
        </w:tabs>
        <w:spacing w:line="276" w:lineRule="auto"/>
        <w:rPr>
          <w:rFonts w:cs="Times New Roman"/>
          <w:szCs w:val="24"/>
        </w:rPr>
      </w:pPr>
      <w:r>
        <w:rPr>
          <w:rFonts w:cs="Times New Roman"/>
          <w:szCs w:val="24"/>
        </w:rPr>
        <w:t>KOVANICOVÁ</w:t>
      </w:r>
      <w:r>
        <w:rPr>
          <w:rFonts w:eastAsia="Calibri" w:cs="Times New Roman"/>
        </w:rPr>
        <w:t xml:space="preserve">, D.; KOVANIC, P. </w:t>
      </w:r>
      <w:r>
        <w:rPr>
          <w:rStyle w:val="StylKurzvaChar"/>
          <w:rFonts w:eastAsia="Calibri"/>
        </w:rPr>
        <w:t>Poklady skryté v účetnictví: DÍL II Finanční analýza účetních výkazů</w:t>
      </w:r>
      <w:r>
        <w:rPr>
          <w:rStyle w:val="StylKurzvaChar"/>
          <w:rFonts w:eastAsiaTheme="minorHAnsi"/>
        </w:rPr>
        <w:t>,</w:t>
      </w:r>
      <w:r>
        <w:t xml:space="preserve"> 3. vyd. Praha: Polygon, 1997. 303 s. ISBN 80-85967-56-1.</w:t>
      </w:r>
    </w:p>
    <w:p w:rsidR="00B4547F" w:rsidRPr="008B37C9" w:rsidRDefault="00B4547F" w:rsidP="00FA7B84">
      <w:pPr>
        <w:pStyle w:val="Odstavecseseznamem"/>
        <w:numPr>
          <w:ilvl w:val="0"/>
          <w:numId w:val="12"/>
        </w:numPr>
        <w:tabs>
          <w:tab w:val="left" w:pos="851"/>
        </w:tabs>
        <w:spacing w:line="276" w:lineRule="auto"/>
        <w:rPr>
          <w:rFonts w:cs="Times New Roman"/>
          <w:szCs w:val="24"/>
        </w:rPr>
      </w:pPr>
      <w:r>
        <w:rPr>
          <w:rFonts w:cs="Times New Roman"/>
          <w:szCs w:val="24"/>
        </w:rPr>
        <w:t xml:space="preserve">SEDLÁČEK, J. </w:t>
      </w:r>
      <w:r>
        <w:rPr>
          <w:rFonts w:cs="Times New Roman"/>
          <w:i/>
          <w:szCs w:val="24"/>
        </w:rPr>
        <w:t>Finanční analýza podniku</w:t>
      </w:r>
      <w:r>
        <w:rPr>
          <w:rFonts w:cs="Times New Roman"/>
          <w:szCs w:val="24"/>
        </w:rPr>
        <w:t>, 2. dopl. vyd. Praha: Computer Press, 2011. 152 s. ISBN 978-80-251-3386-6.</w:t>
      </w:r>
    </w:p>
    <w:p w:rsidR="008B37C9" w:rsidRPr="008B37C9" w:rsidRDefault="008B37C9" w:rsidP="00FA7B84">
      <w:pPr>
        <w:pStyle w:val="Titulek"/>
        <w:spacing w:line="276" w:lineRule="auto"/>
      </w:pPr>
      <w:r>
        <w:t>Elektronické zdroje</w:t>
      </w:r>
    </w:p>
    <w:p w:rsidR="00AE0C79" w:rsidRPr="0072284C" w:rsidRDefault="00A61E00" w:rsidP="00FA7B84">
      <w:pPr>
        <w:pStyle w:val="Odstavecseseznamem"/>
        <w:numPr>
          <w:ilvl w:val="0"/>
          <w:numId w:val="12"/>
        </w:numPr>
        <w:tabs>
          <w:tab w:val="left" w:pos="851"/>
        </w:tabs>
        <w:spacing w:line="276" w:lineRule="auto"/>
      </w:pPr>
      <w:r w:rsidRPr="0072284C">
        <w:rPr>
          <w:rFonts w:eastAsia="Calibri" w:cs="Times New Roman"/>
          <w:szCs w:val="24"/>
          <w:lang w:eastAsia="cs-CZ"/>
        </w:rPr>
        <w:t>Obchodní rejstřík a Sbírka listin. Platný výpis [online].</w:t>
      </w:r>
      <w:r w:rsidRPr="0072284C">
        <w:t xml:space="preserve"> 2012 [cit. 2012-05-18]. Dostupné z WWW: &lt;</w:t>
      </w:r>
      <w:hyperlink r:id="rId21" w:history="1">
        <w:r w:rsidRPr="0072284C">
          <w:rPr>
            <w:rStyle w:val="Hypertextovodkaz"/>
            <w:color w:val="auto"/>
            <w:u w:val="none"/>
          </w:rPr>
          <w:t>http://www.justice.cz/</w:t>
        </w:r>
      </w:hyperlink>
      <w:r w:rsidRPr="0072284C">
        <w:t>&gt;</w:t>
      </w:r>
    </w:p>
    <w:p w:rsidR="00AE0C79" w:rsidRPr="0072284C" w:rsidRDefault="00A61E00" w:rsidP="00FA7B84">
      <w:pPr>
        <w:pStyle w:val="Odstavecseseznamem"/>
        <w:numPr>
          <w:ilvl w:val="0"/>
          <w:numId w:val="12"/>
        </w:numPr>
        <w:tabs>
          <w:tab w:val="left" w:pos="851"/>
        </w:tabs>
        <w:spacing w:line="276" w:lineRule="auto"/>
        <w:rPr>
          <w:rFonts w:cs="Times New Roman"/>
          <w:szCs w:val="24"/>
        </w:rPr>
      </w:pPr>
      <w:r w:rsidRPr="0072284C">
        <w:rPr>
          <w:rFonts w:cs="Times New Roman"/>
          <w:szCs w:val="24"/>
        </w:rPr>
        <w:t>Výnos státních dluhopisů (databáze časových řad)</w:t>
      </w:r>
      <w:r w:rsidRPr="0072284C">
        <w:rPr>
          <w:rFonts w:eastAsia="Calibri" w:cs="Times New Roman"/>
          <w:szCs w:val="24"/>
          <w:lang w:eastAsia="cs-CZ"/>
        </w:rPr>
        <w:t xml:space="preserve"> [online].</w:t>
      </w:r>
      <w:r w:rsidRPr="0072284C">
        <w:t xml:space="preserve"> 2012 [cit. 2012-05-18]. Dostupné z WWW: &lt;</w:t>
      </w:r>
      <w:hyperlink r:id="rId22" w:history="1">
        <w:r w:rsidRPr="0072284C">
          <w:rPr>
            <w:rStyle w:val="Hypertextovodkaz"/>
            <w:color w:val="auto"/>
            <w:u w:val="none"/>
          </w:rPr>
          <w:t>http://www.cnb.cz/cnb/STAT.ARADY_PKG.PARAMETRY_SESTAVY?p_sestuid=450&amp;p_strid=EBA&amp;p_lang=CS</w:t>
        </w:r>
      </w:hyperlink>
      <w:r w:rsidRPr="0072284C">
        <w:t>&gt;</w:t>
      </w:r>
    </w:p>
    <w:p w:rsidR="00AE0C79" w:rsidRDefault="00AE0C79" w:rsidP="00FA7B84">
      <w:pPr>
        <w:tabs>
          <w:tab w:val="left" w:pos="851"/>
        </w:tabs>
        <w:spacing w:line="276" w:lineRule="auto"/>
        <w:rPr>
          <w:rFonts w:cs="Times New Roman"/>
          <w:szCs w:val="24"/>
        </w:rPr>
      </w:pPr>
    </w:p>
    <w:p w:rsidR="00AE0C79" w:rsidRDefault="00A61E00" w:rsidP="00FA7B84">
      <w:pPr>
        <w:tabs>
          <w:tab w:val="left" w:pos="851"/>
        </w:tabs>
        <w:spacing w:line="276" w:lineRule="auto"/>
        <w:rPr>
          <w:rFonts w:cs="Times New Roman"/>
          <w:szCs w:val="24"/>
        </w:rPr>
      </w:pPr>
      <w:r>
        <w:t>.</w:t>
      </w:r>
      <w:r>
        <w:rPr>
          <w:rFonts w:cs="Times New Roman"/>
          <w:szCs w:val="24"/>
        </w:rPr>
        <w:br w:type="page"/>
      </w:r>
    </w:p>
    <w:p w:rsidR="00AE0C79" w:rsidRDefault="00A61E00" w:rsidP="00FA7B84">
      <w:pPr>
        <w:pStyle w:val="Nadpis1"/>
        <w:numPr>
          <w:ilvl w:val="0"/>
          <w:numId w:val="0"/>
        </w:numPr>
        <w:spacing w:line="276" w:lineRule="auto"/>
      </w:pPr>
      <w:bookmarkStart w:id="79" w:name="_Toc324932917"/>
      <w:r>
        <w:lastRenderedPageBreak/>
        <w:t>Seznam tabulek</w:t>
      </w:r>
      <w:bookmarkEnd w:id="79"/>
    </w:p>
    <w:p w:rsidR="00D6025A" w:rsidRDefault="00731DFF">
      <w:pPr>
        <w:pStyle w:val="Seznamobrzk"/>
        <w:tabs>
          <w:tab w:val="right" w:leader="dot" w:pos="9060"/>
        </w:tabs>
        <w:rPr>
          <w:rFonts w:asciiTheme="minorHAnsi" w:eastAsiaTheme="minorEastAsia" w:hAnsiTheme="minorHAnsi"/>
          <w:noProof/>
          <w:sz w:val="22"/>
          <w:lang w:eastAsia="cs-CZ"/>
        </w:rPr>
      </w:pPr>
      <w:r>
        <w:fldChar w:fldCharType="begin"/>
      </w:r>
      <w:r w:rsidR="00A61E00">
        <w:instrText xml:space="preserve"> TOC \h \z \c "Tabulka" </w:instrText>
      </w:r>
      <w:r>
        <w:fldChar w:fldCharType="separate"/>
      </w:r>
      <w:hyperlink w:anchor="_Toc324932923" w:history="1">
        <w:r w:rsidR="00D6025A" w:rsidRPr="00F75081">
          <w:rPr>
            <w:rStyle w:val="Hypertextovodkaz"/>
            <w:noProof/>
          </w:rPr>
          <w:t>Tabulka 1: Výpočet Kralicekova rychlého testu</w:t>
        </w:r>
        <w:r w:rsidR="00D6025A">
          <w:rPr>
            <w:noProof/>
            <w:webHidden/>
          </w:rPr>
          <w:tab/>
        </w:r>
        <w:r>
          <w:rPr>
            <w:noProof/>
            <w:webHidden/>
          </w:rPr>
          <w:fldChar w:fldCharType="begin"/>
        </w:r>
        <w:r w:rsidR="00D6025A">
          <w:rPr>
            <w:noProof/>
            <w:webHidden/>
          </w:rPr>
          <w:instrText xml:space="preserve"> PAGEREF _Toc324932923 \h </w:instrText>
        </w:r>
        <w:r>
          <w:rPr>
            <w:noProof/>
            <w:webHidden/>
          </w:rPr>
        </w:r>
        <w:r>
          <w:rPr>
            <w:noProof/>
            <w:webHidden/>
          </w:rPr>
          <w:fldChar w:fldCharType="separate"/>
        </w:r>
        <w:r w:rsidR="00D6025A">
          <w:rPr>
            <w:noProof/>
            <w:webHidden/>
          </w:rPr>
          <w:t>21</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24" w:history="1">
        <w:r w:rsidR="00D6025A" w:rsidRPr="00F75081">
          <w:rPr>
            <w:rStyle w:val="Hypertextovodkaz"/>
            <w:noProof/>
          </w:rPr>
          <w:t>Tabulka 2: Hodnocení indexu IN01</w:t>
        </w:r>
        <w:r w:rsidR="00D6025A">
          <w:rPr>
            <w:noProof/>
            <w:webHidden/>
          </w:rPr>
          <w:tab/>
        </w:r>
        <w:r>
          <w:rPr>
            <w:noProof/>
            <w:webHidden/>
          </w:rPr>
          <w:fldChar w:fldCharType="begin"/>
        </w:r>
        <w:r w:rsidR="00D6025A">
          <w:rPr>
            <w:noProof/>
            <w:webHidden/>
          </w:rPr>
          <w:instrText xml:space="preserve"> PAGEREF _Toc324932924 \h </w:instrText>
        </w:r>
        <w:r>
          <w:rPr>
            <w:noProof/>
            <w:webHidden/>
          </w:rPr>
        </w:r>
        <w:r>
          <w:rPr>
            <w:noProof/>
            <w:webHidden/>
          </w:rPr>
          <w:fldChar w:fldCharType="separate"/>
        </w:r>
        <w:r w:rsidR="00D6025A">
          <w:rPr>
            <w:noProof/>
            <w:webHidden/>
          </w:rPr>
          <w:t>22</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25" w:history="1">
        <w:r w:rsidR="00D6025A" w:rsidRPr="00F75081">
          <w:rPr>
            <w:rStyle w:val="Hypertextovodkaz"/>
            <w:noProof/>
          </w:rPr>
          <w:t>Tabulka 3: Horizontální analýza aktiv společnosti Dentamed s.r.o.</w:t>
        </w:r>
        <w:r w:rsidR="00D6025A">
          <w:rPr>
            <w:noProof/>
            <w:webHidden/>
          </w:rPr>
          <w:tab/>
        </w:r>
        <w:r>
          <w:rPr>
            <w:noProof/>
            <w:webHidden/>
          </w:rPr>
          <w:fldChar w:fldCharType="begin"/>
        </w:r>
        <w:r w:rsidR="00D6025A">
          <w:rPr>
            <w:noProof/>
            <w:webHidden/>
          </w:rPr>
          <w:instrText xml:space="preserve"> PAGEREF _Toc324932925 \h </w:instrText>
        </w:r>
        <w:r>
          <w:rPr>
            <w:noProof/>
            <w:webHidden/>
          </w:rPr>
        </w:r>
        <w:r>
          <w:rPr>
            <w:noProof/>
            <w:webHidden/>
          </w:rPr>
          <w:fldChar w:fldCharType="separate"/>
        </w:r>
        <w:r w:rsidR="00D6025A">
          <w:rPr>
            <w:noProof/>
            <w:webHidden/>
          </w:rPr>
          <w:t>24</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26" w:history="1">
        <w:r w:rsidR="00D6025A" w:rsidRPr="00F75081">
          <w:rPr>
            <w:rStyle w:val="Hypertextovodkaz"/>
            <w:noProof/>
          </w:rPr>
          <w:t>Tabulka 4: Horizontální analýza pasiv společnosti Dentamed s.r.o.</w:t>
        </w:r>
        <w:r w:rsidR="00D6025A">
          <w:rPr>
            <w:noProof/>
            <w:webHidden/>
          </w:rPr>
          <w:tab/>
        </w:r>
        <w:r>
          <w:rPr>
            <w:noProof/>
            <w:webHidden/>
          </w:rPr>
          <w:fldChar w:fldCharType="begin"/>
        </w:r>
        <w:r w:rsidR="00D6025A">
          <w:rPr>
            <w:noProof/>
            <w:webHidden/>
          </w:rPr>
          <w:instrText xml:space="preserve"> PAGEREF _Toc324932926 \h </w:instrText>
        </w:r>
        <w:r>
          <w:rPr>
            <w:noProof/>
            <w:webHidden/>
          </w:rPr>
        </w:r>
        <w:r>
          <w:rPr>
            <w:noProof/>
            <w:webHidden/>
          </w:rPr>
          <w:fldChar w:fldCharType="separate"/>
        </w:r>
        <w:r w:rsidR="00D6025A">
          <w:rPr>
            <w:noProof/>
            <w:webHidden/>
          </w:rPr>
          <w:t>26</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27" w:history="1">
        <w:r w:rsidR="00D6025A" w:rsidRPr="00F75081">
          <w:rPr>
            <w:rStyle w:val="Hypertextovodkaz"/>
            <w:noProof/>
          </w:rPr>
          <w:t>Tabulka 5: Vertikální analýza aktiv společnosti Dentamed s.r.o.</w:t>
        </w:r>
        <w:r w:rsidR="00D6025A">
          <w:rPr>
            <w:noProof/>
            <w:webHidden/>
          </w:rPr>
          <w:tab/>
        </w:r>
        <w:r>
          <w:rPr>
            <w:noProof/>
            <w:webHidden/>
          </w:rPr>
          <w:fldChar w:fldCharType="begin"/>
        </w:r>
        <w:r w:rsidR="00D6025A">
          <w:rPr>
            <w:noProof/>
            <w:webHidden/>
          </w:rPr>
          <w:instrText xml:space="preserve"> PAGEREF _Toc324932927 \h </w:instrText>
        </w:r>
        <w:r>
          <w:rPr>
            <w:noProof/>
            <w:webHidden/>
          </w:rPr>
        </w:r>
        <w:r>
          <w:rPr>
            <w:noProof/>
            <w:webHidden/>
          </w:rPr>
          <w:fldChar w:fldCharType="separate"/>
        </w:r>
        <w:r w:rsidR="00D6025A">
          <w:rPr>
            <w:noProof/>
            <w:webHidden/>
          </w:rPr>
          <w:t>27</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28" w:history="1">
        <w:r w:rsidR="00D6025A" w:rsidRPr="00F75081">
          <w:rPr>
            <w:rStyle w:val="Hypertextovodkaz"/>
            <w:noProof/>
          </w:rPr>
          <w:t>Tabulka 6: Vertikální analýza pasiv společnosti Dentamed s.r.o.</w:t>
        </w:r>
        <w:r w:rsidR="00D6025A">
          <w:rPr>
            <w:noProof/>
            <w:webHidden/>
          </w:rPr>
          <w:tab/>
        </w:r>
        <w:r>
          <w:rPr>
            <w:noProof/>
            <w:webHidden/>
          </w:rPr>
          <w:fldChar w:fldCharType="begin"/>
        </w:r>
        <w:r w:rsidR="00D6025A">
          <w:rPr>
            <w:noProof/>
            <w:webHidden/>
          </w:rPr>
          <w:instrText xml:space="preserve"> PAGEREF _Toc324932928 \h </w:instrText>
        </w:r>
        <w:r>
          <w:rPr>
            <w:noProof/>
            <w:webHidden/>
          </w:rPr>
        </w:r>
        <w:r>
          <w:rPr>
            <w:noProof/>
            <w:webHidden/>
          </w:rPr>
          <w:fldChar w:fldCharType="separate"/>
        </w:r>
        <w:r w:rsidR="00D6025A">
          <w:rPr>
            <w:noProof/>
            <w:webHidden/>
          </w:rPr>
          <w:t>30</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29" w:history="1">
        <w:r w:rsidR="00D6025A" w:rsidRPr="00F75081">
          <w:rPr>
            <w:rStyle w:val="Hypertextovodkaz"/>
            <w:noProof/>
          </w:rPr>
          <w:t>Tabulka 7: Horizontální analýza výkazu zisků a ztrát společnosti Dentamed s.r.o.</w:t>
        </w:r>
        <w:r w:rsidR="00D6025A">
          <w:rPr>
            <w:noProof/>
            <w:webHidden/>
          </w:rPr>
          <w:tab/>
        </w:r>
        <w:r>
          <w:rPr>
            <w:noProof/>
            <w:webHidden/>
          </w:rPr>
          <w:fldChar w:fldCharType="begin"/>
        </w:r>
        <w:r w:rsidR="00D6025A">
          <w:rPr>
            <w:noProof/>
            <w:webHidden/>
          </w:rPr>
          <w:instrText xml:space="preserve"> PAGEREF _Toc324932929 \h </w:instrText>
        </w:r>
        <w:r>
          <w:rPr>
            <w:noProof/>
            <w:webHidden/>
          </w:rPr>
        </w:r>
        <w:r>
          <w:rPr>
            <w:noProof/>
            <w:webHidden/>
          </w:rPr>
          <w:fldChar w:fldCharType="separate"/>
        </w:r>
        <w:r w:rsidR="00D6025A">
          <w:rPr>
            <w:noProof/>
            <w:webHidden/>
          </w:rPr>
          <w:t>32</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0" w:history="1">
        <w:r w:rsidR="00D6025A" w:rsidRPr="00F75081">
          <w:rPr>
            <w:rStyle w:val="Hypertextovodkaz"/>
            <w:noProof/>
          </w:rPr>
          <w:t>Tabulka 8: Počet zaměstnanců a průměrná mzda v společnosti Dentamed s.r.o.</w:t>
        </w:r>
        <w:r w:rsidR="00D6025A">
          <w:rPr>
            <w:noProof/>
            <w:webHidden/>
          </w:rPr>
          <w:tab/>
        </w:r>
        <w:r>
          <w:rPr>
            <w:noProof/>
            <w:webHidden/>
          </w:rPr>
          <w:fldChar w:fldCharType="begin"/>
        </w:r>
        <w:r w:rsidR="00D6025A">
          <w:rPr>
            <w:noProof/>
            <w:webHidden/>
          </w:rPr>
          <w:instrText xml:space="preserve"> PAGEREF _Toc324932930 \h </w:instrText>
        </w:r>
        <w:r>
          <w:rPr>
            <w:noProof/>
            <w:webHidden/>
          </w:rPr>
        </w:r>
        <w:r>
          <w:rPr>
            <w:noProof/>
            <w:webHidden/>
          </w:rPr>
          <w:fldChar w:fldCharType="separate"/>
        </w:r>
        <w:r w:rsidR="00D6025A">
          <w:rPr>
            <w:noProof/>
            <w:webHidden/>
          </w:rPr>
          <w:t>33</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1" w:history="1">
        <w:r w:rsidR="00D6025A" w:rsidRPr="00F75081">
          <w:rPr>
            <w:rStyle w:val="Hypertextovodkaz"/>
            <w:noProof/>
          </w:rPr>
          <w:t>Tabulka 9: Vertikální analýza výkazu zisků a ztrát společnosti Dentamed s.r.o.</w:t>
        </w:r>
        <w:r w:rsidR="00D6025A">
          <w:rPr>
            <w:noProof/>
            <w:webHidden/>
          </w:rPr>
          <w:tab/>
        </w:r>
        <w:r>
          <w:rPr>
            <w:noProof/>
            <w:webHidden/>
          </w:rPr>
          <w:fldChar w:fldCharType="begin"/>
        </w:r>
        <w:r w:rsidR="00D6025A">
          <w:rPr>
            <w:noProof/>
            <w:webHidden/>
          </w:rPr>
          <w:instrText xml:space="preserve"> PAGEREF _Toc324932931 \h </w:instrText>
        </w:r>
        <w:r>
          <w:rPr>
            <w:noProof/>
            <w:webHidden/>
          </w:rPr>
        </w:r>
        <w:r>
          <w:rPr>
            <w:noProof/>
            <w:webHidden/>
          </w:rPr>
          <w:fldChar w:fldCharType="separate"/>
        </w:r>
        <w:r w:rsidR="00D6025A">
          <w:rPr>
            <w:noProof/>
            <w:webHidden/>
          </w:rPr>
          <w:t>34</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2" w:history="1">
        <w:r w:rsidR="00D6025A" w:rsidRPr="00F75081">
          <w:rPr>
            <w:rStyle w:val="Hypertextovodkaz"/>
            <w:noProof/>
          </w:rPr>
          <w:t>Tabulka 10: Ukazatele rentability společnosti Dentamed s.r.o.</w:t>
        </w:r>
        <w:r w:rsidR="00D6025A">
          <w:rPr>
            <w:noProof/>
            <w:webHidden/>
          </w:rPr>
          <w:tab/>
        </w:r>
        <w:r>
          <w:rPr>
            <w:noProof/>
            <w:webHidden/>
          </w:rPr>
          <w:fldChar w:fldCharType="begin"/>
        </w:r>
        <w:r w:rsidR="00D6025A">
          <w:rPr>
            <w:noProof/>
            <w:webHidden/>
          </w:rPr>
          <w:instrText xml:space="preserve"> PAGEREF _Toc324932932 \h </w:instrText>
        </w:r>
        <w:r>
          <w:rPr>
            <w:noProof/>
            <w:webHidden/>
          </w:rPr>
        </w:r>
        <w:r>
          <w:rPr>
            <w:noProof/>
            <w:webHidden/>
          </w:rPr>
          <w:fldChar w:fldCharType="separate"/>
        </w:r>
        <w:r w:rsidR="00D6025A">
          <w:rPr>
            <w:noProof/>
            <w:webHidden/>
          </w:rPr>
          <w:t>35</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3" w:history="1">
        <w:r w:rsidR="00D6025A" w:rsidRPr="00F75081">
          <w:rPr>
            <w:rStyle w:val="Hypertextovodkaz"/>
            <w:noProof/>
          </w:rPr>
          <w:t>Tabulka 11: Ukazatele rentability konkurenčních společností</w:t>
        </w:r>
        <w:r w:rsidR="00D6025A">
          <w:rPr>
            <w:noProof/>
            <w:webHidden/>
          </w:rPr>
          <w:tab/>
        </w:r>
        <w:r>
          <w:rPr>
            <w:noProof/>
            <w:webHidden/>
          </w:rPr>
          <w:fldChar w:fldCharType="begin"/>
        </w:r>
        <w:r w:rsidR="00D6025A">
          <w:rPr>
            <w:noProof/>
            <w:webHidden/>
          </w:rPr>
          <w:instrText xml:space="preserve"> PAGEREF _Toc324932933 \h </w:instrText>
        </w:r>
        <w:r>
          <w:rPr>
            <w:noProof/>
            <w:webHidden/>
          </w:rPr>
        </w:r>
        <w:r>
          <w:rPr>
            <w:noProof/>
            <w:webHidden/>
          </w:rPr>
          <w:fldChar w:fldCharType="separate"/>
        </w:r>
        <w:r w:rsidR="00D6025A">
          <w:rPr>
            <w:noProof/>
            <w:webHidden/>
          </w:rPr>
          <w:t>35</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4" w:history="1">
        <w:r w:rsidR="00D6025A" w:rsidRPr="00F75081">
          <w:rPr>
            <w:rStyle w:val="Hypertextovodkaz"/>
            <w:noProof/>
          </w:rPr>
          <w:t>Tabulka 12: Ukazatele aktivity společnosti Dentamed s.r.o.</w:t>
        </w:r>
        <w:r w:rsidR="00D6025A">
          <w:rPr>
            <w:noProof/>
            <w:webHidden/>
          </w:rPr>
          <w:tab/>
        </w:r>
        <w:r>
          <w:rPr>
            <w:noProof/>
            <w:webHidden/>
          </w:rPr>
          <w:fldChar w:fldCharType="begin"/>
        </w:r>
        <w:r w:rsidR="00D6025A">
          <w:rPr>
            <w:noProof/>
            <w:webHidden/>
          </w:rPr>
          <w:instrText xml:space="preserve"> PAGEREF _Toc324932934 \h </w:instrText>
        </w:r>
        <w:r>
          <w:rPr>
            <w:noProof/>
            <w:webHidden/>
          </w:rPr>
        </w:r>
        <w:r>
          <w:rPr>
            <w:noProof/>
            <w:webHidden/>
          </w:rPr>
          <w:fldChar w:fldCharType="separate"/>
        </w:r>
        <w:r w:rsidR="00D6025A">
          <w:rPr>
            <w:noProof/>
            <w:webHidden/>
          </w:rPr>
          <w:t>36</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5" w:history="1">
        <w:r w:rsidR="00D6025A" w:rsidRPr="00F75081">
          <w:rPr>
            <w:rStyle w:val="Hypertextovodkaz"/>
            <w:noProof/>
          </w:rPr>
          <w:t>Tabulka 13: Ukazatele aktivity konkurenčních společností</w:t>
        </w:r>
        <w:r w:rsidR="00D6025A">
          <w:rPr>
            <w:noProof/>
            <w:webHidden/>
          </w:rPr>
          <w:tab/>
        </w:r>
        <w:r>
          <w:rPr>
            <w:noProof/>
            <w:webHidden/>
          </w:rPr>
          <w:fldChar w:fldCharType="begin"/>
        </w:r>
        <w:r w:rsidR="00D6025A">
          <w:rPr>
            <w:noProof/>
            <w:webHidden/>
          </w:rPr>
          <w:instrText xml:space="preserve"> PAGEREF _Toc324932935 \h </w:instrText>
        </w:r>
        <w:r>
          <w:rPr>
            <w:noProof/>
            <w:webHidden/>
          </w:rPr>
        </w:r>
        <w:r>
          <w:rPr>
            <w:noProof/>
            <w:webHidden/>
          </w:rPr>
          <w:fldChar w:fldCharType="separate"/>
        </w:r>
        <w:r w:rsidR="00D6025A">
          <w:rPr>
            <w:noProof/>
            <w:webHidden/>
          </w:rPr>
          <w:t>36</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6" w:history="1">
        <w:r w:rsidR="00D6025A" w:rsidRPr="00F75081">
          <w:rPr>
            <w:rStyle w:val="Hypertextovodkaz"/>
            <w:noProof/>
          </w:rPr>
          <w:t>Tabulka 14: Ukazatele zadluženosti společnosti Dentamed s.r.o.</w:t>
        </w:r>
        <w:r w:rsidR="00D6025A">
          <w:rPr>
            <w:noProof/>
            <w:webHidden/>
          </w:rPr>
          <w:tab/>
        </w:r>
        <w:r>
          <w:rPr>
            <w:noProof/>
            <w:webHidden/>
          </w:rPr>
          <w:fldChar w:fldCharType="begin"/>
        </w:r>
        <w:r w:rsidR="00D6025A">
          <w:rPr>
            <w:noProof/>
            <w:webHidden/>
          </w:rPr>
          <w:instrText xml:space="preserve"> PAGEREF _Toc324932936 \h </w:instrText>
        </w:r>
        <w:r>
          <w:rPr>
            <w:noProof/>
            <w:webHidden/>
          </w:rPr>
        </w:r>
        <w:r>
          <w:rPr>
            <w:noProof/>
            <w:webHidden/>
          </w:rPr>
          <w:fldChar w:fldCharType="separate"/>
        </w:r>
        <w:r w:rsidR="00D6025A">
          <w:rPr>
            <w:noProof/>
            <w:webHidden/>
          </w:rPr>
          <w:t>38</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7" w:history="1">
        <w:r w:rsidR="00D6025A" w:rsidRPr="00F75081">
          <w:rPr>
            <w:rStyle w:val="Hypertextovodkaz"/>
            <w:noProof/>
          </w:rPr>
          <w:t>Tabulka 15: Ukazatele zadluženosti konkurenčních společností</w:t>
        </w:r>
        <w:r w:rsidR="00D6025A">
          <w:rPr>
            <w:noProof/>
            <w:webHidden/>
          </w:rPr>
          <w:tab/>
        </w:r>
        <w:r>
          <w:rPr>
            <w:noProof/>
            <w:webHidden/>
          </w:rPr>
          <w:fldChar w:fldCharType="begin"/>
        </w:r>
        <w:r w:rsidR="00D6025A">
          <w:rPr>
            <w:noProof/>
            <w:webHidden/>
          </w:rPr>
          <w:instrText xml:space="preserve"> PAGEREF _Toc324932937 \h </w:instrText>
        </w:r>
        <w:r>
          <w:rPr>
            <w:noProof/>
            <w:webHidden/>
          </w:rPr>
        </w:r>
        <w:r>
          <w:rPr>
            <w:noProof/>
            <w:webHidden/>
          </w:rPr>
          <w:fldChar w:fldCharType="separate"/>
        </w:r>
        <w:r w:rsidR="00D6025A">
          <w:rPr>
            <w:noProof/>
            <w:webHidden/>
          </w:rPr>
          <w:t>38</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8" w:history="1">
        <w:r w:rsidR="00D6025A" w:rsidRPr="00F75081">
          <w:rPr>
            <w:rStyle w:val="Hypertextovodkaz"/>
            <w:noProof/>
          </w:rPr>
          <w:t>Tabulka 16: Ukazatele likvidity společnosti Dentamed s.r.o.</w:t>
        </w:r>
        <w:r w:rsidR="00D6025A">
          <w:rPr>
            <w:noProof/>
            <w:webHidden/>
          </w:rPr>
          <w:tab/>
        </w:r>
        <w:r>
          <w:rPr>
            <w:noProof/>
            <w:webHidden/>
          </w:rPr>
          <w:fldChar w:fldCharType="begin"/>
        </w:r>
        <w:r w:rsidR="00D6025A">
          <w:rPr>
            <w:noProof/>
            <w:webHidden/>
          </w:rPr>
          <w:instrText xml:space="preserve"> PAGEREF _Toc324932938 \h </w:instrText>
        </w:r>
        <w:r>
          <w:rPr>
            <w:noProof/>
            <w:webHidden/>
          </w:rPr>
        </w:r>
        <w:r>
          <w:rPr>
            <w:noProof/>
            <w:webHidden/>
          </w:rPr>
          <w:fldChar w:fldCharType="separate"/>
        </w:r>
        <w:r w:rsidR="00D6025A">
          <w:rPr>
            <w:noProof/>
            <w:webHidden/>
          </w:rPr>
          <w:t>39</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39" w:history="1">
        <w:r w:rsidR="00D6025A" w:rsidRPr="00F75081">
          <w:rPr>
            <w:rStyle w:val="Hypertextovodkaz"/>
            <w:noProof/>
          </w:rPr>
          <w:t>Tabulka 17: Ukazatele likvidity konkurenčních společností</w:t>
        </w:r>
        <w:r w:rsidR="00D6025A">
          <w:rPr>
            <w:noProof/>
            <w:webHidden/>
          </w:rPr>
          <w:tab/>
        </w:r>
        <w:r>
          <w:rPr>
            <w:noProof/>
            <w:webHidden/>
          </w:rPr>
          <w:fldChar w:fldCharType="begin"/>
        </w:r>
        <w:r w:rsidR="00D6025A">
          <w:rPr>
            <w:noProof/>
            <w:webHidden/>
          </w:rPr>
          <w:instrText xml:space="preserve"> PAGEREF _Toc324932939 \h </w:instrText>
        </w:r>
        <w:r>
          <w:rPr>
            <w:noProof/>
            <w:webHidden/>
          </w:rPr>
        </w:r>
        <w:r>
          <w:rPr>
            <w:noProof/>
            <w:webHidden/>
          </w:rPr>
          <w:fldChar w:fldCharType="separate"/>
        </w:r>
        <w:r w:rsidR="00D6025A">
          <w:rPr>
            <w:noProof/>
            <w:webHidden/>
          </w:rPr>
          <w:t>39</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0" w:history="1">
        <w:r w:rsidR="00D6025A" w:rsidRPr="00F75081">
          <w:rPr>
            <w:rStyle w:val="Hypertextovodkaz"/>
            <w:noProof/>
          </w:rPr>
          <w:t>Tabulka 18: Absolutní hodnoty Kralicekova rychlého testu pro společnost Dentamed s.r.o.</w:t>
        </w:r>
        <w:r w:rsidR="00D6025A">
          <w:rPr>
            <w:noProof/>
            <w:webHidden/>
          </w:rPr>
          <w:tab/>
        </w:r>
        <w:r>
          <w:rPr>
            <w:noProof/>
            <w:webHidden/>
          </w:rPr>
          <w:fldChar w:fldCharType="begin"/>
        </w:r>
        <w:r w:rsidR="00D6025A">
          <w:rPr>
            <w:noProof/>
            <w:webHidden/>
          </w:rPr>
          <w:instrText xml:space="preserve"> PAGEREF _Toc324932940 \h </w:instrText>
        </w:r>
        <w:r>
          <w:rPr>
            <w:noProof/>
            <w:webHidden/>
          </w:rPr>
        </w:r>
        <w:r>
          <w:rPr>
            <w:noProof/>
            <w:webHidden/>
          </w:rPr>
          <w:fldChar w:fldCharType="separate"/>
        </w:r>
        <w:r w:rsidR="00D6025A">
          <w:rPr>
            <w:noProof/>
            <w:webHidden/>
          </w:rPr>
          <w:t>40</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1" w:history="1">
        <w:r w:rsidR="00D6025A" w:rsidRPr="00F75081">
          <w:rPr>
            <w:rStyle w:val="Hypertextovodkaz"/>
            <w:noProof/>
          </w:rPr>
          <w:t>Tabulka 19: Známkování Kralicekova rychlého testu pro společnost Dentamed s.r.o.</w:t>
        </w:r>
        <w:r w:rsidR="00D6025A">
          <w:rPr>
            <w:noProof/>
            <w:webHidden/>
          </w:rPr>
          <w:tab/>
        </w:r>
        <w:r>
          <w:rPr>
            <w:noProof/>
            <w:webHidden/>
          </w:rPr>
          <w:fldChar w:fldCharType="begin"/>
        </w:r>
        <w:r w:rsidR="00D6025A">
          <w:rPr>
            <w:noProof/>
            <w:webHidden/>
          </w:rPr>
          <w:instrText xml:space="preserve"> PAGEREF _Toc324932941 \h </w:instrText>
        </w:r>
        <w:r>
          <w:rPr>
            <w:noProof/>
            <w:webHidden/>
          </w:rPr>
        </w:r>
        <w:r>
          <w:rPr>
            <w:noProof/>
            <w:webHidden/>
          </w:rPr>
          <w:fldChar w:fldCharType="separate"/>
        </w:r>
        <w:r w:rsidR="00D6025A">
          <w:rPr>
            <w:noProof/>
            <w:webHidden/>
          </w:rPr>
          <w:t>41</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2" w:history="1">
        <w:r w:rsidR="00D6025A" w:rsidRPr="00F75081">
          <w:rPr>
            <w:rStyle w:val="Hypertextovodkaz"/>
            <w:noProof/>
          </w:rPr>
          <w:t>Tabulka 20: Hodnoty indexu IN01 pro společnost Dentamed s.r.o.</w:t>
        </w:r>
        <w:r w:rsidR="00D6025A">
          <w:rPr>
            <w:noProof/>
            <w:webHidden/>
          </w:rPr>
          <w:tab/>
        </w:r>
        <w:r>
          <w:rPr>
            <w:noProof/>
            <w:webHidden/>
          </w:rPr>
          <w:fldChar w:fldCharType="begin"/>
        </w:r>
        <w:r w:rsidR="00D6025A">
          <w:rPr>
            <w:noProof/>
            <w:webHidden/>
          </w:rPr>
          <w:instrText xml:space="preserve"> PAGEREF _Toc324932942 \h </w:instrText>
        </w:r>
        <w:r>
          <w:rPr>
            <w:noProof/>
            <w:webHidden/>
          </w:rPr>
        </w:r>
        <w:r>
          <w:rPr>
            <w:noProof/>
            <w:webHidden/>
          </w:rPr>
          <w:fldChar w:fldCharType="separate"/>
        </w:r>
        <w:r w:rsidR="00D6025A">
          <w:rPr>
            <w:noProof/>
            <w:webHidden/>
          </w:rPr>
          <w:t>41</w:t>
        </w:r>
        <w:r>
          <w:rPr>
            <w:noProof/>
            <w:webHidden/>
          </w:rPr>
          <w:fldChar w:fldCharType="end"/>
        </w:r>
      </w:hyperlink>
    </w:p>
    <w:p w:rsidR="00AE0C79" w:rsidRDefault="00731DFF" w:rsidP="00FA7B84">
      <w:pPr>
        <w:spacing w:line="276" w:lineRule="auto"/>
      </w:pPr>
      <w:r>
        <w:fldChar w:fldCharType="end"/>
      </w:r>
    </w:p>
    <w:p w:rsidR="00AE0C79" w:rsidRDefault="00A61E00" w:rsidP="00FA7B84">
      <w:pPr>
        <w:pStyle w:val="Nadpis1"/>
        <w:numPr>
          <w:ilvl w:val="0"/>
          <w:numId w:val="0"/>
        </w:numPr>
        <w:spacing w:line="276" w:lineRule="auto"/>
      </w:pPr>
      <w:bookmarkStart w:id="80" w:name="_Toc324932918"/>
      <w:r>
        <w:t>Seznam grafů</w:t>
      </w:r>
      <w:bookmarkEnd w:id="80"/>
    </w:p>
    <w:p w:rsidR="00D6025A" w:rsidRDefault="00731DFF">
      <w:pPr>
        <w:pStyle w:val="Seznamobrzk"/>
        <w:tabs>
          <w:tab w:val="right" w:leader="dot" w:pos="9060"/>
        </w:tabs>
        <w:rPr>
          <w:rFonts w:asciiTheme="minorHAnsi" w:eastAsiaTheme="minorEastAsia" w:hAnsiTheme="minorHAnsi"/>
          <w:noProof/>
          <w:sz w:val="22"/>
          <w:lang w:eastAsia="cs-CZ"/>
        </w:rPr>
      </w:pPr>
      <w:r>
        <w:fldChar w:fldCharType="begin"/>
      </w:r>
      <w:r w:rsidR="00A61E00">
        <w:instrText xml:space="preserve"> TOC \h \z \c "Graf" </w:instrText>
      </w:r>
      <w:r>
        <w:fldChar w:fldCharType="separate"/>
      </w:r>
      <w:hyperlink w:anchor="_Toc324932943" w:history="1">
        <w:r w:rsidR="00D6025A" w:rsidRPr="00AF1061">
          <w:rPr>
            <w:rStyle w:val="Hypertextovodkaz"/>
            <w:noProof/>
          </w:rPr>
          <w:t>Graf 1: Vývoj aktiv společnosti Dentamed s.r.o.</w:t>
        </w:r>
        <w:r w:rsidR="00D6025A">
          <w:rPr>
            <w:noProof/>
            <w:webHidden/>
          </w:rPr>
          <w:tab/>
        </w:r>
        <w:r>
          <w:rPr>
            <w:noProof/>
            <w:webHidden/>
          </w:rPr>
          <w:fldChar w:fldCharType="begin"/>
        </w:r>
        <w:r w:rsidR="00D6025A">
          <w:rPr>
            <w:noProof/>
            <w:webHidden/>
          </w:rPr>
          <w:instrText xml:space="preserve"> PAGEREF _Toc324932943 \h </w:instrText>
        </w:r>
        <w:r>
          <w:rPr>
            <w:noProof/>
            <w:webHidden/>
          </w:rPr>
        </w:r>
        <w:r>
          <w:rPr>
            <w:noProof/>
            <w:webHidden/>
          </w:rPr>
          <w:fldChar w:fldCharType="separate"/>
        </w:r>
        <w:r w:rsidR="00D6025A">
          <w:rPr>
            <w:noProof/>
            <w:webHidden/>
          </w:rPr>
          <w:t>25</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4" w:history="1">
        <w:r w:rsidR="00D6025A" w:rsidRPr="00AF1061">
          <w:rPr>
            <w:rStyle w:val="Hypertextovodkaz"/>
            <w:noProof/>
          </w:rPr>
          <w:t>Graf 2: Vývoj pasiv společnosti Dentamed s.r.o.</w:t>
        </w:r>
        <w:r w:rsidR="00D6025A">
          <w:rPr>
            <w:noProof/>
            <w:webHidden/>
          </w:rPr>
          <w:tab/>
        </w:r>
        <w:r>
          <w:rPr>
            <w:noProof/>
            <w:webHidden/>
          </w:rPr>
          <w:fldChar w:fldCharType="begin"/>
        </w:r>
        <w:r w:rsidR="00D6025A">
          <w:rPr>
            <w:noProof/>
            <w:webHidden/>
          </w:rPr>
          <w:instrText xml:space="preserve"> PAGEREF _Toc324932944 \h </w:instrText>
        </w:r>
        <w:r>
          <w:rPr>
            <w:noProof/>
            <w:webHidden/>
          </w:rPr>
        </w:r>
        <w:r>
          <w:rPr>
            <w:noProof/>
            <w:webHidden/>
          </w:rPr>
          <w:fldChar w:fldCharType="separate"/>
        </w:r>
        <w:r w:rsidR="00D6025A">
          <w:rPr>
            <w:noProof/>
            <w:webHidden/>
          </w:rPr>
          <w:t>27</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5" w:history="1">
        <w:r w:rsidR="00D6025A" w:rsidRPr="00AF1061">
          <w:rPr>
            <w:rStyle w:val="Hypertextovodkaz"/>
            <w:noProof/>
          </w:rPr>
          <w:t>Graf 3: Struktura aktiv společnosti Dentamed s.r.o.</w:t>
        </w:r>
        <w:r w:rsidR="00D6025A">
          <w:rPr>
            <w:noProof/>
            <w:webHidden/>
          </w:rPr>
          <w:tab/>
        </w:r>
        <w:r>
          <w:rPr>
            <w:noProof/>
            <w:webHidden/>
          </w:rPr>
          <w:fldChar w:fldCharType="begin"/>
        </w:r>
        <w:r w:rsidR="00D6025A">
          <w:rPr>
            <w:noProof/>
            <w:webHidden/>
          </w:rPr>
          <w:instrText xml:space="preserve"> PAGEREF _Toc324932945 \h </w:instrText>
        </w:r>
        <w:r>
          <w:rPr>
            <w:noProof/>
            <w:webHidden/>
          </w:rPr>
        </w:r>
        <w:r>
          <w:rPr>
            <w:noProof/>
            <w:webHidden/>
          </w:rPr>
          <w:fldChar w:fldCharType="separate"/>
        </w:r>
        <w:r w:rsidR="00D6025A">
          <w:rPr>
            <w:noProof/>
            <w:webHidden/>
          </w:rPr>
          <w:t>28</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6" w:history="1">
        <w:r w:rsidR="00D6025A" w:rsidRPr="00AF1061">
          <w:rPr>
            <w:rStyle w:val="Hypertextovodkaz"/>
            <w:noProof/>
          </w:rPr>
          <w:t>Graf 4: Struktura dlouhodobého majetku společnosti Dentamed s.r.o.</w:t>
        </w:r>
        <w:r w:rsidR="00D6025A">
          <w:rPr>
            <w:noProof/>
            <w:webHidden/>
          </w:rPr>
          <w:tab/>
        </w:r>
        <w:r>
          <w:rPr>
            <w:noProof/>
            <w:webHidden/>
          </w:rPr>
          <w:fldChar w:fldCharType="begin"/>
        </w:r>
        <w:r w:rsidR="00D6025A">
          <w:rPr>
            <w:noProof/>
            <w:webHidden/>
          </w:rPr>
          <w:instrText xml:space="preserve"> PAGEREF _Toc324932946 \h </w:instrText>
        </w:r>
        <w:r>
          <w:rPr>
            <w:noProof/>
            <w:webHidden/>
          </w:rPr>
        </w:r>
        <w:r>
          <w:rPr>
            <w:noProof/>
            <w:webHidden/>
          </w:rPr>
          <w:fldChar w:fldCharType="separate"/>
        </w:r>
        <w:r w:rsidR="00D6025A">
          <w:rPr>
            <w:noProof/>
            <w:webHidden/>
          </w:rPr>
          <w:t>29</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7" w:history="1">
        <w:r w:rsidR="00D6025A" w:rsidRPr="00AF1061">
          <w:rPr>
            <w:rStyle w:val="Hypertextovodkaz"/>
            <w:noProof/>
          </w:rPr>
          <w:t>Graf 5: Struktura oběžných aktiv společnosti Dentamed s.r.o.</w:t>
        </w:r>
        <w:r w:rsidR="00D6025A">
          <w:rPr>
            <w:noProof/>
            <w:webHidden/>
          </w:rPr>
          <w:tab/>
        </w:r>
        <w:r>
          <w:rPr>
            <w:noProof/>
            <w:webHidden/>
          </w:rPr>
          <w:fldChar w:fldCharType="begin"/>
        </w:r>
        <w:r w:rsidR="00D6025A">
          <w:rPr>
            <w:noProof/>
            <w:webHidden/>
          </w:rPr>
          <w:instrText xml:space="preserve"> PAGEREF _Toc324932947 \h </w:instrText>
        </w:r>
        <w:r>
          <w:rPr>
            <w:noProof/>
            <w:webHidden/>
          </w:rPr>
        </w:r>
        <w:r>
          <w:rPr>
            <w:noProof/>
            <w:webHidden/>
          </w:rPr>
          <w:fldChar w:fldCharType="separate"/>
        </w:r>
        <w:r w:rsidR="00D6025A">
          <w:rPr>
            <w:noProof/>
            <w:webHidden/>
          </w:rPr>
          <w:t>29</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8" w:history="1">
        <w:r w:rsidR="00D6025A" w:rsidRPr="00AF1061">
          <w:rPr>
            <w:rStyle w:val="Hypertextovodkaz"/>
            <w:noProof/>
          </w:rPr>
          <w:t>Graf 6: Struktura pasiv společnosti Dentamed s.r.o.</w:t>
        </w:r>
        <w:r w:rsidR="00D6025A">
          <w:rPr>
            <w:noProof/>
            <w:webHidden/>
          </w:rPr>
          <w:tab/>
        </w:r>
        <w:r>
          <w:rPr>
            <w:noProof/>
            <w:webHidden/>
          </w:rPr>
          <w:fldChar w:fldCharType="begin"/>
        </w:r>
        <w:r w:rsidR="00D6025A">
          <w:rPr>
            <w:noProof/>
            <w:webHidden/>
          </w:rPr>
          <w:instrText xml:space="preserve"> PAGEREF _Toc324932948 \h </w:instrText>
        </w:r>
        <w:r>
          <w:rPr>
            <w:noProof/>
            <w:webHidden/>
          </w:rPr>
        </w:r>
        <w:r>
          <w:rPr>
            <w:noProof/>
            <w:webHidden/>
          </w:rPr>
          <w:fldChar w:fldCharType="separate"/>
        </w:r>
        <w:r w:rsidR="00D6025A">
          <w:rPr>
            <w:noProof/>
            <w:webHidden/>
          </w:rPr>
          <w:t>30</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49" w:history="1">
        <w:r w:rsidR="00D6025A" w:rsidRPr="00AF1061">
          <w:rPr>
            <w:rStyle w:val="Hypertextovodkaz"/>
            <w:noProof/>
          </w:rPr>
          <w:t>Graf 7: Struktura vlastního kapitálu společnosti Dentamed s.r.o.</w:t>
        </w:r>
        <w:r w:rsidR="00D6025A">
          <w:rPr>
            <w:noProof/>
            <w:webHidden/>
          </w:rPr>
          <w:tab/>
        </w:r>
        <w:r>
          <w:rPr>
            <w:noProof/>
            <w:webHidden/>
          </w:rPr>
          <w:fldChar w:fldCharType="begin"/>
        </w:r>
        <w:r w:rsidR="00D6025A">
          <w:rPr>
            <w:noProof/>
            <w:webHidden/>
          </w:rPr>
          <w:instrText xml:space="preserve"> PAGEREF _Toc324932949 \h </w:instrText>
        </w:r>
        <w:r>
          <w:rPr>
            <w:noProof/>
            <w:webHidden/>
          </w:rPr>
        </w:r>
        <w:r>
          <w:rPr>
            <w:noProof/>
            <w:webHidden/>
          </w:rPr>
          <w:fldChar w:fldCharType="separate"/>
        </w:r>
        <w:r w:rsidR="00D6025A">
          <w:rPr>
            <w:noProof/>
            <w:webHidden/>
          </w:rPr>
          <w:t>31</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50" w:history="1">
        <w:r w:rsidR="00D6025A" w:rsidRPr="00AF1061">
          <w:rPr>
            <w:rStyle w:val="Hypertextovodkaz"/>
            <w:noProof/>
          </w:rPr>
          <w:t>Graf 8: Struktura cizích zdrojů společnosti Dentamed s.r.o.</w:t>
        </w:r>
        <w:r w:rsidR="00D6025A">
          <w:rPr>
            <w:noProof/>
            <w:webHidden/>
          </w:rPr>
          <w:tab/>
        </w:r>
        <w:r>
          <w:rPr>
            <w:noProof/>
            <w:webHidden/>
          </w:rPr>
          <w:fldChar w:fldCharType="begin"/>
        </w:r>
        <w:r w:rsidR="00D6025A">
          <w:rPr>
            <w:noProof/>
            <w:webHidden/>
          </w:rPr>
          <w:instrText xml:space="preserve"> PAGEREF _Toc324932950 \h </w:instrText>
        </w:r>
        <w:r>
          <w:rPr>
            <w:noProof/>
            <w:webHidden/>
          </w:rPr>
        </w:r>
        <w:r>
          <w:rPr>
            <w:noProof/>
            <w:webHidden/>
          </w:rPr>
          <w:fldChar w:fldCharType="separate"/>
        </w:r>
        <w:r w:rsidR="00D6025A">
          <w:rPr>
            <w:noProof/>
            <w:webHidden/>
          </w:rPr>
          <w:t>32</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51" w:history="1">
        <w:r w:rsidR="00D6025A" w:rsidRPr="00AF1061">
          <w:rPr>
            <w:rStyle w:val="Hypertextovodkaz"/>
            <w:noProof/>
          </w:rPr>
          <w:t>Graf 9: Výsledky hospodaření společnosti Dentamed s.r.o.</w:t>
        </w:r>
        <w:r w:rsidR="00D6025A">
          <w:rPr>
            <w:noProof/>
            <w:webHidden/>
          </w:rPr>
          <w:tab/>
        </w:r>
        <w:r>
          <w:rPr>
            <w:noProof/>
            <w:webHidden/>
          </w:rPr>
          <w:fldChar w:fldCharType="begin"/>
        </w:r>
        <w:r w:rsidR="00D6025A">
          <w:rPr>
            <w:noProof/>
            <w:webHidden/>
          </w:rPr>
          <w:instrText xml:space="preserve"> PAGEREF _Toc324932951 \h </w:instrText>
        </w:r>
        <w:r>
          <w:rPr>
            <w:noProof/>
            <w:webHidden/>
          </w:rPr>
        </w:r>
        <w:r>
          <w:rPr>
            <w:noProof/>
            <w:webHidden/>
          </w:rPr>
          <w:fldChar w:fldCharType="separate"/>
        </w:r>
        <w:r w:rsidR="00D6025A">
          <w:rPr>
            <w:noProof/>
            <w:webHidden/>
          </w:rPr>
          <w:t>34</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52" w:history="1">
        <w:r w:rsidR="00D6025A" w:rsidRPr="00AF1061">
          <w:rPr>
            <w:rStyle w:val="Hypertextovodkaz"/>
            <w:noProof/>
          </w:rPr>
          <w:t>Graf 10: Doba obratu zásob, pohledávek a závazků společnosti Dentamed s.r.o.</w:t>
        </w:r>
        <w:r w:rsidR="00D6025A">
          <w:rPr>
            <w:noProof/>
            <w:webHidden/>
          </w:rPr>
          <w:tab/>
        </w:r>
        <w:r>
          <w:rPr>
            <w:noProof/>
            <w:webHidden/>
          </w:rPr>
          <w:fldChar w:fldCharType="begin"/>
        </w:r>
        <w:r w:rsidR="00D6025A">
          <w:rPr>
            <w:noProof/>
            <w:webHidden/>
          </w:rPr>
          <w:instrText xml:space="preserve"> PAGEREF _Toc324932952 \h </w:instrText>
        </w:r>
        <w:r>
          <w:rPr>
            <w:noProof/>
            <w:webHidden/>
          </w:rPr>
        </w:r>
        <w:r>
          <w:rPr>
            <w:noProof/>
            <w:webHidden/>
          </w:rPr>
          <w:fldChar w:fldCharType="separate"/>
        </w:r>
        <w:r w:rsidR="00D6025A">
          <w:rPr>
            <w:noProof/>
            <w:webHidden/>
          </w:rPr>
          <w:t>37</w:t>
        </w:r>
        <w:r>
          <w:rPr>
            <w:noProof/>
            <w:webHidden/>
          </w:rPr>
          <w:fldChar w:fldCharType="end"/>
        </w:r>
      </w:hyperlink>
    </w:p>
    <w:p w:rsidR="00D6025A" w:rsidRDefault="00731DFF">
      <w:pPr>
        <w:pStyle w:val="Seznamobrzk"/>
        <w:tabs>
          <w:tab w:val="right" w:leader="dot" w:pos="9060"/>
        </w:tabs>
        <w:rPr>
          <w:rFonts w:asciiTheme="minorHAnsi" w:eastAsiaTheme="minorEastAsia" w:hAnsiTheme="minorHAnsi"/>
          <w:noProof/>
          <w:sz w:val="22"/>
          <w:lang w:eastAsia="cs-CZ"/>
        </w:rPr>
      </w:pPr>
      <w:hyperlink w:anchor="_Toc324932953" w:history="1">
        <w:r w:rsidR="00D6025A" w:rsidRPr="00AF1061">
          <w:rPr>
            <w:rStyle w:val="Hypertextovodkaz"/>
            <w:noProof/>
          </w:rPr>
          <w:t>Graf 11: Vývoj ukazatelů likvidity společnosti Dentamed s.r.o.</w:t>
        </w:r>
        <w:r w:rsidR="00D6025A">
          <w:rPr>
            <w:noProof/>
            <w:webHidden/>
          </w:rPr>
          <w:tab/>
        </w:r>
        <w:r>
          <w:rPr>
            <w:noProof/>
            <w:webHidden/>
          </w:rPr>
          <w:fldChar w:fldCharType="begin"/>
        </w:r>
        <w:r w:rsidR="00D6025A">
          <w:rPr>
            <w:noProof/>
            <w:webHidden/>
          </w:rPr>
          <w:instrText xml:space="preserve"> PAGEREF _Toc324932953 \h </w:instrText>
        </w:r>
        <w:r>
          <w:rPr>
            <w:noProof/>
            <w:webHidden/>
          </w:rPr>
        </w:r>
        <w:r>
          <w:rPr>
            <w:noProof/>
            <w:webHidden/>
          </w:rPr>
          <w:fldChar w:fldCharType="separate"/>
        </w:r>
        <w:r w:rsidR="00D6025A">
          <w:rPr>
            <w:noProof/>
            <w:webHidden/>
          </w:rPr>
          <w:t>40</w:t>
        </w:r>
        <w:r>
          <w:rPr>
            <w:noProof/>
            <w:webHidden/>
          </w:rPr>
          <w:fldChar w:fldCharType="end"/>
        </w:r>
      </w:hyperlink>
    </w:p>
    <w:p w:rsidR="001A62C9" w:rsidRDefault="00731DFF" w:rsidP="00FA7B84">
      <w:pPr>
        <w:spacing w:line="276" w:lineRule="auto"/>
      </w:pPr>
      <w:r>
        <w:fldChar w:fldCharType="end"/>
      </w:r>
    </w:p>
    <w:p w:rsidR="001A62C9" w:rsidRDefault="001A62C9" w:rsidP="002E165F">
      <w:pPr>
        <w:spacing w:line="276" w:lineRule="auto"/>
        <w:jc w:val="left"/>
      </w:pPr>
      <w:r>
        <w:br w:type="page"/>
      </w:r>
    </w:p>
    <w:p w:rsidR="001A62C9" w:rsidRDefault="001A62C9" w:rsidP="00FA7B84">
      <w:pPr>
        <w:pStyle w:val="Nadpis1"/>
        <w:numPr>
          <w:ilvl w:val="0"/>
          <w:numId w:val="0"/>
        </w:numPr>
        <w:spacing w:line="276" w:lineRule="auto"/>
      </w:pPr>
      <w:bookmarkStart w:id="81" w:name="_Toc324932919"/>
      <w:r>
        <w:lastRenderedPageBreak/>
        <w:t>Seznam zkratek</w:t>
      </w:r>
      <w:bookmarkEnd w:id="81"/>
    </w:p>
    <w:p w:rsidR="001A62C9" w:rsidRDefault="001A62C9" w:rsidP="00FA7B84">
      <w:pPr>
        <w:spacing w:line="276" w:lineRule="auto"/>
      </w:pPr>
      <w:r>
        <w:t>CF – Cash flow</w:t>
      </w:r>
    </w:p>
    <w:p w:rsidR="001A62C9" w:rsidRDefault="001A62C9" w:rsidP="00FA7B84">
      <w:pPr>
        <w:spacing w:line="276" w:lineRule="auto"/>
      </w:pPr>
      <w:r>
        <w:t>EAT – Čistý zisk</w:t>
      </w:r>
    </w:p>
    <w:p w:rsidR="001A62C9" w:rsidRDefault="001A62C9" w:rsidP="00FA7B84">
      <w:pPr>
        <w:spacing w:line="276" w:lineRule="auto"/>
      </w:pPr>
      <w:r>
        <w:t>EBIT – Zisk před zdaněním a úroky</w:t>
      </w:r>
    </w:p>
    <w:p w:rsidR="001A62C9" w:rsidRPr="00990FB9" w:rsidRDefault="001A62C9" w:rsidP="00FA7B84">
      <w:pPr>
        <w:spacing w:line="276" w:lineRule="auto"/>
      </w:pPr>
      <w:r>
        <w:t>KBÚ – Krátkodobé bankovní úvěry</w:t>
      </w:r>
    </w:p>
    <w:p w:rsidR="001A62C9" w:rsidRDefault="001A62C9" w:rsidP="00FA7B84">
      <w:pPr>
        <w:spacing w:line="276" w:lineRule="auto"/>
      </w:pPr>
      <w:r>
        <w:t>KZ – Krátkodobé závazky</w:t>
      </w:r>
    </w:p>
    <w:p w:rsidR="001A62C9" w:rsidRDefault="001A62C9" w:rsidP="00FA7B84">
      <w:pPr>
        <w:spacing w:line="276" w:lineRule="auto"/>
      </w:pPr>
      <w:r>
        <w:t>ROA – Rentabilita celkového kapitálu</w:t>
      </w:r>
    </w:p>
    <w:p w:rsidR="001A62C9" w:rsidRDefault="001A62C9" w:rsidP="00FA7B84">
      <w:pPr>
        <w:spacing w:line="276" w:lineRule="auto"/>
      </w:pPr>
      <w:r>
        <w:t>ROCE – Rentabilita dlouhodobě investovaného kapitálu</w:t>
      </w:r>
    </w:p>
    <w:p w:rsidR="001A62C9" w:rsidRDefault="001A62C9" w:rsidP="00FA7B84">
      <w:pPr>
        <w:spacing w:line="276" w:lineRule="auto"/>
      </w:pPr>
      <w:r>
        <w:t>ROE - Rentabilita vlastního kapitálu</w:t>
      </w:r>
    </w:p>
    <w:p w:rsidR="001A62C9" w:rsidRDefault="001A62C9" w:rsidP="00FA7B84">
      <w:pPr>
        <w:spacing w:line="276" w:lineRule="auto"/>
      </w:pPr>
      <w:r>
        <w:t>ROS – Rentabilita tržeb</w:t>
      </w:r>
    </w:p>
    <w:p w:rsidR="001A62C9" w:rsidRDefault="001A62C9" w:rsidP="00FA7B84">
      <w:pPr>
        <w:spacing w:line="276" w:lineRule="auto"/>
      </w:pPr>
      <w:r>
        <w:t>VH – Výsledek hospodaření</w:t>
      </w:r>
    </w:p>
    <w:p w:rsidR="002E165F" w:rsidRDefault="007C76CE" w:rsidP="007C76CE">
      <w:pPr>
        <w:spacing w:line="276" w:lineRule="auto"/>
        <w:jc w:val="left"/>
      </w:pPr>
      <w:r>
        <w:br w:type="page"/>
      </w:r>
    </w:p>
    <w:p w:rsidR="002E165F" w:rsidRDefault="002E165F" w:rsidP="00EB538B">
      <w:pPr>
        <w:pStyle w:val="Nadpis1"/>
        <w:numPr>
          <w:ilvl w:val="0"/>
          <w:numId w:val="0"/>
        </w:numPr>
        <w:spacing w:line="276" w:lineRule="auto"/>
      </w:pPr>
      <w:bookmarkStart w:id="82" w:name="_Toc324932920"/>
      <w:r>
        <w:lastRenderedPageBreak/>
        <w:t>Seznam příloh</w:t>
      </w:r>
      <w:bookmarkEnd w:id="82"/>
    </w:p>
    <w:p w:rsidR="00EB538B" w:rsidRDefault="00731DFF" w:rsidP="002E165F">
      <w:pPr>
        <w:spacing w:line="276" w:lineRule="auto"/>
      </w:pPr>
      <w:r>
        <w:fldChar w:fldCharType="begin"/>
      </w:r>
      <w:r w:rsidR="00EB538B">
        <w:instrText xml:space="preserve"> REF _Ref324925313 \h </w:instrText>
      </w:r>
      <w:r>
        <w:fldChar w:fldCharType="separate"/>
      </w:r>
      <w:r w:rsidR="00EB538B">
        <w:t xml:space="preserve">Příloha </w:t>
      </w:r>
      <w:r w:rsidR="00EB538B">
        <w:rPr>
          <w:noProof/>
        </w:rPr>
        <w:t>1</w:t>
      </w:r>
      <w:r w:rsidR="00EB538B">
        <w:t xml:space="preserve">: Aktiva podniku </w:t>
      </w:r>
      <w:proofErr w:type="spellStart"/>
      <w:r w:rsidR="00EB538B">
        <w:t>Dentamed</w:t>
      </w:r>
      <w:proofErr w:type="spellEnd"/>
      <w:r w:rsidR="00EB538B">
        <w:t xml:space="preserve"> s.r.o. za období 2003 - 2010</w:t>
      </w:r>
      <w:r>
        <w:fldChar w:fldCharType="end"/>
      </w:r>
    </w:p>
    <w:p w:rsidR="00EB538B" w:rsidRDefault="00731DFF" w:rsidP="002E165F">
      <w:pPr>
        <w:spacing w:line="276" w:lineRule="auto"/>
      </w:pPr>
      <w:r>
        <w:fldChar w:fldCharType="begin"/>
      </w:r>
      <w:r w:rsidR="00EB538B">
        <w:instrText xml:space="preserve"> REF _Ref324925317 \h </w:instrText>
      </w:r>
      <w:r>
        <w:fldChar w:fldCharType="separate"/>
      </w:r>
      <w:r w:rsidR="00EB538B">
        <w:t xml:space="preserve">Příloha </w:t>
      </w:r>
      <w:r w:rsidR="00EB538B">
        <w:rPr>
          <w:noProof/>
        </w:rPr>
        <w:t>2</w:t>
      </w:r>
      <w:r w:rsidR="00EB538B">
        <w:t xml:space="preserve">: Pasiva podniku </w:t>
      </w:r>
      <w:proofErr w:type="spellStart"/>
      <w:r w:rsidR="00EB538B">
        <w:t>Dentamed</w:t>
      </w:r>
      <w:proofErr w:type="spellEnd"/>
      <w:r w:rsidR="00EB538B">
        <w:t xml:space="preserve"> s.r.o. za období 2003 - 2010</w:t>
      </w:r>
      <w:r>
        <w:fldChar w:fldCharType="end"/>
      </w:r>
    </w:p>
    <w:p w:rsidR="00EB538B" w:rsidRDefault="00731DFF" w:rsidP="002E165F">
      <w:pPr>
        <w:spacing w:line="276" w:lineRule="auto"/>
      </w:pPr>
      <w:r>
        <w:fldChar w:fldCharType="begin"/>
      </w:r>
      <w:r w:rsidR="00EB538B">
        <w:instrText xml:space="preserve"> REF _Ref324925320 \h </w:instrText>
      </w:r>
      <w:r>
        <w:fldChar w:fldCharType="separate"/>
      </w:r>
      <w:r w:rsidR="00EB538B">
        <w:t xml:space="preserve">Příloha </w:t>
      </w:r>
      <w:r w:rsidR="00EB538B">
        <w:rPr>
          <w:noProof/>
        </w:rPr>
        <w:t>3</w:t>
      </w:r>
      <w:r w:rsidR="00EB538B">
        <w:t xml:space="preserve">: Výkaz zisků a ztrát podniku </w:t>
      </w:r>
      <w:proofErr w:type="spellStart"/>
      <w:r w:rsidR="00EB538B">
        <w:t>Dentamed</w:t>
      </w:r>
      <w:proofErr w:type="spellEnd"/>
      <w:r w:rsidR="00EB538B">
        <w:t xml:space="preserve"> s.r.o. za období 2003 - 2010</w:t>
      </w:r>
      <w:r>
        <w:fldChar w:fldCharType="end"/>
      </w:r>
    </w:p>
    <w:p w:rsidR="00AE0C79" w:rsidRDefault="00AE0C79" w:rsidP="00FA7B84">
      <w:pPr>
        <w:spacing w:line="276" w:lineRule="auto"/>
      </w:pPr>
    </w:p>
    <w:p w:rsidR="00AE0C79" w:rsidRDefault="00AE0C79" w:rsidP="00FA7B84">
      <w:pPr>
        <w:pStyle w:val="Titulek"/>
        <w:spacing w:line="276" w:lineRule="auto"/>
        <w:sectPr w:rsidR="00AE0C79">
          <w:footerReference w:type="default" r:id="rId23"/>
          <w:pgSz w:w="11906" w:h="16838"/>
          <w:pgMar w:top="1418" w:right="851" w:bottom="1134" w:left="1985" w:header="709" w:footer="709" w:gutter="0"/>
          <w:cols w:space="708"/>
          <w:docGrid w:linePitch="360"/>
        </w:sectPr>
      </w:pPr>
    </w:p>
    <w:p w:rsidR="00AE0C79" w:rsidRDefault="00A61E00" w:rsidP="00FA7B84">
      <w:pPr>
        <w:pStyle w:val="Titulek"/>
        <w:spacing w:line="276" w:lineRule="auto"/>
      </w:pPr>
      <w:bookmarkStart w:id="83" w:name="_Toc324925129"/>
      <w:bookmarkStart w:id="84" w:name="_Ref324925313"/>
      <w:r>
        <w:lastRenderedPageBreak/>
        <w:t xml:space="preserve">Příloha </w:t>
      </w:r>
      <w:fldSimple w:instr=" SEQ Příloha \* ARABIC ">
        <w:r w:rsidR="00F5284D">
          <w:rPr>
            <w:noProof/>
          </w:rPr>
          <w:t>1</w:t>
        </w:r>
      </w:fldSimple>
      <w:r>
        <w:t>: Aktiva podniku Dentamed s.r.o. za období 2003 - 2010</w:t>
      </w:r>
      <w:bookmarkEnd w:id="83"/>
      <w:bookmarkEnd w:id="84"/>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70" w:type="dxa"/>
          <w:right w:w="70" w:type="dxa"/>
        </w:tblCellMar>
        <w:tblLook w:val="0000"/>
      </w:tblPr>
      <w:tblGrid>
        <w:gridCol w:w="2870"/>
        <w:gridCol w:w="590"/>
        <w:gridCol w:w="590"/>
        <w:gridCol w:w="590"/>
        <w:gridCol w:w="590"/>
        <w:gridCol w:w="680"/>
        <w:gridCol w:w="590"/>
        <w:gridCol w:w="680"/>
        <w:gridCol w:w="680"/>
      </w:tblGrid>
      <w:tr w:rsidR="00AE0C79">
        <w:trPr>
          <w:trHeight w:val="240"/>
        </w:trPr>
        <w:tc>
          <w:tcPr>
            <w:tcW w:w="0" w:type="auto"/>
            <w:shd w:val="clear" w:color="auto" w:fill="8DB3E2" w:themeFill="text2" w:themeFillTint="66"/>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 </w:t>
            </w:r>
          </w:p>
        </w:tc>
        <w:tc>
          <w:tcPr>
            <w:tcW w:w="0" w:type="auto"/>
            <w:shd w:val="clear" w:color="auto" w:fill="8DB3E2" w:themeFill="text2" w:themeFillTint="66"/>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2003</w:t>
            </w:r>
          </w:p>
        </w:tc>
        <w:tc>
          <w:tcPr>
            <w:tcW w:w="0" w:type="auto"/>
            <w:shd w:val="clear" w:color="auto" w:fill="8DB3E2" w:themeFill="text2" w:themeFillTint="66"/>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2004</w:t>
            </w:r>
          </w:p>
        </w:tc>
        <w:tc>
          <w:tcPr>
            <w:tcW w:w="0" w:type="auto"/>
            <w:shd w:val="clear" w:color="auto" w:fill="8DB3E2" w:themeFill="text2" w:themeFillTint="66"/>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2005</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2006</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2007</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2008</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2009</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2010</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AKTIVA CELKEM</w:t>
            </w:r>
          </w:p>
        </w:tc>
        <w:tc>
          <w:tcPr>
            <w:tcW w:w="0" w:type="auto"/>
            <w:shd w:val="clear" w:color="auto" w:fill="C6D9F1" w:themeFill="text2" w:themeFillTint="33"/>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69218</w:t>
            </w:r>
          </w:p>
        </w:tc>
        <w:tc>
          <w:tcPr>
            <w:tcW w:w="0" w:type="auto"/>
            <w:shd w:val="clear" w:color="auto" w:fill="C6D9F1" w:themeFill="text2" w:themeFillTint="33"/>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77851</w:t>
            </w:r>
          </w:p>
        </w:tc>
        <w:tc>
          <w:tcPr>
            <w:tcW w:w="0" w:type="auto"/>
            <w:shd w:val="clear" w:color="auto" w:fill="C6D9F1" w:themeFill="text2" w:themeFillTint="33"/>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68393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71298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cs="Times New Roman"/>
                <w:b/>
                <w:sz w:val="18"/>
                <w:szCs w:val="18"/>
              </w:rPr>
              <w:t>105569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cs="Times New Roman"/>
                <w:b/>
                <w:sz w:val="18"/>
                <w:szCs w:val="18"/>
              </w:rPr>
              <w:t>99361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val="en-US" w:eastAsia="cs-CZ"/>
              </w:rPr>
            </w:pPr>
            <w:r>
              <w:rPr>
                <w:rFonts w:eastAsia="Calibri" w:cs="Times New Roman"/>
                <w:b/>
                <w:sz w:val="18"/>
                <w:szCs w:val="18"/>
                <w:lang w:val="en-US" w:eastAsia="cs-CZ"/>
              </w:rPr>
              <w:t>101167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114966</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Dlouhodobý majetek</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15631</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15294</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16205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4815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1 247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9657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val="en-US" w:eastAsia="cs-CZ"/>
              </w:rPr>
            </w:pPr>
            <w:r>
              <w:rPr>
                <w:rFonts w:eastAsia="Calibri" w:cs="Times New Roman"/>
                <w:b/>
                <w:bCs/>
                <w:sz w:val="18"/>
                <w:szCs w:val="18"/>
                <w:lang w:val="en-US" w:eastAsia="cs-CZ"/>
              </w:rPr>
              <w:t>9169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15102</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Dlouhodobý nehmotný majetek</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277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523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553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386</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247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58</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Software</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277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523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553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386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247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58</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Dlouhodobý hmotný majetek</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15518</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15181</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15928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2266</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6323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9 271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8922</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7044</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Stavby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14350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14350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14965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761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1495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1445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1429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1397</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SMV a soubory movitých věcí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691</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479</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883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1505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4828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7826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7493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5647</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Nedokončený dlouhodobý hmotný m.</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477</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272</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Dlouhodobý finanční majetek</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113</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113</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2026</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6371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8000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Podíly v ovládaných a řízených os.</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113</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113</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2026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6371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Jiný dlouhodobý finanční majetek</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8000</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Oběžná aktiva</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52605</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61365</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50719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65207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sz w:val="18"/>
                <w:szCs w:val="18"/>
              </w:rPr>
              <w:t>90961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sz w:val="18"/>
                <w:szCs w:val="18"/>
              </w:rPr>
              <w:t>89129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val="en-US" w:eastAsia="cs-CZ"/>
              </w:rPr>
            </w:pPr>
            <w:r>
              <w:rPr>
                <w:rFonts w:eastAsia="Calibri" w:cs="Times New Roman"/>
                <w:b/>
                <w:bCs/>
                <w:sz w:val="18"/>
                <w:szCs w:val="18"/>
                <w:lang w:val="en-US" w:eastAsia="cs-CZ"/>
              </w:rPr>
              <w:t>89686</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99674</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Zásoby</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30119</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35346</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val="en-US" w:eastAsia="cs-CZ"/>
              </w:rPr>
            </w:pPr>
            <w:r>
              <w:rPr>
                <w:rFonts w:eastAsia="Calibri" w:cs="Times New Roman"/>
                <w:sz w:val="18"/>
                <w:szCs w:val="18"/>
                <w:lang w:eastAsia="cs-CZ"/>
              </w:rPr>
              <w:t>32987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38365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43815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40682</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47098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51899</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Zboží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30119</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35346</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31988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37849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43517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40682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47098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51899</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Poskytnuté zálohy na zásoby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999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516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298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Dlouhodobé pohledávky</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3060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888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169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415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41</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Jiné pohledávky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3060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Odložená daňová pohledávka</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888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169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415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41</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Krátkodobé pohledávky</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21855</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25271</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11134</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18337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28799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19579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19419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25185</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Pohledávky z obchodních vztahů</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17473</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22485</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8983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15122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16660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13740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15984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21383</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Pohledávky - ovládající a říd. osoba</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479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Pohledávky - podstatný vliv</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4674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Pohledávky za společníky a č. druž.</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1632</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179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Stát - daňové pohledávky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2544</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1064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1078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2418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1018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54</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Krátkodobé poskytnuté zálohy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-328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2768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709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1425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879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1609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val="en-US" w:eastAsia="cs-CZ"/>
              </w:rPr>
            </w:pPr>
            <w:r>
              <w:rPr>
                <w:rFonts w:eastAsia="Calibri" w:cs="Times New Roman"/>
                <w:sz w:val="18"/>
                <w:szCs w:val="18"/>
                <w:lang w:val="en-US" w:eastAsia="cs-CZ"/>
              </w:rPr>
              <w:t>2360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1786</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Dohadné účty aktivní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247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1862</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Jiné pohledávky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534</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378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448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6103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1633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100</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Krátkodobý finanční majetek</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631</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748</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3538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8505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17459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28699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22754</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22549</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Peníze</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134</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125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716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897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184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161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228</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lastRenderedPageBreak/>
              <w:t>Účty v bankách</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497</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730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3413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7789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16562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28515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22593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22321</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Časové rozlišení</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982</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1192</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1469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1276</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sz w:val="18"/>
                <w:szCs w:val="18"/>
              </w:rPr>
              <w:t>1361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sz w:val="18"/>
                <w:szCs w:val="18"/>
              </w:rPr>
              <w:t>575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2312</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190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Náklady příštích období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982</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1047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662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76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190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Komplexní náklady příštích období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157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55"/>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Příjmy příštích období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1192</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422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614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1204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499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2197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bl>
    <w:p w:rsidR="00AE0C79" w:rsidRDefault="00AE0C79" w:rsidP="00FA7B84">
      <w:pPr>
        <w:spacing w:line="276" w:lineRule="auto"/>
      </w:pPr>
    </w:p>
    <w:p w:rsidR="00AE0C79" w:rsidRDefault="00A61E00" w:rsidP="00FA7B84">
      <w:pPr>
        <w:spacing w:line="276" w:lineRule="auto"/>
        <w:jc w:val="left"/>
      </w:pPr>
      <w:r>
        <w:br w:type="page"/>
      </w:r>
    </w:p>
    <w:p w:rsidR="00AE0C79" w:rsidRDefault="00A61E00" w:rsidP="00FA7B84">
      <w:pPr>
        <w:pStyle w:val="Titulek"/>
        <w:keepNext/>
        <w:spacing w:line="276" w:lineRule="auto"/>
      </w:pPr>
      <w:bookmarkStart w:id="85" w:name="_Toc324925130"/>
      <w:bookmarkStart w:id="86" w:name="_Ref324925317"/>
      <w:r>
        <w:lastRenderedPageBreak/>
        <w:t xml:space="preserve">Příloha </w:t>
      </w:r>
      <w:fldSimple w:instr=" SEQ Příloha \* ARABIC ">
        <w:r w:rsidR="00F5284D">
          <w:rPr>
            <w:noProof/>
          </w:rPr>
          <w:t>2</w:t>
        </w:r>
      </w:fldSimple>
      <w:r>
        <w:t>: Pasiva podniku Dentamed s.r.o. za období 2003 - 2010</w:t>
      </w:r>
      <w:bookmarkEnd w:id="85"/>
      <w:bookmarkEnd w:id="86"/>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70" w:type="dxa"/>
          <w:right w:w="70" w:type="dxa"/>
        </w:tblCellMar>
        <w:tblLook w:val="0000"/>
      </w:tblPr>
      <w:tblGrid>
        <w:gridCol w:w="2850"/>
        <w:gridCol w:w="590"/>
        <w:gridCol w:w="590"/>
        <w:gridCol w:w="590"/>
        <w:gridCol w:w="590"/>
        <w:gridCol w:w="725"/>
        <w:gridCol w:w="635"/>
        <w:gridCol w:w="680"/>
        <w:gridCol w:w="680"/>
      </w:tblGrid>
      <w:tr w:rsidR="00AE0C79">
        <w:trPr>
          <w:trHeight w:val="240"/>
        </w:trPr>
        <w:tc>
          <w:tcPr>
            <w:tcW w:w="0" w:type="auto"/>
            <w:shd w:val="clear" w:color="auto" w:fill="8DB3E2" w:themeFill="text2" w:themeFillTint="66"/>
            <w:noWrap/>
            <w:vAlign w:val="bottom"/>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 </w:t>
            </w:r>
          </w:p>
        </w:tc>
        <w:tc>
          <w:tcPr>
            <w:tcW w:w="0" w:type="auto"/>
            <w:shd w:val="clear" w:color="auto" w:fill="8DB3E2" w:themeFill="text2" w:themeFillTint="66"/>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2003</w:t>
            </w:r>
          </w:p>
        </w:tc>
        <w:tc>
          <w:tcPr>
            <w:tcW w:w="0" w:type="auto"/>
            <w:shd w:val="clear" w:color="auto" w:fill="8DB3E2" w:themeFill="text2" w:themeFillTint="66"/>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2004</w:t>
            </w:r>
          </w:p>
        </w:tc>
        <w:tc>
          <w:tcPr>
            <w:tcW w:w="0" w:type="auto"/>
            <w:shd w:val="clear" w:color="auto" w:fill="8DB3E2" w:themeFill="text2" w:themeFillTint="66"/>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2005</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2006</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2007</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2008</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2009</w:t>
            </w:r>
          </w:p>
        </w:tc>
        <w:tc>
          <w:tcPr>
            <w:tcW w:w="0" w:type="auto"/>
            <w:shd w:val="clear" w:color="auto" w:fill="8DB3E2" w:themeFill="text2" w:themeFillTint="66"/>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2010</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PASIVA CELKEM</w:t>
            </w:r>
          </w:p>
        </w:tc>
        <w:tc>
          <w:tcPr>
            <w:tcW w:w="0" w:type="auto"/>
            <w:shd w:val="clear" w:color="auto" w:fill="C6D9F1" w:themeFill="text2" w:themeFillTint="33"/>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69218</w:t>
            </w:r>
          </w:p>
        </w:tc>
        <w:tc>
          <w:tcPr>
            <w:tcW w:w="0" w:type="auto"/>
            <w:shd w:val="clear" w:color="auto" w:fill="C6D9F1" w:themeFill="text2" w:themeFillTint="33"/>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77851</w:t>
            </w:r>
          </w:p>
        </w:tc>
        <w:tc>
          <w:tcPr>
            <w:tcW w:w="0" w:type="auto"/>
            <w:shd w:val="clear" w:color="auto" w:fill="C6D9F1" w:themeFill="text2" w:themeFillTint="33"/>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68393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71298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cs="Times New Roman"/>
                <w:b/>
                <w:sz w:val="18"/>
                <w:szCs w:val="18"/>
              </w:rPr>
              <w:t>105 569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cs="Times New Roman"/>
                <w:b/>
                <w:sz w:val="18"/>
                <w:szCs w:val="18"/>
              </w:rPr>
              <w:t>99 361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101167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sz w:val="18"/>
                <w:szCs w:val="18"/>
                <w:lang w:eastAsia="cs-CZ"/>
              </w:rPr>
            </w:pPr>
            <w:r>
              <w:rPr>
                <w:rFonts w:eastAsia="Calibri" w:cs="Times New Roman"/>
                <w:b/>
                <w:sz w:val="18"/>
                <w:szCs w:val="18"/>
                <w:lang w:eastAsia="cs-CZ"/>
              </w:rPr>
              <w:t>114966</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Vlastní kapitál</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4714</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6176</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2885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7092</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19 955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10 906</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8471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20352</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Základní kapitál</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Základní kapitál</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5 000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Kapitálové fondy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val="en-US" w:eastAsia="cs-CZ"/>
              </w:rPr>
            </w:pPr>
            <w:r>
              <w:rPr>
                <w:rFonts w:eastAsia="Calibri" w:cs="Times New Roman"/>
                <w:sz w:val="18"/>
                <w:szCs w:val="18"/>
                <w:lang w:eastAsia="cs-CZ"/>
              </w:rPr>
              <w:t>-113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-4327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
                <w:iCs/>
                <w:sz w:val="18"/>
                <w:szCs w:val="18"/>
                <w:lang w:eastAsia="cs-CZ"/>
              </w:rPr>
            </w:pPr>
            <w:r>
              <w:rPr>
                <w:rFonts w:eastAsia="Calibri" w:cs="Times New Roman"/>
                <w:i/>
                <w:iCs/>
                <w:sz w:val="18"/>
                <w:szCs w:val="18"/>
                <w:lang w:eastAsia="cs-CZ"/>
              </w:rPr>
              <w:t>Oceňovací rozdíly z přec. maj. a záv.</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-113</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-4327</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Rezervní fondy, neděl. fond a ost. on.</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64</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250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250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250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500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
                <w:iCs/>
                <w:sz w:val="18"/>
                <w:szCs w:val="18"/>
                <w:lang w:eastAsia="cs-CZ"/>
              </w:rPr>
            </w:pPr>
            <w:r>
              <w:rPr>
                <w:rFonts w:eastAsia="Calibri" w:cs="Times New Roman"/>
                <w:i/>
                <w:iCs/>
                <w:sz w:val="18"/>
                <w:szCs w:val="18"/>
                <w:lang w:eastAsia="cs-CZ"/>
              </w:rPr>
              <w:t>Zákonný rezervní fond/neděl.fond</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10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10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86</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86</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cs="Times New Roman"/>
                <w:i/>
                <w:sz w:val="18"/>
                <w:szCs w:val="18"/>
              </w:rPr>
              <w:t>250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cs="Times New Roman"/>
                <w:i/>
                <w:sz w:val="18"/>
                <w:szCs w:val="18"/>
              </w:rPr>
              <w:t>250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250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500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
                <w:iCs/>
                <w:sz w:val="18"/>
                <w:szCs w:val="18"/>
                <w:lang w:eastAsia="cs-CZ"/>
              </w:rPr>
            </w:pPr>
            <w:r>
              <w:rPr>
                <w:rFonts w:eastAsia="Calibri" w:cs="Times New Roman"/>
                <w:i/>
                <w:iCs/>
                <w:sz w:val="18"/>
                <w:szCs w:val="18"/>
                <w:lang w:eastAsia="cs-CZ"/>
              </w:rPr>
              <w:t>Statutární a ostatní fondy</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54</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Výsledek hospodaření minulých let</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3918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4550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5991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-2088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6 169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14 706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2972</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
                <w:iCs/>
                <w:sz w:val="18"/>
                <w:szCs w:val="18"/>
                <w:lang w:eastAsia="cs-CZ"/>
              </w:rPr>
            </w:pPr>
            <w:r>
              <w:rPr>
                <w:rFonts w:eastAsia="Calibri" w:cs="Times New Roman"/>
                <w:i/>
                <w:iCs/>
                <w:sz w:val="18"/>
                <w:szCs w:val="18"/>
                <w:lang w:eastAsia="cs-CZ"/>
              </w:rPr>
              <w:t>Nerozdělený zisk minulých let</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3918</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4550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5991</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cs="Times New Roman"/>
                <w:i/>
                <w:sz w:val="18"/>
                <w:szCs w:val="18"/>
              </w:rPr>
              <w:t>6 169</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cs="Times New Roman"/>
                <w:i/>
                <w:sz w:val="18"/>
                <w:szCs w:val="18"/>
              </w:rPr>
              <w:t>14 706</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2972</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
                <w:iCs/>
                <w:sz w:val="18"/>
                <w:szCs w:val="18"/>
                <w:lang w:eastAsia="cs-CZ"/>
              </w:rPr>
            </w:pPr>
            <w:r>
              <w:rPr>
                <w:rFonts w:eastAsia="Calibri" w:cs="Times New Roman"/>
                <w:i/>
                <w:iCs/>
                <w:sz w:val="18"/>
                <w:szCs w:val="18"/>
                <w:lang w:eastAsia="cs-CZ"/>
              </w:rPr>
              <w:t>Neuhrazená ztráta minulých let</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-2088</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i/>
                <w:sz w:val="18"/>
                <w:szCs w:val="18"/>
                <w:lang w:eastAsia="cs-CZ"/>
              </w:rPr>
            </w:pPr>
            <w:r>
              <w:rPr>
                <w:rFonts w:eastAsia="Calibri" w:cs="Times New Roman"/>
                <w:i/>
                <w:sz w:val="18"/>
                <w:szCs w:val="18"/>
                <w:lang w:eastAsia="cs-CZ"/>
              </w:rPr>
              <w:t>0</w:t>
            </w:r>
          </w:p>
        </w:tc>
      </w:tr>
      <w:tr w:rsidR="00AE0C79">
        <w:trPr>
          <w:trHeight w:val="255"/>
        </w:trPr>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Výsledek hospodaření běž. úč. ob.</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632</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1516</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-8079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8421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8 536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-9 050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3221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11880</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Cizí zdroje</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64410</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71308</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64394</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63468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85 527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88 407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92667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92358</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Rezervy</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4189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6082</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3 978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8 300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7697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955</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Rezerva na daň z příjmů</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1189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2982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Ostatní rezervy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3100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3 978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8 300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7697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955</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Dlouhodobé závazky</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382</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26817</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21092</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24663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22 126</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22 923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39011</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32825</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z obchodních vztahů</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3985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 ovládající a říd. osoba</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13060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11 445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22630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19511</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Jiné závazky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26817</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21092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11584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22 126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11 478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12396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13314</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Odložený daňový závazek</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382</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Krátkodobé závazky</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52028</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32907</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28238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32723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59 423</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57 184</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45959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49943</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z obchodních vztahů</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35100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24332</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20611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19503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23 610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43 915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33017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39851</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 ovládající a říd. osoba</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13343</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4389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19 651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 podstatný vliv</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2803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2798</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ke společ., členům druž.</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35</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k zaměstnancům</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428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638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649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742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575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1 333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1434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1512</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Závazky ze SZ a ZP</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261</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404</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425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472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620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632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737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846</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lastRenderedPageBreak/>
              <w:t>Stát - daňové závazky a dotace</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96</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555</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654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853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3 263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1 649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2136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2188</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Krátkodobé přijaté zálohy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609</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3036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81</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4 335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75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Dohadné účty pasivní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365</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6978</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2670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4399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4 225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3 777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1896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1657</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Jiné závazky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1791</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2284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3 144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5 803</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3850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1091</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Bankovní úvěry a výpomoci</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12000</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11584</w:t>
            </w:r>
          </w:p>
        </w:tc>
        <w:tc>
          <w:tcPr>
            <w:tcW w:w="0" w:type="auto"/>
            <w:shd w:val="clear" w:color="auto" w:fill="C6D9F1" w:themeFill="text2" w:themeFillTint="33"/>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10875</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8635</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Bankovní úvěry dlouhodobé</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10000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9584</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8875</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Krátkodobé bankovní úvěry</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2000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2000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2000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8000</w:t>
            </w:r>
          </w:p>
        </w:tc>
      </w:tr>
      <w:tr w:rsidR="00AE0C79">
        <w:trPr>
          <w:trHeight w:val="255"/>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Krátkodobé finanční výpomoci</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635</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Časové rozlišení</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94</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367</w:t>
            </w:r>
          </w:p>
        </w:tc>
        <w:tc>
          <w:tcPr>
            <w:tcW w:w="0" w:type="auto"/>
            <w:shd w:val="clear" w:color="auto" w:fill="C6D9F1" w:themeFill="text2" w:themeFillTint="33"/>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1114</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738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87</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cs="Times New Roman"/>
                <w:b/>
                <w:sz w:val="18"/>
                <w:szCs w:val="18"/>
              </w:rPr>
              <w:t>48</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29</w:t>
            </w:r>
          </w:p>
        </w:tc>
        <w:tc>
          <w:tcPr>
            <w:tcW w:w="0" w:type="auto"/>
            <w:shd w:val="clear" w:color="auto" w:fill="C6D9F1" w:themeFill="text2" w:themeFillTint="33"/>
            <w:noWrap/>
            <w:vAlign w:val="bottom"/>
          </w:tcPr>
          <w:p w:rsidR="00AE0C79" w:rsidRDefault="00A61E00" w:rsidP="00FA7B84">
            <w:pPr>
              <w:spacing w:line="276" w:lineRule="auto"/>
              <w:rPr>
                <w:rFonts w:eastAsia="Calibri" w:cs="Times New Roman"/>
                <w:b/>
                <w:bCs/>
                <w:sz w:val="18"/>
                <w:szCs w:val="18"/>
                <w:lang w:eastAsia="cs-CZ"/>
              </w:rPr>
            </w:pPr>
            <w:r>
              <w:rPr>
                <w:rFonts w:eastAsia="Calibri" w:cs="Times New Roman"/>
                <w:b/>
                <w:bCs/>
                <w:sz w:val="18"/>
                <w:szCs w:val="18"/>
                <w:lang w:eastAsia="cs-CZ"/>
              </w:rPr>
              <w:t>2256</w:t>
            </w:r>
          </w:p>
        </w:tc>
      </w:tr>
      <w:tr w:rsidR="00AE0C79">
        <w:trPr>
          <w:trHeight w:val="240"/>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Výdaje příštích období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94</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367</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1114</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706</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87</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cs="Times New Roman"/>
                <w:sz w:val="18"/>
                <w:szCs w:val="18"/>
              </w:rPr>
              <w:t>48</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29</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2218</w:t>
            </w:r>
          </w:p>
        </w:tc>
      </w:tr>
      <w:tr w:rsidR="00AE0C79">
        <w:trPr>
          <w:trHeight w:val="255"/>
        </w:trPr>
        <w:tc>
          <w:tcPr>
            <w:tcW w:w="0" w:type="auto"/>
            <w:shd w:val="clear" w:color="auto" w:fill="auto"/>
            <w:noWrap/>
            <w:vAlign w:val="bottom"/>
          </w:tcPr>
          <w:p w:rsidR="00AE0C79" w:rsidRDefault="00A61E00" w:rsidP="00FA7B84">
            <w:pPr>
              <w:spacing w:line="276" w:lineRule="auto"/>
              <w:rPr>
                <w:rFonts w:eastAsia="Calibri" w:cs="Times New Roman"/>
                <w:iCs/>
                <w:sz w:val="18"/>
                <w:szCs w:val="18"/>
                <w:lang w:eastAsia="cs-CZ"/>
              </w:rPr>
            </w:pPr>
            <w:r>
              <w:rPr>
                <w:rFonts w:eastAsia="Calibri" w:cs="Times New Roman"/>
                <w:iCs/>
                <w:sz w:val="18"/>
                <w:szCs w:val="18"/>
                <w:lang w:eastAsia="cs-CZ"/>
              </w:rPr>
              <w:t>Výnosy příštích období</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32</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eastAsia="Calibri" w:cs="Times New Roman"/>
                <w:sz w:val="18"/>
                <w:szCs w:val="18"/>
                <w:lang w:eastAsia="cs-CZ"/>
              </w:rPr>
            </w:pPr>
            <w:r>
              <w:rPr>
                <w:rFonts w:eastAsia="Calibri" w:cs="Times New Roman"/>
                <w:sz w:val="18"/>
                <w:szCs w:val="18"/>
                <w:lang w:eastAsia="cs-CZ"/>
              </w:rPr>
              <w:t>0</w:t>
            </w:r>
          </w:p>
        </w:tc>
        <w:tc>
          <w:tcPr>
            <w:tcW w:w="0" w:type="auto"/>
            <w:shd w:val="clear" w:color="auto" w:fill="auto"/>
            <w:noWrap/>
            <w:vAlign w:val="bottom"/>
          </w:tcPr>
          <w:p w:rsidR="00AE0C79" w:rsidRDefault="00A61E00" w:rsidP="00FA7B84">
            <w:pPr>
              <w:keepNext/>
              <w:spacing w:line="276" w:lineRule="auto"/>
              <w:rPr>
                <w:rFonts w:eastAsia="Calibri" w:cs="Times New Roman"/>
                <w:sz w:val="18"/>
                <w:szCs w:val="18"/>
                <w:lang w:eastAsia="cs-CZ"/>
              </w:rPr>
            </w:pPr>
            <w:r>
              <w:rPr>
                <w:rFonts w:eastAsia="Calibri" w:cs="Times New Roman"/>
                <w:sz w:val="18"/>
                <w:szCs w:val="18"/>
                <w:lang w:eastAsia="cs-CZ"/>
              </w:rPr>
              <w:t>38</w:t>
            </w:r>
          </w:p>
        </w:tc>
      </w:tr>
    </w:tbl>
    <w:p w:rsidR="00AE0C79" w:rsidRDefault="00AE0C79" w:rsidP="00FA7B84">
      <w:pPr>
        <w:pStyle w:val="Titulek"/>
        <w:spacing w:line="276" w:lineRule="auto"/>
      </w:pPr>
    </w:p>
    <w:p w:rsidR="00AE0C79" w:rsidRDefault="00A61E00" w:rsidP="00FA7B84">
      <w:pPr>
        <w:spacing w:line="276" w:lineRule="auto"/>
        <w:jc w:val="left"/>
      </w:pPr>
      <w:r>
        <w:br w:type="page"/>
      </w:r>
    </w:p>
    <w:p w:rsidR="00AE0C79" w:rsidRDefault="00A61E00" w:rsidP="00FA7B84">
      <w:pPr>
        <w:pStyle w:val="Titulek"/>
        <w:keepNext/>
        <w:spacing w:line="276" w:lineRule="auto"/>
      </w:pPr>
      <w:bookmarkStart w:id="87" w:name="_Toc324925131"/>
      <w:bookmarkStart w:id="88" w:name="_Ref324925320"/>
      <w:r>
        <w:lastRenderedPageBreak/>
        <w:t xml:space="preserve">Příloha </w:t>
      </w:r>
      <w:fldSimple w:instr=" SEQ Příloha \* ARABIC ">
        <w:r w:rsidR="00F5284D">
          <w:rPr>
            <w:noProof/>
          </w:rPr>
          <w:t>3</w:t>
        </w:r>
      </w:fldSimple>
      <w:r>
        <w:t>: Výkaz zisků a ztrát podniku Dentamed s.r.o. za období 2003 - 2010</w:t>
      </w:r>
      <w:bookmarkEnd w:id="87"/>
      <w:bookmarkEnd w:id="88"/>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tblPr>
      <w:tblGrid>
        <w:gridCol w:w="2916"/>
        <w:gridCol w:w="680"/>
        <w:gridCol w:w="680"/>
        <w:gridCol w:w="680"/>
        <w:gridCol w:w="680"/>
        <w:gridCol w:w="725"/>
        <w:gridCol w:w="725"/>
        <w:gridCol w:w="680"/>
        <w:gridCol w:w="680"/>
      </w:tblGrid>
      <w:tr w:rsidR="00AE0C79">
        <w:trPr>
          <w:trHeight w:val="240"/>
        </w:trPr>
        <w:tc>
          <w:tcPr>
            <w:tcW w:w="0" w:type="auto"/>
            <w:shd w:val="clear" w:color="auto" w:fill="8DB3E2" w:themeFill="text2" w:themeFillTint="66"/>
            <w:noWrap/>
            <w:vAlign w:val="bottom"/>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 </w:t>
            </w:r>
          </w:p>
        </w:tc>
        <w:tc>
          <w:tcPr>
            <w:tcW w:w="0" w:type="auto"/>
            <w:shd w:val="clear" w:color="auto" w:fill="8DB3E2" w:themeFill="text2" w:themeFillTint="66"/>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2003</w:t>
            </w:r>
          </w:p>
        </w:tc>
        <w:tc>
          <w:tcPr>
            <w:tcW w:w="0" w:type="auto"/>
            <w:shd w:val="clear" w:color="auto" w:fill="8DB3E2" w:themeFill="text2" w:themeFillTint="66"/>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2004</w:t>
            </w:r>
          </w:p>
        </w:tc>
        <w:tc>
          <w:tcPr>
            <w:tcW w:w="0" w:type="auto"/>
            <w:shd w:val="clear" w:color="auto" w:fill="8DB3E2" w:themeFill="text2" w:themeFillTint="66"/>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2005</w:t>
            </w:r>
          </w:p>
        </w:tc>
        <w:tc>
          <w:tcPr>
            <w:tcW w:w="0" w:type="auto"/>
            <w:shd w:val="clear" w:color="auto" w:fill="8DB3E2" w:themeFill="text2" w:themeFillTint="66"/>
            <w:noWrap/>
            <w:vAlign w:val="bottom"/>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2006</w:t>
            </w:r>
          </w:p>
        </w:tc>
        <w:tc>
          <w:tcPr>
            <w:tcW w:w="0" w:type="auto"/>
            <w:shd w:val="clear" w:color="auto" w:fill="8DB3E2" w:themeFill="text2" w:themeFillTint="66"/>
            <w:noWrap/>
            <w:vAlign w:val="bottom"/>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2007</w:t>
            </w:r>
          </w:p>
        </w:tc>
        <w:tc>
          <w:tcPr>
            <w:tcW w:w="0" w:type="auto"/>
            <w:shd w:val="clear" w:color="auto" w:fill="8DB3E2" w:themeFill="text2" w:themeFillTint="66"/>
            <w:noWrap/>
            <w:vAlign w:val="bottom"/>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2008</w:t>
            </w:r>
          </w:p>
        </w:tc>
        <w:tc>
          <w:tcPr>
            <w:tcW w:w="0" w:type="auto"/>
            <w:shd w:val="clear" w:color="auto" w:fill="8DB3E2" w:themeFill="text2" w:themeFillTint="66"/>
            <w:noWrap/>
            <w:vAlign w:val="bottom"/>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2009</w:t>
            </w:r>
          </w:p>
        </w:tc>
        <w:tc>
          <w:tcPr>
            <w:tcW w:w="0" w:type="auto"/>
            <w:shd w:val="clear" w:color="auto" w:fill="8DB3E2" w:themeFill="text2" w:themeFillTint="66"/>
            <w:noWrap/>
            <w:vAlign w:val="bottom"/>
          </w:tcPr>
          <w:p w:rsidR="00AE0C79" w:rsidRDefault="00A61E00" w:rsidP="00FA7B84">
            <w:pPr>
              <w:spacing w:line="276" w:lineRule="auto"/>
              <w:rPr>
                <w:rFonts w:cs="Times New Roman"/>
                <w:b/>
                <w:bCs/>
                <w:sz w:val="18"/>
                <w:szCs w:val="18"/>
                <w:lang w:eastAsia="cs-CZ"/>
              </w:rPr>
            </w:pPr>
            <w:r>
              <w:rPr>
                <w:rFonts w:cs="Times New Roman"/>
                <w:b/>
                <w:bCs/>
                <w:sz w:val="18"/>
                <w:szCs w:val="18"/>
                <w:lang w:eastAsia="cs-CZ"/>
              </w:rPr>
              <w:t>2010</w:t>
            </w:r>
          </w:p>
        </w:tc>
      </w:tr>
      <w:tr w:rsidR="00AE0C79">
        <w:trPr>
          <w:trHeight w:val="255"/>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Tržby za prodej zboží</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133047</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167398</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160448</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191137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244 933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245 497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269579</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271401</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Náklady vynaložené na prodej zboží</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98372</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121122</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113932</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129891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164 400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160 174</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182767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182441</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Obchodní marže</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34675</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46276</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46516</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61246</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80 533</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85 323</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86812</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88960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Výkony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5189</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8470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6181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6075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5 116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5 146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8387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8699</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Tržby za prodej vl. výkonů a služeb</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5189</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8470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6181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6075</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5 116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5 146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8387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8699</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Výkonová spotřeba</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29452</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36370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36514</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37377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49 645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44 131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51325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53606</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Spotřeba materiálu a energie</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1487</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1696</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3779</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2240</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2 501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3 093</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3527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3047</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Služby</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27965</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34674</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32735</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35137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47 144</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41 038</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47798</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50559</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Přidaná hodnota</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10412</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18376</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16183</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29944</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36 004</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46 338</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43874</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44053</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Osobní náklady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8776</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12472</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14765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15665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18 900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29 484</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31261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29268</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Mzdové náklady</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6397</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9091</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10587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11098</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13 516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22 084</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24325</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21119</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Náklady na SZ a ZP</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2177</w:t>
            </w:r>
          </w:p>
        </w:tc>
        <w:tc>
          <w:tcPr>
            <w:tcW w:w="0" w:type="auto"/>
            <w:shd w:val="clear" w:color="auto" w:fill="auto"/>
          </w:tcPr>
          <w:p w:rsidR="00AE0C79" w:rsidRDefault="00A61E00" w:rsidP="00FA7B84">
            <w:pPr>
              <w:spacing w:line="276" w:lineRule="auto"/>
              <w:rPr>
                <w:rFonts w:cs="Times New Roman"/>
                <w:i/>
                <w:sz w:val="18"/>
                <w:szCs w:val="18"/>
                <w:lang w:val="en-US" w:eastAsia="cs-CZ"/>
              </w:rPr>
            </w:pPr>
            <w:r>
              <w:rPr>
                <w:rFonts w:cs="Times New Roman"/>
                <w:i/>
                <w:sz w:val="18"/>
                <w:szCs w:val="18"/>
                <w:lang w:eastAsia="cs-CZ"/>
              </w:rPr>
              <w:t>3099</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3659</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3806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4 613</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6 349</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6753</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7106</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Sociální náklady</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202</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282</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519</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761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771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1 051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1183</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1043</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Daně a poplatky</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31</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33</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46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86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86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654</w:t>
            </w:r>
          </w:p>
        </w:tc>
        <w:tc>
          <w:tcPr>
            <w:tcW w:w="0" w:type="auto"/>
            <w:shd w:val="clear" w:color="auto" w:fill="auto"/>
            <w:noWrap/>
            <w:vAlign w:val="bottom"/>
          </w:tcPr>
          <w:p w:rsidR="00AE0C79" w:rsidRDefault="00A61E00" w:rsidP="00FA7B84">
            <w:pPr>
              <w:spacing w:line="276" w:lineRule="auto"/>
              <w:rPr>
                <w:rFonts w:cs="Times New Roman"/>
                <w:i/>
                <w:sz w:val="18"/>
                <w:szCs w:val="18"/>
                <w:lang w:val="en-US" w:eastAsia="cs-CZ"/>
              </w:rPr>
            </w:pPr>
            <w:r>
              <w:rPr>
                <w:rFonts w:cs="Times New Roman"/>
                <w:i/>
                <w:sz w:val="18"/>
                <w:szCs w:val="18"/>
                <w:lang w:eastAsia="cs-CZ"/>
              </w:rPr>
              <w:t>-</w:t>
            </w:r>
            <w:r>
              <w:rPr>
                <w:rFonts w:cs="Times New Roman"/>
                <w:i/>
                <w:sz w:val="18"/>
                <w:szCs w:val="18"/>
                <w:lang w:val="en-US" w:eastAsia="cs-CZ"/>
              </w:rPr>
              <w:t>15</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76</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Odpisy DNM a DHM</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161</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296</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584</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702</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1 393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2 766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2681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2558</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Tržby z prodeje DM a materiálu</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50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74</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410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14746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1 013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574</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303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217</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Tržby z prodeje DM</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50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74</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410</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14697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1 013</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574</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303</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217</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Tržby z prodeje materiálu</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49</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Zůstatková cena prodaného DM a m.</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26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14607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781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345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51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219</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Zůstatková cena prodaného DM</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26</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14607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781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345</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51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219</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Změna stavu rezerv a opr. pol. pr. Č.</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-7309</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-141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+658</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-4 415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+605</w:t>
            </w:r>
          </w:p>
        </w:tc>
        <w:tc>
          <w:tcPr>
            <w:tcW w:w="0" w:type="auto"/>
            <w:shd w:val="clear" w:color="auto" w:fill="auto"/>
            <w:noWrap/>
            <w:vAlign w:val="bottom"/>
          </w:tcPr>
          <w:p w:rsidR="00AE0C79" w:rsidRDefault="00A61E00" w:rsidP="00FA7B84">
            <w:pPr>
              <w:spacing w:line="276" w:lineRule="auto"/>
              <w:rPr>
                <w:rFonts w:cs="Times New Roman"/>
                <w:sz w:val="18"/>
                <w:szCs w:val="18"/>
                <w:lang w:val="en-US" w:eastAsia="cs-CZ"/>
              </w:rPr>
            </w:pPr>
            <w:r>
              <w:rPr>
                <w:rFonts w:cs="Times New Roman"/>
                <w:sz w:val="18"/>
                <w:szCs w:val="18"/>
                <w:lang w:eastAsia="cs-CZ"/>
              </w:rPr>
              <w:t>+</w:t>
            </w:r>
            <w:r>
              <w:rPr>
                <w:rFonts w:cs="Times New Roman"/>
                <w:sz w:val="18"/>
                <w:szCs w:val="18"/>
                <w:lang w:val="en-US" w:eastAsia="cs-CZ"/>
              </w:rPr>
              <w:t>1031</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Ostatní provozní výnosy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53</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359</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1957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360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508</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863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444</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5267</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Ostatní provozní náklady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301</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497</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2685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1017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3 561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2 157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1550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758</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Provozní výsledek hospodaření</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1246</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5511</w:t>
            </w:r>
          </w:p>
        </w:tc>
        <w:tc>
          <w:tcPr>
            <w:tcW w:w="0" w:type="auto"/>
            <w:shd w:val="clear" w:color="auto" w:fill="C6D9F1" w:themeFill="text2" w:themeFillTint="33"/>
          </w:tcPr>
          <w:p w:rsidR="00AE0C79" w:rsidRDefault="00A61E00" w:rsidP="00FA7B84">
            <w:pPr>
              <w:spacing w:line="276" w:lineRule="auto"/>
              <w:rPr>
                <w:rFonts w:cs="Times New Roman"/>
                <w:b/>
                <w:sz w:val="18"/>
                <w:szCs w:val="18"/>
                <w:lang w:val="en-US" w:eastAsia="cs-CZ"/>
              </w:rPr>
            </w:pPr>
            <w:r>
              <w:rPr>
                <w:rFonts w:cs="Times New Roman"/>
                <w:b/>
                <w:sz w:val="18"/>
                <w:szCs w:val="18"/>
                <w:lang w:eastAsia="cs-CZ"/>
              </w:rPr>
              <w:t>-</w:t>
            </w:r>
            <w:r>
              <w:rPr>
                <w:rFonts w:cs="Times New Roman"/>
                <w:b/>
                <w:sz w:val="18"/>
                <w:szCs w:val="18"/>
                <w:lang w:val="en-US" w:eastAsia="cs-CZ"/>
              </w:rPr>
              <w:t>6865</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12832</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13 462</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7 954</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7488</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17689</w:t>
            </w:r>
          </w:p>
        </w:tc>
      </w:tr>
      <w:tr w:rsidR="00AE0C79">
        <w:trPr>
          <w:trHeight w:val="255"/>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Tržby z prodeje CP a podílů</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1 313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Prodané cenné papíry a podíly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114</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6 373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Výnosové úroky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5</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32</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20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172</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Nákladové úroky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121</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318</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793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2186</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2 127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3 027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2940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2862</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Ostatní finanční výnosy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653</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1069</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2453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2458</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3 022</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2 931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3408</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2762</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lastRenderedPageBreak/>
              <w:t>Ostatní finanční náklady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1807</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1315</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1705</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1712</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2 511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4 753</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3801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2657</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Finanční výsledek hospodaření</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-1270</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-532</w:t>
            </w:r>
          </w:p>
        </w:tc>
        <w:tc>
          <w:tcPr>
            <w:tcW w:w="0" w:type="auto"/>
            <w:shd w:val="clear" w:color="auto" w:fill="C6D9F1" w:themeFill="text2" w:themeFillTint="33"/>
          </w:tcPr>
          <w:p w:rsidR="00AE0C79" w:rsidRDefault="00A61E00" w:rsidP="00FA7B84">
            <w:pPr>
              <w:spacing w:line="276" w:lineRule="auto"/>
              <w:rPr>
                <w:rFonts w:cs="Times New Roman"/>
                <w:b/>
                <w:sz w:val="18"/>
                <w:szCs w:val="18"/>
                <w:lang w:val="en-US" w:eastAsia="cs-CZ"/>
              </w:rPr>
            </w:pPr>
            <w:r>
              <w:rPr>
                <w:rFonts w:cs="Times New Roman"/>
                <w:b/>
                <w:sz w:val="18"/>
                <w:szCs w:val="18"/>
                <w:lang w:eastAsia="cs-CZ"/>
              </w:rPr>
              <w:t>-</w:t>
            </w:r>
            <w:r>
              <w:rPr>
                <w:rFonts w:cs="Times New Roman"/>
                <w:b/>
                <w:sz w:val="18"/>
                <w:szCs w:val="18"/>
                <w:lang w:val="en-US" w:eastAsia="cs-CZ"/>
              </w:rPr>
              <w:t>25</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val="en-US" w:eastAsia="cs-CZ"/>
              </w:rPr>
            </w:pPr>
            <w:r>
              <w:rPr>
                <w:rFonts w:cs="Times New Roman"/>
                <w:b/>
                <w:sz w:val="18"/>
                <w:szCs w:val="18"/>
                <w:lang w:eastAsia="cs-CZ"/>
              </w:rPr>
              <w:t>-</w:t>
            </w:r>
            <w:r>
              <w:rPr>
                <w:rFonts w:cs="Times New Roman"/>
                <w:b/>
                <w:sz w:val="18"/>
                <w:szCs w:val="18"/>
                <w:lang w:val="en-US" w:eastAsia="cs-CZ"/>
              </w:rPr>
              <w:t>1414</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-1 726</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-9 906</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val="en-US" w:eastAsia="cs-CZ"/>
              </w:rPr>
            </w:pPr>
            <w:r>
              <w:rPr>
                <w:rFonts w:cs="Times New Roman"/>
                <w:b/>
                <w:sz w:val="18"/>
                <w:szCs w:val="18"/>
                <w:lang w:eastAsia="cs-CZ"/>
              </w:rPr>
              <w:t>-</w:t>
            </w:r>
            <w:r>
              <w:rPr>
                <w:rFonts w:cs="Times New Roman"/>
                <w:b/>
                <w:sz w:val="18"/>
                <w:szCs w:val="18"/>
                <w:lang w:val="en-US" w:eastAsia="cs-CZ"/>
              </w:rPr>
              <w:t>3327</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val="en-US" w:eastAsia="cs-CZ"/>
              </w:rPr>
            </w:pPr>
            <w:r>
              <w:rPr>
                <w:rFonts w:cs="Times New Roman"/>
                <w:b/>
                <w:sz w:val="18"/>
                <w:szCs w:val="18"/>
                <w:lang w:eastAsia="cs-CZ"/>
              </w:rPr>
              <w:t>-</w:t>
            </w:r>
            <w:r>
              <w:rPr>
                <w:rFonts w:cs="Times New Roman"/>
                <w:b/>
                <w:sz w:val="18"/>
                <w:szCs w:val="18"/>
                <w:lang w:val="en-US" w:eastAsia="cs-CZ"/>
              </w:rPr>
              <w:t>2585</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Daň z příjmů za běžnou činnost</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1559</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1189</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2997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3 200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1 871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940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3224</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Splatná</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1559</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1189</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2978</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4 107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1 871</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1187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2850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i/>
                <w:iCs/>
                <w:sz w:val="18"/>
                <w:szCs w:val="18"/>
                <w:lang w:eastAsia="cs-CZ"/>
              </w:rPr>
            </w:pPr>
            <w:r>
              <w:rPr>
                <w:rFonts w:cs="Times New Roman"/>
                <w:i/>
                <w:iCs/>
                <w:sz w:val="18"/>
                <w:szCs w:val="18"/>
                <w:lang w:eastAsia="cs-CZ"/>
              </w:rPr>
              <w:t>Odložená</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19</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rPr>
              <w:t>-907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i/>
                <w:sz w:val="18"/>
                <w:szCs w:val="18"/>
                <w:lang w:val="en-US" w:eastAsia="cs-CZ"/>
              </w:rPr>
            </w:pPr>
            <w:r>
              <w:rPr>
                <w:rFonts w:cs="Times New Roman"/>
                <w:i/>
                <w:sz w:val="18"/>
                <w:szCs w:val="18"/>
                <w:lang w:eastAsia="cs-CZ"/>
              </w:rPr>
              <w:t>-</w:t>
            </w:r>
            <w:r>
              <w:rPr>
                <w:rFonts w:cs="Times New Roman"/>
                <w:i/>
                <w:sz w:val="18"/>
                <w:szCs w:val="18"/>
                <w:lang w:val="en-US" w:eastAsia="cs-CZ"/>
              </w:rPr>
              <w:t>247</w:t>
            </w:r>
          </w:p>
        </w:tc>
        <w:tc>
          <w:tcPr>
            <w:tcW w:w="0" w:type="auto"/>
            <w:shd w:val="clear" w:color="auto" w:fill="auto"/>
            <w:noWrap/>
            <w:vAlign w:val="bottom"/>
          </w:tcPr>
          <w:p w:rsidR="00AE0C79" w:rsidRDefault="00A61E00" w:rsidP="00FA7B84">
            <w:pPr>
              <w:spacing w:line="276" w:lineRule="auto"/>
              <w:rPr>
                <w:rFonts w:cs="Times New Roman"/>
                <w:i/>
                <w:sz w:val="18"/>
                <w:szCs w:val="18"/>
                <w:lang w:eastAsia="cs-CZ"/>
              </w:rPr>
            </w:pPr>
            <w:r>
              <w:rPr>
                <w:rFonts w:cs="Times New Roman"/>
                <w:i/>
                <w:sz w:val="18"/>
                <w:szCs w:val="18"/>
                <w:lang w:eastAsia="cs-CZ"/>
              </w:rPr>
              <w:t>374</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Výsledek hospodaření za bežnou č.</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-24</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3420</w:t>
            </w:r>
          </w:p>
        </w:tc>
        <w:tc>
          <w:tcPr>
            <w:tcW w:w="0" w:type="auto"/>
            <w:shd w:val="clear" w:color="auto" w:fill="C6D9F1" w:themeFill="text2" w:themeFillTint="33"/>
          </w:tcPr>
          <w:p w:rsidR="00AE0C79" w:rsidRDefault="00A61E00" w:rsidP="00FA7B84">
            <w:pPr>
              <w:spacing w:line="276" w:lineRule="auto"/>
              <w:rPr>
                <w:rFonts w:cs="Times New Roman"/>
                <w:b/>
                <w:sz w:val="18"/>
                <w:szCs w:val="18"/>
                <w:lang w:val="en-US" w:eastAsia="cs-CZ"/>
              </w:rPr>
            </w:pPr>
            <w:r>
              <w:rPr>
                <w:rFonts w:cs="Times New Roman"/>
                <w:b/>
                <w:sz w:val="18"/>
                <w:szCs w:val="18"/>
                <w:lang w:eastAsia="cs-CZ"/>
              </w:rPr>
              <w:t>-</w:t>
            </w:r>
            <w:r>
              <w:rPr>
                <w:rFonts w:cs="Times New Roman"/>
                <w:b/>
                <w:sz w:val="18"/>
                <w:szCs w:val="18"/>
                <w:lang w:val="en-US" w:eastAsia="cs-CZ"/>
              </w:rPr>
              <w:t>8079</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8421</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8 536</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-3 823</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3221</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11880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Mimořádné výnosy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656</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61</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Mimořádné náklady</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1904</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5 288</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r>
      <w:tr w:rsidR="00AE0C79">
        <w:trPr>
          <w:trHeight w:val="240"/>
        </w:trPr>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Mimořádný výsledek hospodaření</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656</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-1904</w:t>
            </w:r>
          </w:p>
        </w:tc>
        <w:tc>
          <w:tcPr>
            <w:tcW w:w="0" w:type="auto"/>
            <w:shd w:val="clear" w:color="auto" w:fill="auto"/>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rPr>
              <w:t>-5 227</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c>
          <w:tcPr>
            <w:tcW w:w="0" w:type="auto"/>
            <w:shd w:val="clear" w:color="auto" w:fill="auto"/>
            <w:noWrap/>
            <w:vAlign w:val="bottom"/>
          </w:tcPr>
          <w:p w:rsidR="00AE0C79" w:rsidRDefault="00A61E00" w:rsidP="00FA7B84">
            <w:pPr>
              <w:spacing w:line="276" w:lineRule="auto"/>
              <w:rPr>
                <w:rFonts w:cs="Times New Roman"/>
                <w:sz w:val="18"/>
                <w:szCs w:val="18"/>
                <w:lang w:eastAsia="cs-CZ"/>
              </w:rPr>
            </w:pPr>
            <w:r>
              <w:rPr>
                <w:rFonts w:cs="Times New Roman"/>
                <w:sz w:val="18"/>
                <w:szCs w:val="18"/>
                <w:lang w:eastAsia="cs-CZ"/>
              </w:rPr>
              <w:t>0</w:t>
            </w:r>
          </w:p>
        </w:tc>
      </w:tr>
      <w:tr w:rsidR="00AE0C79">
        <w:trPr>
          <w:trHeight w:val="240"/>
        </w:trPr>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VH za účetní období</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632</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1516</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w:t>
            </w:r>
            <w:r>
              <w:rPr>
                <w:rFonts w:cs="Times New Roman"/>
                <w:b/>
                <w:sz w:val="18"/>
                <w:szCs w:val="18"/>
                <w:lang w:val="en-US" w:eastAsia="cs-CZ"/>
              </w:rPr>
              <w:t>8079</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8421</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8 536</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-9 050</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3221</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11880</w:t>
            </w:r>
          </w:p>
        </w:tc>
      </w:tr>
      <w:tr w:rsidR="00AE0C79">
        <w:trPr>
          <w:trHeight w:val="255"/>
        </w:trPr>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VH za účetní období před zdaněním</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632</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3075</w:t>
            </w:r>
          </w:p>
        </w:tc>
        <w:tc>
          <w:tcPr>
            <w:tcW w:w="0" w:type="auto"/>
            <w:shd w:val="clear" w:color="auto" w:fill="C6D9F1" w:themeFill="text2" w:themeFillTint="33"/>
          </w:tcPr>
          <w:p w:rsidR="00AE0C79" w:rsidRDefault="00A61E00" w:rsidP="00FA7B84">
            <w:pPr>
              <w:spacing w:line="276" w:lineRule="auto"/>
              <w:rPr>
                <w:rFonts w:cs="Times New Roman"/>
                <w:b/>
                <w:sz w:val="18"/>
                <w:szCs w:val="18"/>
                <w:lang w:eastAsia="cs-CZ"/>
              </w:rPr>
            </w:pPr>
            <w:r>
              <w:rPr>
                <w:rFonts w:cs="Times New Roman"/>
                <w:b/>
                <w:sz w:val="18"/>
                <w:szCs w:val="18"/>
                <w:lang w:eastAsia="cs-CZ"/>
              </w:rPr>
              <w:t>-</w:t>
            </w:r>
            <w:r>
              <w:rPr>
                <w:rFonts w:cs="Times New Roman"/>
                <w:b/>
                <w:sz w:val="18"/>
                <w:szCs w:val="18"/>
                <w:lang w:val="en-US" w:eastAsia="cs-CZ"/>
              </w:rPr>
              <w:t>6890</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11418</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11 736</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rPr>
              <w:t>-7 179</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4161</w:t>
            </w:r>
          </w:p>
        </w:tc>
        <w:tc>
          <w:tcPr>
            <w:tcW w:w="0" w:type="auto"/>
            <w:shd w:val="clear" w:color="auto" w:fill="C6D9F1" w:themeFill="text2" w:themeFillTint="33"/>
            <w:noWrap/>
            <w:vAlign w:val="bottom"/>
          </w:tcPr>
          <w:p w:rsidR="00AE0C79" w:rsidRDefault="00A61E00" w:rsidP="00FA7B84">
            <w:pPr>
              <w:spacing w:line="276" w:lineRule="auto"/>
              <w:rPr>
                <w:rFonts w:cs="Times New Roman"/>
                <w:b/>
                <w:sz w:val="18"/>
                <w:szCs w:val="18"/>
                <w:lang w:eastAsia="cs-CZ"/>
              </w:rPr>
            </w:pPr>
            <w:r>
              <w:rPr>
                <w:rFonts w:cs="Times New Roman"/>
                <w:b/>
                <w:sz w:val="18"/>
                <w:szCs w:val="18"/>
                <w:lang w:eastAsia="cs-CZ"/>
              </w:rPr>
              <w:t>15104</w:t>
            </w:r>
          </w:p>
        </w:tc>
      </w:tr>
    </w:tbl>
    <w:p w:rsidR="00AE0C79" w:rsidRDefault="00AE0C79" w:rsidP="00FA7B84">
      <w:pPr>
        <w:spacing w:line="276" w:lineRule="auto"/>
      </w:pPr>
    </w:p>
    <w:sectPr w:rsidR="00AE0C79" w:rsidSect="00AE0C79">
      <w:footerReference w:type="default" r:id="rId24"/>
      <w:pgSz w:w="11906" w:h="16838"/>
      <w:pgMar w:top="1418" w:right="851"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434" w:rsidRDefault="00904434">
      <w:pPr>
        <w:spacing w:after="0"/>
      </w:pPr>
      <w:r>
        <w:separator/>
      </w:r>
    </w:p>
  </w:endnote>
  <w:endnote w:type="continuationSeparator" w:id="0">
    <w:p w:rsidR="00904434" w:rsidRDefault="0090443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81" w:rsidRDefault="00A57781">
    <w:pPr>
      <w:pStyle w:val="Zpat"/>
      <w:rPr>
        <w:rStyle w:val="slostrnky"/>
      </w:rPr>
    </w:pPr>
    <w:r>
      <w:rPr>
        <w:rStyle w:val="slostrnky"/>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59848"/>
      <w:docPartObj>
        <w:docPartGallery w:val="Page Numbers (Bottom of Page)"/>
        <w:docPartUnique/>
      </w:docPartObj>
    </w:sdtPr>
    <w:sdtContent>
      <w:p w:rsidR="00A57781" w:rsidRDefault="00731DFF">
        <w:pPr>
          <w:pStyle w:val="Zpat"/>
          <w:jc w:val="center"/>
        </w:pPr>
        <w:fldSimple w:instr=" PAGE   \* MERGEFORMAT ">
          <w:r w:rsidR="00A03DA4">
            <w:rPr>
              <w:noProof/>
            </w:rPr>
            <w:t>47</w:t>
          </w:r>
        </w:fldSimple>
      </w:p>
    </w:sdtContent>
  </w:sdt>
  <w:p w:rsidR="00A57781" w:rsidRDefault="00A57781">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81" w:rsidRDefault="00A57781">
    <w:pPr>
      <w:pStyle w:val="Zpat"/>
    </w:pPr>
  </w:p>
  <w:p w:rsidR="00A57781" w:rsidRDefault="00A5778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434" w:rsidRDefault="00904434">
      <w:pPr>
        <w:spacing w:after="0"/>
      </w:pPr>
      <w:r>
        <w:separator/>
      </w:r>
    </w:p>
  </w:footnote>
  <w:footnote w:type="continuationSeparator" w:id="0">
    <w:p w:rsidR="00904434" w:rsidRDefault="00904434">
      <w:pPr>
        <w:spacing w:after="0"/>
      </w:pPr>
      <w:r>
        <w:continuationSeparator/>
      </w:r>
    </w:p>
  </w:footnote>
  <w:footnote w:id="1">
    <w:p w:rsidR="00A57781" w:rsidRDefault="00A57781">
      <w:pPr>
        <w:pStyle w:val="Textpoznpodarou"/>
      </w:pPr>
      <w:r>
        <w:rPr>
          <w:rStyle w:val="Znakapoznpodarou"/>
        </w:rPr>
        <w:footnoteRef/>
      </w:r>
      <w:r>
        <w:t xml:space="preserve">  ŠÍMA, J. (ed.) </w:t>
      </w:r>
      <w:r>
        <w:rPr>
          <w:i/>
        </w:rPr>
        <w:t>Adam Smith semper vivus</w:t>
      </w:r>
      <w:r>
        <w:t>, Praha: Liberální institut, 2003. ISBN 80-86389-19-7, s. 17</w:t>
      </w:r>
    </w:p>
  </w:footnote>
  <w:footnote w:id="2">
    <w:p w:rsidR="00A57781" w:rsidRDefault="00A57781">
      <w:pPr>
        <w:pStyle w:val="Textpoznpodarou"/>
      </w:pPr>
      <w:r>
        <w:rPr>
          <w:rStyle w:val="Znakapoznpodarou"/>
        </w:rPr>
        <w:footnoteRef/>
      </w:r>
      <w:r>
        <w:t xml:space="preserve"> BLAŽEK, L. a kol. </w:t>
      </w:r>
      <w:r>
        <w:rPr>
          <w:i/>
        </w:rPr>
        <w:t>Konkurenční schopnost podniků. Analýza faktorů hospodářské úspěšnosti,</w:t>
      </w:r>
      <w:r>
        <w:t xml:space="preserve"> 1.vyd. Brno: Masarykova univerzita, 2008. 210 s. ISBN 978-80-210-4734-1, s. 15.</w:t>
      </w:r>
    </w:p>
  </w:footnote>
  <w:footnote w:id="3">
    <w:p w:rsidR="00A57781" w:rsidRDefault="00A57781">
      <w:pPr>
        <w:pStyle w:val="Textpoznpodarou"/>
      </w:pPr>
      <w:r>
        <w:rPr>
          <w:rStyle w:val="Znakapoznpodarou"/>
        </w:rPr>
        <w:footnoteRef/>
      </w:r>
      <w:r>
        <w:t xml:space="preserve">JIRÁSEK, J. A.. </w:t>
      </w:r>
      <w:r>
        <w:rPr>
          <w:i/>
        </w:rPr>
        <w:t>Konkurenčnost: Vítězství a porážky na kolbišti trhu,</w:t>
      </w:r>
      <w:r>
        <w:t xml:space="preserve"> 1. vyd. Praha: Professional publishing. 103 s. ISBN 80-86419-11-8, s. 50.</w:t>
      </w:r>
    </w:p>
  </w:footnote>
  <w:footnote w:id="4">
    <w:p w:rsidR="00A57781" w:rsidRDefault="00A57781">
      <w:pPr>
        <w:pStyle w:val="Textpoznpodarou"/>
      </w:pPr>
      <w:r>
        <w:rPr>
          <w:rStyle w:val="Znakapoznpodarou"/>
        </w:rPr>
        <w:footnoteRef/>
      </w:r>
      <w:r>
        <w:t xml:space="preserve"> BLAŽEK, L. a kol. </w:t>
      </w:r>
      <w:r>
        <w:rPr>
          <w:i/>
        </w:rPr>
        <w:t>Konkurenční schopnost podniků. Analýza faktorů hospodářské úspěšnosti.</w:t>
      </w:r>
      <w:r>
        <w:t xml:space="preserve"> 1.vyd. Brno: Masarykova univerzita, 2008. 210 s. ISBN 978-80-210-4734-1, s. 15.</w:t>
      </w:r>
    </w:p>
  </w:footnote>
  <w:footnote w:id="5">
    <w:p w:rsidR="00A57781" w:rsidRDefault="00A57781">
      <w:pPr>
        <w:pStyle w:val="Textpoznpodarou"/>
      </w:pPr>
      <w:r>
        <w:rPr>
          <w:rStyle w:val="Znakapoznpodarou"/>
        </w:rPr>
        <w:footnoteRef/>
      </w:r>
      <w:r>
        <w:rPr>
          <w:rFonts w:cs="Times New Roman"/>
          <w:szCs w:val="24"/>
        </w:rPr>
        <w:t xml:space="preserve"> </w:t>
      </w:r>
      <w:r>
        <w:rPr>
          <w:rFonts w:cs="Times New Roman"/>
        </w:rPr>
        <w:t xml:space="preserve">VALACH, J. a kol. </w:t>
      </w:r>
      <w:r>
        <w:rPr>
          <w:rFonts w:cs="Times New Roman"/>
          <w:i/>
        </w:rPr>
        <w:t>Finanční řízení podniku</w:t>
      </w:r>
      <w:r>
        <w:rPr>
          <w:rFonts w:cs="Times New Roman"/>
        </w:rPr>
        <w:t>, 1. vyd. Praha: Ekopress, 1997. 247 s. ISBN 80-901991-6-X.</w:t>
      </w:r>
      <w:r>
        <w:t xml:space="preserve"> S. 75.</w:t>
      </w:r>
    </w:p>
  </w:footnote>
  <w:footnote w:id="6">
    <w:p w:rsidR="00A57781" w:rsidRDefault="00A57781">
      <w:pPr>
        <w:pStyle w:val="Textpoznpodarou"/>
        <w:rPr>
          <w:i/>
        </w:rPr>
      </w:pPr>
      <w:r>
        <w:rPr>
          <w:rStyle w:val="Znakapoznpodarou"/>
        </w:rPr>
        <w:footnoteRef/>
      </w:r>
      <w:r>
        <w:t xml:space="preserve"> KO</w:t>
      </w:r>
      <w:r>
        <w:rPr>
          <w:rFonts w:cs="Times New Roman"/>
        </w:rPr>
        <w:t>VANICOVÁ</w:t>
      </w:r>
      <w:r>
        <w:rPr>
          <w:rFonts w:eastAsia="Calibri" w:cs="Times New Roman"/>
        </w:rPr>
        <w:t xml:space="preserve">, D.; KOVANIC, P. </w:t>
      </w:r>
      <w:r>
        <w:rPr>
          <w:rStyle w:val="StylKurzvaChar"/>
          <w:rFonts w:eastAsia="Calibri"/>
          <w:sz w:val="20"/>
        </w:rPr>
        <w:t>Poklady skryté v účetnictví: DÍL II Finanční analýza účetních výkazů</w:t>
      </w:r>
      <w:r>
        <w:rPr>
          <w:rStyle w:val="StylKurzvaChar"/>
          <w:rFonts w:eastAsiaTheme="minorHAnsi"/>
          <w:sz w:val="20"/>
        </w:rPr>
        <w:t>,</w:t>
      </w:r>
      <w:r>
        <w:t xml:space="preserve"> 3. vyd. Praha: Polygon, 1997. 303 s. ISBN 80-85967-56-1</w:t>
      </w:r>
      <w:r>
        <w:rPr>
          <w:i/>
        </w:rPr>
        <w:t>. S. 1.</w:t>
      </w:r>
    </w:p>
  </w:footnote>
  <w:footnote w:id="7">
    <w:p w:rsidR="00A57781" w:rsidRDefault="00A57781">
      <w:pPr>
        <w:pStyle w:val="Textpoznpodarou"/>
      </w:pPr>
      <w:r>
        <w:rPr>
          <w:rStyle w:val="Znakapoznpodarou"/>
        </w:rPr>
        <w:footnoteRef/>
      </w:r>
      <w:r>
        <w:t xml:space="preserve"> MAREK</w:t>
      </w:r>
      <w:r>
        <w:rPr>
          <w:rFonts w:cs="Times New Roman"/>
        </w:rPr>
        <w:t xml:space="preserve">, P. a kol. </w:t>
      </w:r>
      <w:r>
        <w:rPr>
          <w:rFonts w:cs="Times New Roman"/>
          <w:i/>
        </w:rPr>
        <w:t xml:space="preserve">Studijní průvodce financemi podniku, </w:t>
      </w:r>
      <w:r>
        <w:rPr>
          <w:rFonts w:cs="Times New Roman"/>
        </w:rPr>
        <w:t>1. vyd. Praha: Ekopress, 2006. 624 s. ISBN 80-86119-37-8. S. 179.</w:t>
      </w:r>
    </w:p>
  </w:footnote>
  <w:footnote w:id="8">
    <w:p w:rsidR="00A57781" w:rsidRDefault="00A57781">
      <w:pPr>
        <w:pStyle w:val="Textpoznpodarou"/>
      </w:pPr>
      <w:r>
        <w:rPr>
          <w:rStyle w:val="Znakapoznpodarou"/>
        </w:rPr>
        <w:footnoteRef/>
      </w:r>
      <w:r>
        <w:t xml:space="preserve"> </w:t>
      </w:r>
      <w:r>
        <w:rPr>
          <w:rFonts w:eastAsia="Calibri" w:cs="Times New Roman"/>
        </w:rPr>
        <w:t xml:space="preserve">GRÜNWALD, R.; HOLEČKOVÁ, J. </w:t>
      </w:r>
      <w:r>
        <w:rPr>
          <w:rStyle w:val="StylKurzvaChar"/>
          <w:rFonts w:eastAsia="Calibri"/>
          <w:sz w:val="20"/>
        </w:rPr>
        <w:t>Finanční analýza a plánování podniku,</w:t>
      </w:r>
      <w:r>
        <w:rPr>
          <w:rFonts w:eastAsia="Calibri" w:cs="Times New Roman"/>
        </w:rPr>
        <w:t xml:space="preserve"> 1. vyd. Praha: Ekopress, 2007. 320 s. ISBN 978-80-86929-26-2</w:t>
      </w:r>
      <w:r>
        <w:t>. S. 27.</w:t>
      </w:r>
    </w:p>
  </w:footnote>
  <w:footnote w:id="9">
    <w:p w:rsidR="00A57781" w:rsidRDefault="00A57781">
      <w:pPr>
        <w:pStyle w:val="Textpoznpodarou"/>
      </w:pPr>
      <w:r>
        <w:rPr>
          <w:rStyle w:val="Znakapoznpodarou"/>
        </w:rPr>
        <w:footnoteRef/>
      </w:r>
      <w:r>
        <w:t xml:space="preserve"> </w:t>
      </w:r>
      <w:r>
        <w:rPr>
          <w:rFonts w:eastAsia="Calibri" w:cs="Times New Roman"/>
        </w:rPr>
        <w:t xml:space="preserve">GRÜNWALD, R.; HOLEČKOVÁ, J. </w:t>
      </w:r>
      <w:r>
        <w:rPr>
          <w:rStyle w:val="StylKurzvaChar"/>
          <w:rFonts w:eastAsia="Calibri"/>
          <w:sz w:val="20"/>
        </w:rPr>
        <w:t>Finanční analýza a plánování podniku,</w:t>
      </w:r>
      <w:r>
        <w:rPr>
          <w:rFonts w:eastAsia="Calibri" w:cs="Times New Roman"/>
        </w:rPr>
        <w:t xml:space="preserve"> 1. vyd. Praha: Ekopress, 2007. 320 s. ISBN 978-80-86929-26-2</w:t>
      </w:r>
      <w:r>
        <w:t>. S. 28 – 29.</w:t>
      </w:r>
    </w:p>
  </w:footnote>
  <w:footnote w:id="10">
    <w:p w:rsidR="00A57781" w:rsidRDefault="00A57781">
      <w:pPr>
        <w:pStyle w:val="Textpoznpodarou"/>
      </w:pPr>
      <w:r>
        <w:rPr>
          <w:rStyle w:val="Znakapoznpodarou"/>
        </w:rPr>
        <w:footnoteRef/>
      </w:r>
      <w:r>
        <w:t xml:space="preserve"> Tamtéž, s.</w:t>
      </w:r>
      <w:r w:rsidR="00F9395F">
        <w:t xml:space="preserve"> </w:t>
      </w:r>
      <w:r>
        <w:t>29.</w:t>
      </w:r>
    </w:p>
  </w:footnote>
  <w:footnote w:id="11">
    <w:p w:rsidR="00A57781" w:rsidRDefault="00A57781">
      <w:pPr>
        <w:pStyle w:val="Textpoznpodarou"/>
      </w:pPr>
      <w:r>
        <w:rPr>
          <w:rStyle w:val="Znakapoznpodarou"/>
        </w:rPr>
        <w:footnoteRef/>
      </w:r>
      <w:r>
        <w:t xml:space="preserve"> Tamtéž, s.</w:t>
      </w:r>
      <w:r w:rsidR="00F9395F">
        <w:t xml:space="preserve"> </w:t>
      </w:r>
      <w:r>
        <w:t>30.</w:t>
      </w:r>
    </w:p>
  </w:footnote>
  <w:footnote w:id="12">
    <w:p w:rsidR="00A57781" w:rsidRDefault="00A57781">
      <w:pPr>
        <w:pStyle w:val="Textpoznpodarou"/>
      </w:pPr>
      <w:r>
        <w:rPr>
          <w:rStyle w:val="Znakapoznpodarou"/>
        </w:rPr>
        <w:footnoteRef/>
      </w:r>
      <w:r>
        <w:t xml:space="preserve"> Tamtéž, s.</w:t>
      </w:r>
      <w:r w:rsidR="00F9395F">
        <w:t xml:space="preserve"> </w:t>
      </w:r>
      <w:r>
        <w:t>30.</w:t>
      </w:r>
    </w:p>
  </w:footnote>
  <w:footnote w:id="13">
    <w:p w:rsidR="00A57781" w:rsidRDefault="00A57781">
      <w:pPr>
        <w:pStyle w:val="Textpoznpodarou"/>
      </w:pPr>
      <w:r>
        <w:rPr>
          <w:rStyle w:val="Znakapoznpodarou"/>
        </w:rPr>
        <w:footnoteRef/>
      </w:r>
      <w:r>
        <w:t xml:space="preserve"> Tamtéž, s.</w:t>
      </w:r>
      <w:r w:rsidR="00F9395F">
        <w:t xml:space="preserve"> </w:t>
      </w:r>
      <w:r>
        <w:t>30.</w:t>
      </w:r>
    </w:p>
  </w:footnote>
  <w:footnote w:id="14">
    <w:p w:rsidR="00A57781" w:rsidRDefault="00A57781">
      <w:pPr>
        <w:pStyle w:val="Textpoznpodarou"/>
      </w:pPr>
      <w:r>
        <w:rPr>
          <w:rStyle w:val="Znakapoznpodarou"/>
        </w:rPr>
        <w:footnoteRef/>
      </w:r>
      <w:r>
        <w:t xml:space="preserve"> </w:t>
      </w:r>
      <w:r>
        <w:rPr>
          <w:rFonts w:eastAsia="Calibri" w:cs="Times New Roman"/>
        </w:rPr>
        <w:t>Tamtéž, s. 31.</w:t>
      </w:r>
    </w:p>
  </w:footnote>
  <w:footnote w:id="15">
    <w:p w:rsidR="00A57781" w:rsidRPr="0072284C" w:rsidRDefault="00A57781">
      <w:pPr>
        <w:pStyle w:val="Textpoznpodarou"/>
      </w:pPr>
      <w:r w:rsidRPr="0072284C">
        <w:rPr>
          <w:rStyle w:val="Znakapoznpodarou"/>
        </w:rPr>
        <w:footnoteRef/>
      </w:r>
      <w:r w:rsidRPr="0072284C">
        <w:t xml:space="preserve"> Justice.cz [online] 2012 [cit. 2012-05-18]. Dostupné z WWW: &lt;</w:t>
      </w:r>
      <w:hyperlink r:id="rId1" w:history="1">
        <w:r w:rsidRPr="0072284C">
          <w:rPr>
            <w:rStyle w:val="Hypertextovodkaz"/>
            <w:color w:val="auto"/>
            <w:u w:val="none"/>
          </w:rPr>
          <w:t>http://www.justice.cz/</w:t>
        </w:r>
      </w:hyperlink>
      <w:r w:rsidRPr="0072284C">
        <w:t>&gt;.</w:t>
      </w:r>
    </w:p>
  </w:footnote>
  <w:footnote w:id="16">
    <w:p w:rsidR="00A57781" w:rsidRDefault="00A57781">
      <w:pPr>
        <w:pStyle w:val="Textpoznpodarou"/>
      </w:pPr>
      <w:r>
        <w:rPr>
          <w:rStyle w:val="Znakapoznpodarou"/>
        </w:rPr>
        <w:footnoteRef/>
      </w:r>
      <w:r>
        <w:t xml:space="preserve"> </w:t>
      </w:r>
      <w:r>
        <w:rPr>
          <w:rFonts w:eastAsia="Calibri" w:cs="Times New Roman"/>
        </w:rPr>
        <w:t xml:space="preserve">GRÜNWALD, R.; HOLEČKOVÁ, J. </w:t>
      </w:r>
      <w:r>
        <w:rPr>
          <w:rStyle w:val="StylKurzvaChar"/>
          <w:rFonts w:eastAsia="Calibri"/>
          <w:sz w:val="20"/>
        </w:rPr>
        <w:t>Finanční analýza a plánování podniku,</w:t>
      </w:r>
      <w:r>
        <w:rPr>
          <w:rFonts w:eastAsia="Calibri" w:cs="Times New Roman"/>
        </w:rPr>
        <w:t xml:space="preserve"> 1. vyd. Praha: Ekopress, 2007. 320 s. ISBN 978-80-86929-26-2. S. 54.</w:t>
      </w:r>
    </w:p>
  </w:footnote>
  <w:footnote w:id="17">
    <w:p w:rsidR="00A57781" w:rsidRDefault="00A57781">
      <w:pPr>
        <w:spacing w:after="0"/>
        <w:rPr>
          <w:sz w:val="20"/>
          <w:szCs w:val="20"/>
        </w:rPr>
      </w:pPr>
      <w:r>
        <w:rPr>
          <w:rStyle w:val="Znakapoznpodarou"/>
          <w:sz w:val="20"/>
          <w:szCs w:val="20"/>
        </w:rPr>
        <w:footnoteRef/>
      </w:r>
      <w:r>
        <w:rPr>
          <w:sz w:val="20"/>
          <w:szCs w:val="20"/>
        </w:rPr>
        <w:t>SUCH</w:t>
      </w:r>
      <w:r>
        <w:rPr>
          <w:rFonts w:cs="Times New Roman"/>
          <w:sz w:val="20"/>
          <w:szCs w:val="20"/>
        </w:rPr>
        <w:t>ÁNEK, P.</w:t>
      </w:r>
      <w:r>
        <w:rPr>
          <w:rFonts w:cs="Times New Roman"/>
          <w:i/>
          <w:sz w:val="20"/>
          <w:szCs w:val="20"/>
        </w:rPr>
        <w:t xml:space="preserve"> Finanční management,</w:t>
      </w:r>
      <w:r>
        <w:rPr>
          <w:rFonts w:cs="Times New Roman"/>
          <w:sz w:val="20"/>
          <w:szCs w:val="20"/>
        </w:rPr>
        <w:t xml:space="preserve"> 1. vyd. Brno: Masarykova univerzita, 2007. 127 s. ISBN 978-80-210-4277-3.</w:t>
      </w:r>
      <w:r>
        <w:rPr>
          <w:sz w:val="20"/>
          <w:szCs w:val="20"/>
        </w:rPr>
        <w:t xml:space="preserve"> S. 25-26.</w:t>
      </w:r>
    </w:p>
  </w:footnote>
  <w:footnote w:id="18">
    <w:p w:rsidR="00A57781" w:rsidRDefault="00A57781">
      <w:pPr>
        <w:spacing w:after="0"/>
        <w:rPr>
          <w:sz w:val="20"/>
          <w:szCs w:val="20"/>
        </w:rPr>
      </w:pPr>
      <w:r>
        <w:rPr>
          <w:rStyle w:val="Znakapoznpodarou"/>
          <w:sz w:val="20"/>
          <w:szCs w:val="20"/>
        </w:rPr>
        <w:footnoteRef/>
      </w:r>
      <w:r>
        <w:rPr>
          <w:sz w:val="20"/>
          <w:szCs w:val="20"/>
        </w:rPr>
        <w:t>SUCH</w:t>
      </w:r>
      <w:r>
        <w:rPr>
          <w:rFonts w:cs="Times New Roman"/>
          <w:sz w:val="20"/>
          <w:szCs w:val="20"/>
        </w:rPr>
        <w:t>ÁNEK, P.</w:t>
      </w:r>
      <w:r>
        <w:rPr>
          <w:rFonts w:cs="Times New Roman"/>
          <w:i/>
          <w:sz w:val="20"/>
          <w:szCs w:val="20"/>
        </w:rPr>
        <w:t xml:space="preserve"> Finanční management,</w:t>
      </w:r>
      <w:r>
        <w:rPr>
          <w:rFonts w:cs="Times New Roman"/>
          <w:sz w:val="20"/>
          <w:szCs w:val="20"/>
        </w:rPr>
        <w:t xml:space="preserve"> 1. vyd. Brno: Masarykova univerzita, 2007. 127 s. ISBN 978-80-210-4277-3. </w:t>
      </w:r>
      <w:r>
        <w:rPr>
          <w:sz w:val="20"/>
          <w:szCs w:val="20"/>
        </w:rPr>
        <w:t>S.</w:t>
      </w:r>
      <w:r w:rsidR="00F9395F">
        <w:rPr>
          <w:sz w:val="20"/>
          <w:szCs w:val="20"/>
        </w:rPr>
        <w:t xml:space="preserve"> </w:t>
      </w:r>
      <w:r>
        <w:rPr>
          <w:sz w:val="20"/>
          <w:szCs w:val="20"/>
        </w:rPr>
        <w:t>25-26.</w:t>
      </w:r>
    </w:p>
  </w:footnote>
  <w:footnote w:id="19">
    <w:p w:rsidR="00A57781" w:rsidRDefault="00A57781">
      <w:pPr>
        <w:pStyle w:val="Textpoznpodarou"/>
      </w:pPr>
      <w:r>
        <w:rPr>
          <w:rStyle w:val="Znakapoznpodarou"/>
        </w:rPr>
        <w:footnoteRef/>
      </w:r>
      <w:r>
        <w:t xml:space="preserve"> RŮČKOVÁ, P. </w:t>
      </w:r>
      <w:r>
        <w:rPr>
          <w:rFonts w:eastAsia="Calibri" w:cs="Times New Roman"/>
          <w:i/>
        </w:rPr>
        <w:t>Finanční analýza</w:t>
      </w:r>
      <w:r>
        <w:rPr>
          <w:rFonts w:eastAsia="Calibri" w:cs="Times New Roman"/>
        </w:rPr>
        <w:t>, 1. vyd. Praha: Grada publishing, 2007. 120s. ISBN 978-80-247-1386-1.</w:t>
      </w:r>
      <w:r>
        <w:t xml:space="preserve"> S. 44</w:t>
      </w:r>
    </w:p>
  </w:footnote>
  <w:footnote w:id="20">
    <w:p w:rsidR="00A57781" w:rsidRDefault="00A57781">
      <w:pPr>
        <w:pStyle w:val="Textpoznpodarou"/>
      </w:pPr>
      <w:r>
        <w:rPr>
          <w:rStyle w:val="Znakapoznpodarou"/>
        </w:rPr>
        <w:footnoteRef/>
      </w:r>
      <w:r>
        <w:t xml:space="preserve"> SEDLÁČEK, J. </w:t>
      </w:r>
      <w:r>
        <w:rPr>
          <w:rFonts w:eastAsia="Calibri" w:cs="Times New Roman"/>
          <w:i/>
        </w:rPr>
        <w:t>Účetní data v rukou manažera</w:t>
      </w:r>
      <w:r>
        <w:rPr>
          <w:rFonts w:eastAsia="Calibri" w:cs="Times New Roman"/>
        </w:rPr>
        <w:t>, 2. dopl. vyd. Praha: Computer Press, 2001. 220s. ISBN 80-7226-562-8</w:t>
      </w:r>
      <w:r>
        <w:t>. S. 61</w:t>
      </w:r>
    </w:p>
  </w:footnote>
  <w:footnote w:id="21">
    <w:p w:rsidR="00A57781" w:rsidRDefault="00A57781">
      <w:pPr>
        <w:pStyle w:val="Textpoznpodarou"/>
      </w:pPr>
      <w:r>
        <w:rPr>
          <w:rStyle w:val="Znakapoznpodarou"/>
        </w:rPr>
        <w:footnoteRef/>
      </w:r>
      <w:r>
        <w:t xml:space="preserve"> VA</w:t>
      </w:r>
      <w:r>
        <w:rPr>
          <w:rFonts w:cs="Times New Roman"/>
          <w:szCs w:val="24"/>
        </w:rPr>
        <w:t xml:space="preserve">LACH, J. a kol. </w:t>
      </w:r>
      <w:r>
        <w:rPr>
          <w:rFonts w:cs="Times New Roman"/>
          <w:i/>
          <w:szCs w:val="24"/>
        </w:rPr>
        <w:t>Finanční řízení podniku</w:t>
      </w:r>
      <w:r>
        <w:rPr>
          <w:rFonts w:cs="Times New Roman"/>
          <w:szCs w:val="24"/>
        </w:rPr>
        <w:t>, 1. vyd. Praha: Ekopress, 1997. 247 s. ISBN 80-901991-6-X.</w:t>
      </w:r>
      <w:r>
        <w:t xml:space="preserve"> S. 81.</w:t>
      </w:r>
    </w:p>
  </w:footnote>
  <w:footnote w:id="22">
    <w:p w:rsidR="00A57781" w:rsidRDefault="00A57781">
      <w:pPr>
        <w:pStyle w:val="Textpoznpodarou"/>
      </w:pPr>
      <w:r>
        <w:rPr>
          <w:rStyle w:val="Znakapoznpodarou"/>
        </w:rPr>
        <w:footnoteRef/>
      </w:r>
      <w:r>
        <w:t xml:space="preserve"> SUCH</w:t>
      </w:r>
      <w:r>
        <w:rPr>
          <w:rFonts w:cs="Times New Roman"/>
        </w:rPr>
        <w:t>ÁNEK, P.</w:t>
      </w:r>
      <w:r>
        <w:rPr>
          <w:rFonts w:cs="Times New Roman"/>
          <w:i/>
        </w:rPr>
        <w:t xml:space="preserve"> Finanční management,</w:t>
      </w:r>
      <w:r>
        <w:rPr>
          <w:rFonts w:cs="Times New Roman"/>
        </w:rPr>
        <w:t xml:space="preserve"> 1. vyd. Brno: Masarykova univerzita, 2007. 127 s. ISBN 978-80-210-4277-3.</w:t>
      </w:r>
      <w:r>
        <w:t xml:space="preserve"> S. 41.</w:t>
      </w:r>
    </w:p>
  </w:footnote>
  <w:footnote w:id="23">
    <w:p w:rsidR="00A57781" w:rsidRDefault="00A57781">
      <w:pPr>
        <w:pStyle w:val="Textpoznpodarou"/>
      </w:pPr>
      <w:r>
        <w:rPr>
          <w:rStyle w:val="Znakapoznpodarou"/>
        </w:rPr>
        <w:footnoteRef/>
      </w:r>
      <w:r>
        <w:t xml:space="preserve"> </w:t>
      </w:r>
      <w:r>
        <w:rPr>
          <w:rFonts w:eastAsia="Calibri" w:cs="Times New Roman"/>
        </w:rPr>
        <w:t xml:space="preserve">GRÜNWALD, R.; HOLEČKOVÁ, J. </w:t>
      </w:r>
      <w:r>
        <w:rPr>
          <w:rStyle w:val="StylKurzvaChar"/>
          <w:rFonts w:eastAsia="Calibri"/>
          <w:sz w:val="20"/>
        </w:rPr>
        <w:t>Finanční analýza a plánování podniku,</w:t>
      </w:r>
      <w:r>
        <w:rPr>
          <w:rFonts w:eastAsia="Calibri" w:cs="Times New Roman"/>
        </w:rPr>
        <w:t xml:space="preserve"> 1. vyd. Praha: Ekopress, 2007. 320 s. ISBN 978-80-86929-26-2. </w:t>
      </w:r>
      <w:r>
        <w:t>S. 99.</w:t>
      </w:r>
    </w:p>
  </w:footnote>
  <w:footnote w:id="24">
    <w:p w:rsidR="00A57781" w:rsidRDefault="00A57781">
      <w:pPr>
        <w:pStyle w:val="Textpoznpodarou"/>
      </w:pPr>
      <w:r>
        <w:rPr>
          <w:rStyle w:val="Znakapoznpodarou"/>
        </w:rPr>
        <w:footnoteRef/>
      </w:r>
      <w:r>
        <w:t xml:space="preserve"> MA</w:t>
      </w:r>
      <w:r>
        <w:rPr>
          <w:rFonts w:cs="Times New Roman"/>
          <w:szCs w:val="24"/>
        </w:rPr>
        <w:t xml:space="preserve">REK, P. a kol. </w:t>
      </w:r>
      <w:r>
        <w:rPr>
          <w:rFonts w:cs="Times New Roman"/>
          <w:i/>
          <w:szCs w:val="24"/>
        </w:rPr>
        <w:t xml:space="preserve">Studijní průvodce financemi podniku, </w:t>
      </w:r>
      <w:r>
        <w:rPr>
          <w:rFonts w:cs="Times New Roman"/>
          <w:szCs w:val="24"/>
        </w:rPr>
        <w:t>1. vyd. Praha: Ekopress, 2006. 624 s. ISBN 80-86119-37-8.</w:t>
      </w:r>
      <w:r>
        <w:t xml:space="preserve"> S. 192.</w:t>
      </w:r>
    </w:p>
  </w:footnote>
  <w:footnote w:id="25">
    <w:p w:rsidR="00A57781" w:rsidRDefault="00A57781">
      <w:pPr>
        <w:pStyle w:val="Textpoznpodarou"/>
      </w:pPr>
      <w:r>
        <w:rPr>
          <w:rStyle w:val="Znakapoznpodarou"/>
        </w:rPr>
        <w:footnoteRef/>
      </w:r>
      <w:r>
        <w:t xml:space="preserve"> SUCH</w:t>
      </w:r>
      <w:r>
        <w:rPr>
          <w:rFonts w:cs="Times New Roman"/>
        </w:rPr>
        <w:t>ÁNEK, P.</w:t>
      </w:r>
      <w:r>
        <w:rPr>
          <w:rFonts w:cs="Times New Roman"/>
          <w:i/>
        </w:rPr>
        <w:t xml:space="preserve"> Finanční management,</w:t>
      </w:r>
      <w:r>
        <w:rPr>
          <w:rFonts w:cs="Times New Roman"/>
        </w:rPr>
        <w:t xml:space="preserve"> 1. vyd. Brno: Masarykova univerzita, 2007. 127 s. ISBN 978-80-210-4277-3.</w:t>
      </w:r>
      <w:r>
        <w:t xml:space="preserve"> S. 41.</w:t>
      </w:r>
    </w:p>
  </w:footnote>
  <w:footnote w:id="26">
    <w:p w:rsidR="00A57781" w:rsidRDefault="00A57781">
      <w:pPr>
        <w:pStyle w:val="Textpoznpodarou"/>
      </w:pPr>
      <w:r>
        <w:rPr>
          <w:rStyle w:val="Znakapoznpodarou"/>
        </w:rPr>
        <w:footnoteRef/>
      </w:r>
      <w:r>
        <w:t xml:space="preserve"> </w:t>
      </w:r>
      <w:r>
        <w:rPr>
          <w:rFonts w:eastAsia="Calibri" w:cs="Times New Roman"/>
        </w:rPr>
        <w:t xml:space="preserve">GRÜNWALD, R.; HOLEČKOVÁ, J. </w:t>
      </w:r>
      <w:r>
        <w:rPr>
          <w:rStyle w:val="StylKurzvaChar"/>
          <w:rFonts w:eastAsia="Calibri"/>
          <w:sz w:val="20"/>
        </w:rPr>
        <w:t>Finanční analýza a plánování podniku,</w:t>
      </w:r>
      <w:r>
        <w:rPr>
          <w:rFonts w:eastAsia="Calibri" w:cs="Times New Roman"/>
        </w:rPr>
        <w:t xml:space="preserve"> 1. vyd. Praha: Ekopress, 2007. 320 s. ISBN 978-80-86929-26-2. </w:t>
      </w:r>
      <w:r>
        <w:t>S. 99.</w:t>
      </w:r>
    </w:p>
  </w:footnote>
  <w:footnote w:id="27">
    <w:p w:rsidR="00A57781" w:rsidRDefault="00A57781">
      <w:pPr>
        <w:pStyle w:val="Textpoznpodarou"/>
      </w:pPr>
      <w:r>
        <w:rPr>
          <w:rStyle w:val="Znakapoznpodarou"/>
        </w:rPr>
        <w:footnoteRef/>
      </w:r>
      <w:r>
        <w:t xml:space="preserve"> SUCH</w:t>
      </w:r>
      <w:r>
        <w:rPr>
          <w:rFonts w:cs="Times New Roman"/>
        </w:rPr>
        <w:t>ÁNEK, P.</w:t>
      </w:r>
      <w:r>
        <w:rPr>
          <w:rFonts w:cs="Times New Roman"/>
          <w:i/>
        </w:rPr>
        <w:t xml:space="preserve"> Finanční management,</w:t>
      </w:r>
      <w:r>
        <w:rPr>
          <w:rFonts w:cs="Times New Roman"/>
        </w:rPr>
        <w:t xml:space="preserve"> 1. vyd. Brno: Masarykova univerzita, 2007. 127 s. ISBN 978-80-210-4277-3.</w:t>
      </w:r>
      <w:r>
        <w:t xml:space="preserve"> S. 41.</w:t>
      </w:r>
    </w:p>
  </w:footnote>
  <w:footnote w:id="28">
    <w:p w:rsidR="00A57781" w:rsidRDefault="00A57781">
      <w:pPr>
        <w:pStyle w:val="Textpoznpodarou"/>
      </w:pPr>
      <w:r>
        <w:rPr>
          <w:rStyle w:val="Znakapoznpodarou"/>
        </w:rPr>
        <w:footnoteRef/>
      </w:r>
      <w:r>
        <w:t xml:space="preserve"> Tamtéž, s. 41.</w:t>
      </w:r>
    </w:p>
  </w:footnote>
  <w:footnote w:id="29">
    <w:p w:rsidR="00A57781" w:rsidRDefault="00A57781">
      <w:pPr>
        <w:pStyle w:val="Textpoznpodarou"/>
      </w:pPr>
      <w:r>
        <w:rPr>
          <w:rStyle w:val="Znakapoznpodarou"/>
        </w:rPr>
        <w:footnoteRef/>
      </w:r>
      <w:r>
        <w:t xml:space="preserve"> RŮČKOVÁ, P. </w:t>
      </w:r>
      <w:r>
        <w:rPr>
          <w:rFonts w:eastAsia="Calibri" w:cs="Times New Roman"/>
          <w:i/>
        </w:rPr>
        <w:t>Finanční analýza</w:t>
      </w:r>
      <w:r>
        <w:rPr>
          <w:rFonts w:eastAsia="Calibri" w:cs="Times New Roman"/>
        </w:rPr>
        <w:t>, 1. vyd. Praha: Grada publishing, 2007. 120s. ISBN 978-80-247-1386-1.</w:t>
      </w:r>
      <w:r>
        <w:t xml:space="preserve"> S. 56.</w:t>
      </w:r>
    </w:p>
  </w:footnote>
  <w:footnote w:id="30">
    <w:p w:rsidR="00A57781" w:rsidRDefault="00A57781" w:rsidP="00110B79">
      <w:pPr>
        <w:pStyle w:val="Textpoznpodarou"/>
      </w:pPr>
      <w:r>
        <w:rPr>
          <w:rStyle w:val="Znakapoznpodarou"/>
        </w:rPr>
        <w:footnoteRef/>
      </w:r>
      <w:r>
        <w:t>SUCH</w:t>
      </w:r>
      <w:r>
        <w:rPr>
          <w:rFonts w:cs="Times New Roman"/>
        </w:rPr>
        <w:t>ÁNEK, P.</w:t>
      </w:r>
      <w:r>
        <w:rPr>
          <w:rFonts w:cs="Times New Roman"/>
          <w:i/>
        </w:rPr>
        <w:t xml:space="preserve"> Finanční management,</w:t>
      </w:r>
      <w:r>
        <w:rPr>
          <w:rFonts w:cs="Times New Roman"/>
        </w:rPr>
        <w:t xml:space="preserve"> 1. vyd. Brno: Masarykova univerzita, 2007. 127 s. ISBN 978-80-210-4277-3. </w:t>
      </w:r>
      <w:r>
        <w:t>S. 43.</w:t>
      </w:r>
    </w:p>
  </w:footnote>
  <w:footnote w:id="31">
    <w:p w:rsidR="00A57781" w:rsidRDefault="00A57781" w:rsidP="00110B79">
      <w:pPr>
        <w:pStyle w:val="Textpoznpodarou"/>
      </w:pPr>
      <w:r>
        <w:rPr>
          <w:rStyle w:val="Znakapoznpodarou"/>
        </w:rPr>
        <w:footnoteRef/>
      </w:r>
      <w:r>
        <w:t xml:space="preserve"> SEDLÁČEK, J. </w:t>
      </w:r>
      <w:r>
        <w:rPr>
          <w:rFonts w:eastAsia="Calibri" w:cs="Times New Roman"/>
          <w:i/>
        </w:rPr>
        <w:t>Účetní data v rukou manažera</w:t>
      </w:r>
      <w:r>
        <w:rPr>
          <w:rFonts w:eastAsia="Calibri" w:cs="Times New Roman"/>
        </w:rPr>
        <w:t>, 2. dopl. vyd. Praha: Computer Press, 2001. 220s. ISBN 80-7226-562-8.</w:t>
      </w:r>
      <w:r>
        <w:t xml:space="preserve"> S. 66.</w:t>
      </w:r>
    </w:p>
  </w:footnote>
  <w:footnote w:id="32">
    <w:p w:rsidR="00A57781" w:rsidRDefault="00A57781" w:rsidP="00110B79">
      <w:pPr>
        <w:pStyle w:val="Textpoznpodarou"/>
      </w:pPr>
      <w:r>
        <w:rPr>
          <w:rStyle w:val="Znakapoznpodarou"/>
        </w:rPr>
        <w:footnoteRef/>
      </w:r>
      <w:r>
        <w:t xml:space="preserve"> Tamtéž, s. 68.</w:t>
      </w:r>
    </w:p>
  </w:footnote>
  <w:footnote w:id="33">
    <w:p w:rsidR="00A57781" w:rsidRDefault="00A57781" w:rsidP="00110B79">
      <w:pPr>
        <w:pStyle w:val="Textpoznpodarou"/>
      </w:pPr>
      <w:r>
        <w:rPr>
          <w:rStyle w:val="Znakapoznpodarou"/>
        </w:rPr>
        <w:footnoteRef/>
      </w:r>
      <w:r>
        <w:t xml:space="preserve"> RŮČKOVÁ, P. </w:t>
      </w:r>
      <w:r>
        <w:rPr>
          <w:rFonts w:eastAsia="Calibri" w:cs="Times New Roman"/>
          <w:i/>
        </w:rPr>
        <w:t>Finanční analýza</w:t>
      </w:r>
      <w:r>
        <w:rPr>
          <w:rFonts w:eastAsia="Calibri" w:cs="Times New Roman"/>
        </w:rPr>
        <w:t>, 1. vyd. Praha: Grada publishing, 2007. 120s. ISBN 978-80-247-1386-1.</w:t>
      </w:r>
      <w:r>
        <w:t xml:space="preserve"> S. 60.</w:t>
      </w:r>
    </w:p>
  </w:footnote>
  <w:footnote w:id="34">
    <w:p w:rsidR="00A57781" w:rsidRDefault="00A57781" w:rsidP="00110B79">
      <w:pPr>
        <w:pStyle w:val="Textpoznpodarou"/>
      </w:pPr>
      <w:r>
        <w:rPr>
          <w:rStyle w:val="Znakapoznpodarou"/>
        </w:rPr>
        <w:footnoteRef/>
      </w:r>
      <w:r>
        <w:t xml:space="preserve"> Tamtéž, s. 61.</w:t>
      </w:r>
    </w:p>
  </w:footnote>
  <w:footnote w:id="35">
    <w:p w:rsidR="00A57781" w:rsidRDefault="00A57781" w:rsidP="00110B79">
      <w:pPr>
        <w:pStyle w:val="Textpoznpodarou"/>
      </w:pPr>
      <w:r>
        <w:rPr>
          <w:rStyle w:val="Znakapoznpodarou"/>
        </w:rPr>
        <w:footnoteRef/>
      </w:r>
      <w:r>
        <w:t xml:space="preserve"> RŮČKOVÁ, P. </w:t>
      </w:r>
      <w:r>
        <w:rPr>
          <w:rFonts w:eastAsia="Calibri" w:cs="Times New Roman"/>
          <w:i/>
        </w:rPr>
        <w:t>Finanční analýza</w:t>
      </w:r>
      <w:r>
        <w:rPr>
          <w:rFonts w:eastAsia="Calibri" w:cs="Times New Roman"/>
        </w:rPr>
        <w:t>, 1. vyd. Praha: Grada publishing, 2007. 120s. ISBN 978-80-247-1386-1.</w:t>
      </w:r>
      <w:r>
        <w:t xml:space="preserve"> S. 61.</w:t>
      </w:r>
    </w:p>
  </w:footnote>
  <w:footnote w:id="36">
    <w:p w:rsidR="00A57781" w:rsidRDefault="00A57781">
      <w:pPr>
        <w:pStyle w:val="Textpoznpodarou"/>
      </w:pPr>
      <w:r>
        <w:rPr>
          <w:rStyle w:val="Znakapoznpodarou"/>
        </w:rPr>
        <w:footnoteRef/>
      </w:r>
      <w:r>
        <w:t xml:space="preserve"> SEDLÁČEK, J. </w:t>
      </w:r>
      <w:r>
        <w:rPr>
          <w:rFonts w:eastAsia="Calibri" w:cs="Times New Roman"/>
          <w:i/>
        </w:rPr>
        <w:t>Účetní data v rukou manažera</w:t>
      </w:r>
      <w:r>
        <w:rPr>
          <w:rFonts w:eastAsia="Calibri" w:cs="Times New Roman"/>
        </w:rPr>
        <w:t>, 2. dopl. vyd. Praha: Computer Press, 2001. 220s. ISBN 80-7226-562-8</w:t>
      </w:r>
      <w:r>
        <w:t>. S. 24.</w:t>
      </w:r>
    </w:p>
  </w:footnote>
  <w:footnote w:id="37">
    <w:p w:rsidR="00A57781" w:rsidRDefault="00A57781">
      <w:pPr>
        <w:pStyle w:val="Textpoznpodarou"/>
      </w:pPr>
      <w:r>
        <w:rPr>
          <w:rStyle w:val="Znakapoznpodarou"/>
        </w:rPr>
        <w:footnoteRef/>
      </w:r>
      <w:r>
        <w:t>SUCH</w:t>
      </w:r>
      <w:r>
        <w:rPr>
          <w:rFonts w:cs="Times New Roman"/>
        </w:rPr>
        <w:t>ÁNEK, P.</w:t>
      </w:r>
      <w:r>
        <w:rPr>
          <w:rFonts w:cs="Times New Roman"/>
          <w:i/>
        </w:rPr>
        <w:t xml:space="preserve"> Finanční management,</w:t>
      </w:r>
      <w:r>
        <w:rPr>
          <w:rFonts w:cs="Times New Roman"/>
        </w:rPr>
        <w:t xml:space="preserve"> 1. vyd. Brno: Masarykova univerzita, 2007. 127 s. ISBN 978-80-210-4277-3.</w:t>
      </w:r>
      <w:r>
        <w:t xml:space="preserve"> S. 46.</w:t>
      </w:r>
    </w:p>
  </w:footnote>
  <w:footnote w:id="38">
    <w:p w:rsidR="00A57781" w:rsidRDefault="00A57781">
      <w:pPr>
        <w:pStyle w:val="Textpoznpodarou"/>
      </w:pPr>
      <w:r>
        <w:rPr>
          <w:rStyle w:val="Znakapoznpodarou"/>
        </w:rPr>
        <w:footnoteRef/>
      </w:r>
      <w:r>
        <w:t xml:space="preserve"> RŮČKOVÁ, P. </w:t>
      </w:r>
      <w:r>
        <w:rPr>
          <w:rFonts w:eastAsia="Calibri" w:cs="Times New Roman"/>
          <w:i/>
        </w:rPr>
        <w:t>Finanční analýza</w:t>
      </w:r>
      <w:r>
        <w:rPr>
          <w:rFonts w:eastAsia="Calibri" w:cs="Times New Roman"/>
        </w:rPr>
        <w:t>, 1. vyd. Praha: Grada publishing, 2007. 120s. ISBN 978-80-247-1386-1.</w:t>
      </w:r>
      <w:r>
        <w:t xml:space="preserve"> S. 57.</w:t>
      </w:r>
    </w:p>
  </w:footnote>
  <w:footnote w:id="39">
    <w:p w:rsidR="00A57781" w:rsidRDefault="00A57781">
      <w:pPr>
        <w:pStyle w:val="Textpoznpodarou"/>
      </w:pPr>
      <w:r>
        <w:rPr>
          <w:rStyle w:val="Znakapoznpodarou"/>
        </w:rPr>
        <w:footnoteRef/>
      </w:r>
      <w:r>
        <w:t xml:space="preserve"> MA</w:t>
      </w:r>
      <w:r>
        <w:rPr>
          <w:rFonts w:cs="Times New Roman"/>
          <w:szCs w:val="24"/>
        </w:rPr>
        <w:t xml:space="preserve">REK, P. a kol. </w:t>
      </w:r>
      <w:r>
        <w:rPr>
          <w:rFonts w:cs="Times New Roman"/>
          <w:i/>
          <w:szCs w:val="24"/>
        </w:rPr>
        <w:t xml:space="preserve">Studijní průvodce financemi podniku, </w:t>
      </w:r>
      <w:r>
        <w:rPr>
          <w:rFonts w:cs="Times New Roman"/>
          <w:szCs w:val="24"/>
        </w:rPr>
        <w:t>1. vyd. Praha: Ekopress, 2006. 624 s. ISBN 80-86119-37-8.</w:t>
      </w:r>
      <w:r>
        <w:t xml:space="preserve"> S. 289.</w:t>
      </w:r>
    </w:p>
  </w:footnote>
  <w:footnote w:id="40">
    <w:p w:rsidR="00A57781" w:rsidRDefault="00A57781">
      <w:pPr>
        <w:pStyle w:val="Textpoznpodarou"/>
      </w:pPr>
      <w:r>
        <w:rPr>
          <w:rStyle w:val="Znakapoznpodarou"/>
        </w:rPr>
        <w:footnoteRef/>
      </w:r>
      <w:r>
        <w:t xml:space="preserve"> SEDLÁČEK, J. </w:t>
      </w:r>
      <w:r>
        <w:rPr>
          <w:rFonts w:eastAsia="Calibri" w:cs="Times New Roman"/>
          <w:i/>
        </w:rPr>
        <w:t>Účetní data v rukou manažera</w:t>
      </w:r>
      <w:r>
        <w:rPr>
          <w:rFonts w:eastAsia="Calibri" w:cs="Times New Roman"/>
        </w:rPr>
        <w:t xml:space="preserve">, 2. dopl. vyd. Praha: Computer Press, 2001. 220s. ISBN 80-7226-562-8. </w:t>
      </w:r>
      <w:r>
        <w:t>S. 71.</w:t>
      </w:r>
    </w:p>
  </w:footnote>
  <w:footnote w:id="41">
    <w:p w:rsidR="00A57781" w:rsidRDefault="00A57781">
      <w:pPr>
        <w:pStyle w:val="Textpoznpodarou"/>
      </w:pPr>
      <w:r>
        <w:rPr>
          <w:rStyle w:val="Znakapoznpodarou"/>
        </w:rPr>
        <w:footnoteRef/>
      </w:r>
      <w:r>
        <w:t xml:space="preserve"> MA</w:t>
      </w:r>
      <w:r>
        <w:rPr>
          <w:rFonts w:cs="Times New Roman"/>
          <w:szCs w:val="24"/>
        </w:rPr>
        <w:t xml:space="preserve">REK, P. a kol. </w:t>
      </w:r>
      <w:r>
        <w:rPr>
          <w:rFonts w:cs="Times New Roman"/>
          <w:i/>
          <w:szCs w:val="24"/>
        </w:rPr>
        <w:t xml:space="preserve">Studijní průvodce financemi podniku, </w:t>
      </w:r>
      <w:r>
        <w:rPr>
          <w:rFonts w:cs="Times New Roman"/>
          <w:szCs w:val="24"/>
        </w:rPr>
        <w:t>1. vyd. Praha: Ekopress, 2006. 624 s. ISBN 80-86119-37-8.</w:t>
      </w:r>
      <w:r>
        <w:t xml:space="preserve"> S. 295.</w:t>
      </w:r>
    </w:p>
  </w:footnote>
  <w:footnote w:id="42">
    <w:p w:rsidR="00A57781" w:rsidRDefault="00A57781">
      <w:pPr>
        <w:pStyle w:val="Textpoznpodarou"/>
      </w:pPr>
      <w:r>
        <w:rPr>
          <w:rStyle w:val="Znakapoznpodarou"/>
        </w:rPr>
        <w:footnoteRef/>
      </w:r>
      <w:r>
        <w:t xml:space="preserve"> SEDLÁČEK, J. </w:t>
      </w:r>
      <w:r>
        <w:rPr>
          <w:rFonts w:eastAsia="Calibri" w:cs="Times New Roman"/>
          <w:i/>
        </w:rPr>
        <w:t>Účetní data v rukou manažera</w:t>
      </w:r>
      <w:r>
        <w:rPr>
          <w:rFonts w:eastAsia="Calibri" w:cs="Times New Roman"/>
        </w:rPr>
        <w:t xml:space="preserve">, 2. dopl. vyd. Praha: Computer Press, 2001. 220s. ISBN 80-7226-562-8. </w:t>
      </w:r>
      <w:r>
        <w:t>S. 72.</w:t>
      </w:r>
    </w:p>
  </w:footnote>
  <w:footnote w:id="43">
    <w:p w:rsidR="00A57781" w:rsidRDefault="00A57781">
      <w:pPr>
        <w:pStyle w:val="Textpoznpodarou"/>
      </w:pPr>
      <w:r>
        <w:rPr>
          <w:rStyle w:val="Znakapoznpodarou"/>
        </w:rPr>
        <w:footnoteRef/>
      </w:r>
      <w:r>
        <w:t xml:space="preserve"> </w:t>
      </w:r>
      <w:r>
        <w:rPr>
          <w:rFonts w:eastAsia="Calibri" w:cs="Times New Roman"/>
        </w:rPr>
        <w:t xml:space="preserve">GRÜNWALD, R.; HOLEČKOVÁ, J. </w:t>
      </w:r>
      <w:r>
        <w:rPr>
          <w:rStyle w:val="StylKurzvaChar"/>
          <w:rFonts w:eastAsia="Calibri"/>
          <w:sz w:val="20"/>
        </w:rPr>
        <w:t>Finanční analýza a plánování podniku,</w:t>
      </w:r>
      <w:r>
        <w:rPr>
          <w:rFonts w:eastAsia="Calibri" w:cs="Times New Roman"/>
        </w:rPr>
        <w:t xml:space="preserve"> 1. vyd. Praha: Ekopress, 2007. 320 s. ISBN 978-80-86929-26-2.</w:t>
      </w:r>
      <w:r>
        <w:t xml:space="preserve"> S. 113.</w:t>
      </w:r>
    </w:p>
  </w:footnote>
  <w:footnote w:id="44">
    <w:p w:rsidR="00A57781" w:rsidRDefault="00A57781">
      <w:pPr>
        <w:pStyle w:val="Textpoznpodarou"/>
      </w:pPr>
      <w:r>
        <w:rPr>
          <w:rStyle w:val="Znakapoznpodarou"/>
        </w:rPr>
        <w:footnoteRef/>
      </w:r>
      <w:r>
        <w:t xml:space="preserve">SEDLÁČEK, J. </w:t>
      </w:r>
      <w:r>
        <w:rPr>
          <w:rFonts w:eastAsia="Calibri" w:cs="Times New Roman"/>
          <w:i/>
        </w:rPr>
        <w:t>Účetní data v rukou manažera</w:t>
      </w:r>
      <w:r>
        <w:rPr>
          <w:rFonts w:eastAsia="Calibri" w:cs="Times New Roman"/>
        </w:rPr>
        <w:t>, 2. dopl. vyd. Praha: Computer Press, 2001. 220s. ISBN 80-7226-562-8</w:t>
      </w:r>
      <w:r>
        <w:t>. S. 74.</w:t>
      </w:r>
    </w:p>
  </w:footnote>
  <w:footnote w:id="45">
    <w:p w:rsidR="00A57781" w:rsidRDefault="00A57781">
      <w:pPr>
        <w:pStyle w:val="Textpoznpodarou"/>
      </w:pPr>
      <w:r>
        <w:rPr>
          <w:rStyle w:val="Znakapoznpodarou"/>
        </w:rPr>
        <w:footnoteRef/>
      </w:r>
      <w:r>
        <w:t xml:space="preserve"> </w:t>
      </w:r>
      <w:r>
        <w:rPr>
          <w:rFonts w:eastAsia="Calibri" w:cs="Times New Roman"/>
        </w:rPr>
        <w:t xml:space="preserve">GRÜNWALD, R.; HOLEČKOVÁ, J. </w:t>
      </w:r>
      <w:r>
        <w:rPr>
          <w:rStyle w:val="StylKurzvaChar"/>
          <w:rFonts w:eastAsia="Calibri"/>
          <w:sz w:val="20"/>
        </w:rPr>
        <w:t>Finanční analýza a plánování podniku,</w:t>
      </w:r>
      <w:r>
        <w:rPr>
          <w:rFonts w:eastAsia="Calibri" w:cs="Times New Roman"/>
        </w:rPr>
        <w:t xml:space="preserve"> 1. vyd. Praha: Ekopress, 2007. 320 s. ISBN 978-80-86929-26-2.</w:t>
      </w:r>
      <w:r>
        <w:t xml:space="preserve"> S. 115.</w:t>
      </w:r>
    </w:p>
  </w:footnote>
  <w:footnote w:id="46">
    <w:p w:rsidR="00A57781" w:rsidRDefault="00A57781">
      <w:pPr>
        <w:pStyle w:val="Textpoznpodarou"/>
      </w:pPr>
      <w:r>
        <w:rPr>
          <w:rStyle w:val="Znakapoznpodarou"/>
        </w:rPr>
        <w:footnoteRef/>
      </w:r>
      <w:r>
        <w:t xml:space="preserve"> RŮČKOVÁ, P. </w:t>
      </w:r>
      <w:r>
        <w:rPr>
          <w:rFonts w:eastAsia="Calibri" w:cs="Times New Roman"/>
          <w:i/>
        </w:rPr>
        <w:t>Finanční analýza</w:t>
      </w:r>
      <w:r>
        <w:rPr>
          <w:rFonts w:eastAsia="Calibri" w:cs="Times New Roman"/>
        </w:rPr>
        <w:t>, 1. vyd. Praha: Grada publishing, 2007. 120s. ISBN 978-80-247-1386-1.</w:t>
      </w:r>
      <w:r>
        <w:t xml:space="preserve"> S. 49.</w:t>
      </w:r>
    </w:p>
  </w:footnote>
  <w:footnote w:id="47">
    <w:p w:rsidR="00A57781" w:rsidRDefault="00A57781">
      <w:pPr>
        <w:pStyle w:val="Textpoznpodarou"/>
      </w:pPr>
      <w:r>
        <w:rPr>
          <w:rStyle w:val="Znakapoznpodarou"/>
        </w:rPr>
        <w:footnoteRef/>
      </w:r>
      <w:r>
        <w:t xml:space="preserve"> SEDLÁČEK, J. </w:t>
      </w:r>
      <w:r>
        <w:rPr>
          <w:rFonts w:eastAsia="Calibri" w:cs="Times New Roman"/>
          <w:i/>
        </w:rPr>
        <w:t>Účetní data v rukou manažera</w:t>
      </w:r>
      <w:r>
        <w:rPr>
          <w:rFonts w:eastAsia="Calibri" w:cs="Times New Roman"/>
        </w:rPr>
        <w:t>, 2. dopl. vyd. Praha: Computer Press, 2001. 220s. ISBN 80-7226-562-8</w:t>
      </w:r>
      <w:r>
        <w:t>. S. 119.</w:t>
      </w:r>
    </w:p>
  </w:footnote>
  <w:footnote w:id="48">
    <w:p w:rsidR="00A57781" w:rsidRDefault="00A57781">
      <w:pPr>
        <w:pStyle w:val="Textpoznpodarou"/>
      </w:pPr>
      <w:r>
        <w:rPr>
          <w:rStyle w:val="Znakapoznpodarou"/>
        </w:rPr>
        <w:footnoteRef/>
      </w:r>
      <w:r>
        <w:t xml:space="preserve"> Tamtéž s</w:t>
      </w:r>
      <w:r w:rsidR="00F9395F">
        <w:t>.</w:t>
      </w:r>
      <w:r>
        <w:t xml:space="preserve"> 110</w:t>
      </w:r>
    </w:p>
  </w:footnote>
  <w:footnote w:id="49">
    <w:p w:rsidR="00A57781" w:rsidRDefault="00A57781">
      <w:pPr>
        <w:pStyle w:val="Textpoznpodarou"/>
      </w:pPr>
      <w:r>
        <w:rPr>
          <w:rStyle w:val="Znakapoznpodarou"/>
        </w:rPr>
        <w:footnoteRef/>
      </w:r>
      <w:r w:rsidR="00933468">
        <w:t xml:space="preserve"> SEDLÁČEK</w:t>
      </w:r>
      <w:r w:rsidR="00933468">
        <w:rPr>
          <w:rFonts w:cs="Times New Roman"/>
          <w:szCs w:val="24"/>
        </w:rPr>
        <w:t xml:space="preserve">, J. </w:t>
      </w:r>
      <w:r w:rsidR="00933468">
        <w:rPr>
          <w:rFonts w:cs="Times New Roman"/>
          <w:i/>
          <w:szCs w:val="24"/>
        </w:rPr>
        <w:t>Finanční analýza podniku</w:t>
      </w:r>
      <w:r w:rsidR="00933468">
        <w:rPr>
          <w:rFonts w:cs="Times New Roman"/>
          <w:szCs w:val="24"/>
        </w:rPr>
        <w:t>, 2. dopl. vyd. Praha: Computer Press, 2011. 152 s. ISBN 978-80-251-3386-6. S.</w:t>
      </w:r>
      <w:r w:rsidR="00F9395F">
        <w:rPr>
          <w:rFonts w:cs="Times New Roman"/>
          <w:szCs w:val="24"/>
        </w:rPr>
        <w:t xml:space="preserve"> </w:t>
      </w:r>
      <w:r w:rsidR="00933468">
        <w:rPr>
          <w:rFonts w:cs="Times New Roman"/>
          <w:szCs w:val="24"/>
        </w:rPr>
        <w:t>105.</w:t>
      </w:r>
    </w:p>
  </w:footnote>
  <w:footnote w:id="50">
    <w:p w:rsidR="00A57781" w:rsidRDefault="00A57781">
      <w:pPr>
        <w:pStyle w:val="Textpoznpodarou"/>
      </w:pPr>
      <w:r>
        <w:rPr>
          <w:rStyle w:val="Znakapoznpodarou"/>
        </w:rPr>
        <w:footnoteRef/>
      </w:r>
      <w:r w:rsidR="00933468">
        <w:t xml:space="preserve"> Tamtéž, s. 106</w:t>
      </w:r>
      <w:r>
        <w:t>.</w:t>
      </w:r>
    </w:p>
  </w:footnote>
  <w:footnote w:id="51">
    <w:p w:rsidR="00A57781" w:rsidRDefault="00A57781">
      <w:pPr>
        <w:pStyle w:val="Textpoznpodarou"/>
      </w:pPr>
      <w:r>
        <w:rPr>
          <w:rStyle w:val="Znakapoznpodarou"/>
        </w:rPr>
        <w:footnoteRef/>
      </w:r>
      <w:r w:rsidR="002120B3">
        <w:t>SEDLÁČEK</w:t>
      </w:r>
      <w:r w:rsidR="002120B3">
        <w:rPr>
          <w:rFonts w:cs="Times New Roman"/>
          <w:szCs w:val="24"/>
        </w:rPr>
        <w:t xml:space="preserve">, J. </w:t>
      </w:r>
      <w:r w:rsidR="002120B3">
        <w:rPr>
          <w:rFonts w:cs="Times New Roman"/>
          <w:i/>
          <w:szCs w:val="24"/>
        </w:rPr>
        <w:t>Finanční analýza podniku</w:t>
      </w:r>
      <w:r w:rsidR="002120B3">
        <w:rPr>
          <w:rFonts w:cs="Times New Roman"/>
          <w:szCs w:val="24"/>
        </w:rPr>
        <w:t>, 2. dopl. vyd. Praha: Computer Press, 2011. 152 s. ISBN 978-80-251-3386-6. S.106.</w:t>
      </w:r>
    </w:p>
  </w:footnote>
  <w:footnote w:id="52">
    <w:p w:rsidR="00A57781" w:rsidRDefault="00A57781">
      <w:pPr>
        <w:pStyle w:val="Textpoznpodarou"/>
      </w:pPr>
      <w:r>
        <w:rPr>
          <w:rStyle w:val="Znakapoznpodarou"/>
        </w:rPr>
        <w:footnoteRef/>
      </w:r>
      <w:r>
        <w:t>SUCH</w:t>
      </w:r>
      <w:r>
        <w:rPr>
          <w:rFonts w:cs="Times New Roman"/>
        </w:rPr>
        <w:t>ÁNEK, P.</w:t>
      </w:r>
      <w:r>
        <w:rPr>
          <w:rFonts w:cs="Times New Roman"/>
          <w:i/>
        </w:rPr>
        <w:t xml:space="preserve"> Finanční management,</w:t>
      </w:r>
      <w:r>
        <w:rPr>
          <w:rFonts w:cs="Times New Roman"/>
        </w:rPr>
        <w:t xml:space="preserve"> 1. vyd. Brno: Masarykova univerzita, 2007. 127 s. ISBN 978-80-210-4277-3</w:t>
      </w:r>
      <w:r>
        <w:t>. S. 104.</w:t>
      </w:r>
    </w:p>
  </w:footnote>
  <w:footnote w:id="53">
    <w:p w:rsidR="00A57781" w:rsidRDefault="00A57781">
      <w:pPr>
        <w:pStyle w:val="Textpoznpodarou"/>
      </w:pPr>
      <w:r>
        <w:rPr>
          <w:rStyle w:val="Znakapoznpodarou"/>
        </w:rPr>
        <w:footnoteRef/>
      </w:r>
      <w:r>
        <w:t xml:space="preserve"> Tamtéž, s. 104.</w:t>
      </w:r>
    </w:p>
  </w:footnote>
  <w:footnote w:id="54">
    <w:p w:rsidR="00A57781" w:rsidRPr="0072284C" w:rsidRDefault="00A57781">
      <w:pPr>
        <w:pStyle w:val="Textpoznpodarou"/>
      </w:pPr>
      <w:r w:rsidRPr="0072284C">
        <w:rPr>
          <w:rStyle w:val="Znakapoznpodarou"/>
        </w:rPr>
        <w:footnoteRef/>
      </w:r>
      <w:r w:rsidRPr="0072284C">
        <w:t xml:space="preserve"> </w:t>
      </w:r>
      <w:r w:rsidRPr="0072284C">
        <w:rPr>
          <w:rFonts w:eastAsia="Calibri" w:cs="Times New Roman"/>
          <w:szCs w:val="24"/>
          <w:lang w:eastAsia="cs-CZ"/>
        </w:rPr>
        <w:t>Obchodní rejstřík a Sbírka listin. Platný výpis [online].</w:t>
      </w:r>
      <w:r w:rsidRPr="0072284C">
        <w:t xml:space="preserve"> 2012 [cit. 2012-05-18]. Dostupné z WWW: &lt;</w:t>
      </w:r>
      <w:hyperlink r:id="rId2" w:history="1">
        <w:r w:rsidRPr="0072284C">
          <w:rPr>
            <w:rStyle w:val="Hypertextovodkaz"/>
            <w:color w:val="auto"/>
            <w:u w:val="none"/>
          </w:rPr>
          <w:t>http://www.justice.cz/</w:t>
        </w:r>
      </w:hyperlink>
      <w:r w:rsidRPr="0072284C">
        <w:t>&gt;.</w:t>
      </w:r>
    </w:p>
  </w:footnote>
  <w:footnote w:id="55">
    <w:p w:rsidR="00A57781" w:rsidRDefault="00A57781">
      <w:pPr>
        <w:pStyle w:val="Textpoznpodarou"/>
      </w:pPr>
      <w:r>
        <w:rPr>
          <w:rStyle w:val="Znakapoznpodarou"/>
        </w:rPr>
        <w:footnoteRef/>
      </w:r>
      <w:r>
        <w:t xml:space="preserve"> Těmito podniky jsou Dentunit s.r.o., SDent s.r.o., Profimed s.r.o., Liehmann s.r.o., HenrySchein Dental s.r.o.</w:t>
      </w:r>
    </w:p>
  </w:footnote>
  <w:footnote w:id="56">
    <w:p w:rsidR="00A57781" w:rsidRPr="00411B6B" w:rsidRDefault="00A57781">
      <w:pPr>
        <w:tabs>
          <w:tab w:val="left" w:pos="851"/>
        </w:tabs>
        <w:rPr>
          <w:rFonts w:cs="Times New Roman"/>
          <w:szCs w:val="24"/>
        </w:rPr>
      </w:pPr>
      <w:r w:rsidRPr="00411B6B">
        <w:rPr>
          <w:rStyle w:val="Znakapoznpodarou"/>
        </w:rPr>
        <w:footnoteRef/>
      </w:r>
      <w:r w:rsidRPr="00411B6B">
        <w:t xml:space="preserve"> </w:t>
      </w:r>
      <w:r w:rsidRPr="00411B6B">
        <w:rPr>
          <w:sz w:val="20"/>
          <w:szCs w:val="20"/>
        </w:rPr>
        <w:t>Výnos</w:t>
      </w:r>
      <w:r w:rsidRPr="00411B6B">
        <w:rPr>
          <w:rFonts w:cs="Times New Roman"/>
          <w:sz w:val="20"/>
          <w:szCs w:val="20"/>
        </w:rPr>
        <w:t xml:space="preserve"> státních dluhopisů (databáze časových řad)</w:t>
      </w:r>
      <w:r w:rsidRPr="00411B6B">
        <w:rPr>
          <w:rFonts w:eastAsia="Calibri" w:cs="Times New Roman"/>
          <w:sz w:val="20"/>
          <w:szCs w:val="20"/>
          <w:lang w:eastAsia="cs-CZ"/>
        </w:rPr>
        <w:t xml:space="preserve"> [online].</w:t>
      </w:r>
      <w:r w:rsidRPr="00411B6B">
        <w:rPr>
          <w:sz w:val="20"/>
          <w:szCs w:val="20"/>
        </w:rPr>
        <w:t xml:space="preserve"> 2012 [cit. 2012-05-18]. Dostupné z WWW: &lt;</w:t>
      </w:r>
      <w:hyperlink r:id="rId3" w:history="1">
        <w:r w:rsidRPr="00411B6B">
          <w:rPr>
            <w:rStyle w:val="Hypertextovodkaz"/>
            <w:color w:val="auto"/>
            <w:sz w:val="20"/>
            <w:szCs w:val="20"/>
            <w:u w:val="none"/>
          </w:rPr>
          <w:t>http://www.cnb.cz/cnb/STAT.ARADY_PKG.PARAMETRY_SESTAVY?p_sestuid=450&amp;p_strid=EBA&amp;p_lang=CS</w:t>
        </w:r>
      </w:hyperlink>
      <w:r w:rsidRPr="00411B6B">
        <w:rPr>
          <w:sz w:val="20"/>
          <w:szCs w:val="20"/>
        </w:rPr>
        <w:t>&gt;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597C869E"/>
    <w:lvl w:ilvl="0">
      <w:start w:val="1"/>
      <w:numFmt w:val="decimal"/>
      <w:pStyle w:val="slovanseznam"/>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720"/>
        </w:tabs>
        <w:ind w:left="720" w:hanging="360"/>
      </w:pPr>
    </w:lvl>
  </w:abstractNum>
  <w:abstractNum w:abstractNumId="2">
    <w:nsid w:val="003F1E0B"/>
    <w:multiLevelType w:val="multilevel"/>
    <w:tmpl w:val="E7B8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B36B1F"/>
    <w:multiLevelType w:val="hybridMultilevel"/>
    <w:tmpl w:val="20F839F2"/>
    <w:lvl w:ilvl="0" w:tplc="2BF0DEAC">
      <w:numFmt w:val="bullet"/>
      <w:lvlText w:val=""/>
      <w:lvlJc w:val="left"/>
      <w:pPr>
        <w:ind w:left="720" w:hanging="360"/>
      </w:pPr>
      <w:rPr>
        <w:rFonts w:ascii="Wingdings" w:eastAsiaTheme="minorHAnsi" w:hAnsi="Wingding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986054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9F666B7"/>
    <w:multiLevelType w:val="hybridMultilevel"/>
    <w:tmpl w:val="748217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A080122"/>
    <w:multiLevelType w:val="hybridMultilevel"/>
    <w:tmpl w:val="298EA3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BA9115D"/>
    <w:multiLevelType w:val="hybridMultilevel"/>
    <w:tmpl w:val="AB127118"/>
    <w:lvl w:ilvl="0" w:tplc="00000003">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0D8B4709"/>
    <w:multiLevelType w:val="hybridMultilevel"/>
    <w:tmpl w:val="D0329092"/>
    <w:lvl w:ilvl="0" w:tplc="31806352">
      <w:numFmt w:val="bullet"/>
      <w:lvlText w:val=""/>
      <w:lvlJc w:val="left"/>
      <w:pPr>
        <w:ind w:left="720" w:hanging="360"/>
      </w:pPr>
      <w:rPr>
        <w:rFonts w:ascii="Wingdings" w:eastAsiaTheme="minorHAnsi" w:hAnsi="Wingding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F2B13F9"/>
    <w:multiLevelType w:val="hybridMultilevel"/>
    <w:tmpl w:val="5E10EC7C"/>
    <w:lvl w:ilvl="0" w:tplc="E788EBB0">
      <w:start w:val="1"/>
      <w:numFmt w:val="decimal"/>
      <w:lvlText w:val="[%1]"/>
      <w:lvlJc w:val="left"/>
      <w:pPr>
        <w:ind w:left="720" w:hanging="360"/>
      </w:pPr>
      <w:rPr>
        <w:b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5811F66"/>
    <w:multiLevelType w:val="hybridMultilevel"/>
    <w:tmpl w:val="80ACBD48"/>
    <w:lvl w:ilvl="0" w:tplc="5B4A921A">
      <w:numFmt w:val="bullet"/>
      <w:lvlText w:val=""/>
      <w:lvlJc w:val="left"/>
      <w:pPr>
        <w:ind w:left="720" w:hanging="360"/>
      </w:pPr>
      <w:rPr>
        <w:rFonts w:ascii="Wingdings" w:eastAsiaTheme="minorHAnsi" w:hAnsi="Wingding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72638B4"/>
    <w:multiLevelType w:val="hybridMultilevel"/>
    <w:tmpl w:val="00B455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6833244"/>
    <w:multiLevelType w:val="hybridMultilevel"/>
    <w:tmpl w:val="2E3E490C"/>
    <w:lvl w:ilvl="0" w:tplc="E114364C">
      <w:start w:val="1"/>
      <w:numFmt w:val="decimal"/>
      <w:lvlText w:val="[%1]"/>
      <w:lvlJc w:val="left"/>
      <w:pPr>
        <w:tabs>
          <w:tab w:val="num" w:pos="454"/>
        </w:tabs>
        <w:ind w:left="454" w:hanging="45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334E7C88"/>
    <w:multiLevelType w:val="multilevel"/>
    <w:tmpl w:val="26C8391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9885F9B"/>
    <w:multiLevelType w:val="hybridMultilevel"/>
    <w:tmpl w:val="244842A2"/>
    <w:lvl w:ilvl="0" w:tplc="00000003">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4C146CFE"/>
    <w:multiLevelType w:val="hybridMultilevel"/>
    <w:tmpl w:val="26B67A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55916AEE"/>
    <w:multiLevelType w:val="hybridMultilevel"/>
    <w:tmpl w:val="07A24256"/>
    <w:lvl w:ilvl="0" w:tplc="D5C2049A">
      <w:numFmt w:val="bullet"/>
      <w:lvlText w:val=""/>
      <w:lvlJc w:val="left"/>
      <w:pPr>
        <w:ind w:left="720" w:hanging="360"/>
      </w:pPr>
      <w:rPr>
        <w:rFonts w:ascii="Wingdings" w:eastAsiaTheme="minorHAnsi" w:hAnsi="Wingding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56147349"/>
    <w:multiLevelType w:val="hybridMultilevel"/>
    <w:tmpl w:val="13CA711A"/>
    <w:lvl w:ilvl="0" w:tplc="B06CA798">
      <w:numFmt w:val="bullet"/>
      <w:lvlText w:val=""/>
      <w:lvlJc w:val="left"/>
      <w:pPr>
        <w:ind w:left="720" w:hanging="360"/>
      </w:pPr>
      <w:rPr>
        <w:rFonts w:ascii="Wingdings" w:eastAsiaTheme="minorHAnsi" w:hAnsi="Wingding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63DC2971"/>
    <w:multiLevelType w:val="hybridMultilevel"/>
    <w:tmpl w:val="3B885C22"/>
    <w:lvl w:ilvl="0" w:tplc="F654B916">
      <w:start w:val="1"/>
      <w:numFmt w:val="decimal"/>
      <w:suff w:val="space"/>
      <w:lvlText w:val="[%1]"/>
      <w:lvlJc w:val="left"/>
      <w:pPr>
        <w:ind w:left="720" w:hanging="360"/>
      </w:pPr>
      <w:rPr>
        <w:rFonts w:hint="default"/>
        <w:i w:val="0"/>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6957730D"/>
    <w:multiLevelType w:val="hybridMultilevel"/>
    <w:tmpl w:val="67C216BC"/>
    <w:lvl w:ilvl="0" w:tplc="285EEB7C">
      <w:start w:val="1"/>
      <w:numFmt w:val="decimal"/>
      <w:suff w:val="space"/>
      <w:lvlText w:val="[%1]"/>
      <w:lvlJc w:val="left"/>
      <w:pPr>
        <w:ind w:left="786"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D35521A"/>
    <w:multiLevelType w:val="multilevel"/>
    <w:tmpl w:val="AB5C83FE"/>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92" w:hanging="432"/>
      </w:pPr>
      <w:rPr>
        <w:rFonts w:hint="default"/>
      </w:rPr>
    </w:lvl>
    <w:lvl w:ilvl="2">
      <w:start w:val="1"/>
      <w:numFmt w:val="decimal"/>
      <w:pStyle w:val="Nadpis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7712332E"/>
    <w:multiLevelType w:val="hybridMultilevel"/>
    <w:tmpl w:val="3CEEC1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7A990BD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0"/>
  </w:num>
  <w:num w:numId="3">
    <w:abstractNumId w:val="22"/>
  </w:num>
  <w:num w:numId="4">
    <w:abstractNumId w:val="4"/>
  </w:num>
  <w:num w:numId="5">
    <w:abstractNumId w:val="20"/>
  </w:num>
  <w:num w:numId="6">
    <w:abstractNumId w:val="20"/>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3"/>
  </w:num>
  <w:num w:numId="11">
    <w:abstractNumId w:val="12"/>
  </w:num>
  <w:num w:numId="12">
    <w:abstractNumId w:val="7"/>
  </w:num>
  <w:num w:numId="13">
    <w:abstractNumId w:val="1"/>
  </w:num>
  <w:num w:numId="14">
    <w:abstractNumId w:val="19"/>
  </w:num>
  <w:num w:numId="15">
    <w:abstractNumId w:val="18"/>
  </w:num>
  <w:num w:numId="16">
    <w:abstractNumId w:val="15"/>
  </w:num>
  <w:num w:numId="17">
    <w:abstractNumId w:val="5"/>
  </w:num>
  <w:num w:numId="18">
    <w:abstractNumId w:val="6"/>
  </w:num>
  <w:num w:numId="19">
    <w:abstractNumId w:val="2"/>
  </w:num>
  <w:num w:numId="20">
    <w:abstractNumId w:val="11"/>
  </w:num>
  <w:num w:numId="21">
    <w:abstractNumId w:val="21"/>
  </w:num>
  <w:num w:numId="22">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4"/>
  </w:num>
  <w:num w:numId="25">
    <w:abstractNumId w:val="8"/>
  </w:num>
  <w:num w:numId="26">
    <w:abstractNumId w:val="17"/>
  </w:num>
  <w:num w:numId="27">
    <w:abstractNumId w:val="3"/>
  </w:num>
  <w:num w:numId="28">
    <w:abstractNumId w:val="10"/>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1024"/>
  <w:defaultTabStop w:val="709"/>
  <w:hyphenationZone w:val="425"/>
  <w:characterSpacingControl w:val="doNotCompress"/>
  <w:footnotePr>
    <w:footnote w:id="-1"/>
    <w:footnote w:id="0"/>
  </w:footnotePr>
  <w:endnotePr>
    <w:endnote w:id="-1"/>
    <w:endnote w:id="0"/>
  </w:endnotePr>
  <w:compat/>
  <w:rsids>
    <w:rsidRoot w:val="00AE0C79"/>
    <w:rsid w:val="00031F76"/>
    <w:rsid w:val="00041E07"/>
    <w:rsid w:val="0005258D"/>
    <w:rsid w:val="000A25BD"/>
    <w:rsid w:val="000C319D"/>
    <w:rsid w:val="000D29A8"/>
    <w:rsid w:val="000D3E3D"/>
    <w:rsid w:val="00110B79"/>
    <w:rsid w:val="00116ACB"/>
    <w:rsid w:val="00141524"/>
    <w:rsid w:val="0015531C"/>
    <w:rsid w:val="00176081"/>
    <w:rsid w:val="00187859"/>
    <w:rsid w:val="001A1A90"/>
    <w:rsid w:val="001A25EF"/>
    <w:rsid w:val="001A34BF"/>
    <w:rsid w:val="001A62C9"/>
    <w:rsid w:val="002120B3"/>
    <w:rsid w:val="00255245"/>
    <w:rsid w:val="00256FDE"/>
    <w:rsid w:val="00261A14"/>
    <w:rsid w:val="002743AB"/>
    <w:rsid w:val="002B1FA4"/>
    <w:rsid w:val="002C2538"/>
    <w:rsid w:val="002E165F"/>
    <w:rsid w:val="00310581"/>
    <w:rsid w:val="00374664"/>
    <w:rsid w:val="00377AD8"/>
    <w:rsid w:val="003A48B1"/>
    <w:rsid w:val="003C0ED9"/>
    <w:rsid w:val="003D7A2A"/>
    <w:rsid w:val="003F4BE1"/>
    <w:rsid w:val="00410788"/>
    <w:rsid w:val="00411B6B"/>
    <w:rsid w:val="00442730"/>
    <w:rsid w:val="00452814"/>
    <w:rsid w:val="004B550A"/>
    <w:rsid w:val="004C77B5"/>
    <w:rsid w:val="004F24B2"/>
    <w:rsid w:val="00505ECB"/>
    <w:rsid w:val="005123B1"/>
    <w:rsid w:val="0052003B"/>
    <w:rsid w:val="005255F4"/>
    <w:rsid w:val="0055370B"/>
    <w:rsid w:val="00576945"/>
    <w:rsid w:val="005A7802"/>
    <w:rsid w:val="006205D6"/>
    <w:rsid w:val="0062182E"/>
    <w:rsid w:val="00632BA5"/>
    <w:rsid w:val="006522B5"/>
    <w:rsid w:val="0068017F"/>
    <w:rsid w:val="006812A6"/>
    <w:rsid w:val="00683998"/>
    <w:rsid w:val="006A3D87"/>
    <w:rsid w:val="006E279B"/>
    <w:rsid w:val="00712259"/>
    <w:rsid w:val="0072284C"/>
    <w:rsid w:val="00731DFF"/>
    <w:rsid w:val="00732437"/>
    <w:rsid w:val="00737A2E"/>
    <w:rsid w:val="007665AD"/>
    <w:rsid w:val="007B6979"/>
    <w:rsid w:val="007C590D"/>
    <w:rsid w:val="007C76CE"/>
    <w:rsid w:val="007D0D31"/>
    <w:rsid w:val="007D7EAC"/>
    <w:rsid w:val="007F4EBD"/>
    <w:rsid w:val="0086686A"/>
    <w:rsid w:val="00875ADD"/>
    <w:rsid w:val="008777FA"/>
    <w:rsid w:val="008B37C9"/>
    <w:rsid w:val="008B6A68"/>
    <w:rsid w:val="008D61FB"/>
    <w:rsid w:val="008E0AED"/>
    <w:rsid w:val="0090268E"/>
    <w:rsid w:val="00904434"/>
    <w:rsid w:val="00933468"/>
    <w:rsid w:val="009558BD"/>
    <w:rsid w:val="00957A36"/>
    <w:rsid w:val="00962942"/>
    <w:rsid w:val="00965EEF"/>
    <w:rsid w:val="00970B1E"/>
    <w:rsid w:val="00990FB9"/>
    <w:rsid w:val="009E76C8"/>
    <w:rsid w:val="009F5D29"/>
    <w:rsid w:val="00A03DA4"/>
    <w:rsid w:val="00A3110A"/>
    <w:rsid w:val="00A57781"/>
    <w:rsid w:val="00A61E00"/>
    <w:rsid w:val="00A67595"/>
    <w:rsid w:val="00A77B7E"/>
    <w:rsid w:val="00A80DB5"/>
    <w:rsid w:val="00AE0C79"/>
    <w:rsid w:val="00AF42E0"/>
    <w:rsid w:val="00B4547F"/>
    <w:rsid w:val="00B72FFA"/>
    <w:rsid w:val="00B7769D"/>
    <w:rsid w:val="00BA379B"/>
    <w:rsid w:val="00BD26CE"/>
    <w:rsid w:val="00C1246E"/>
    <w:rsid w:val="00C21DC4"/>
    <w:rsid w:val="00C35A97"/>
    <w:rsid w:val="00C64919"/>
    <w:rsid w:val="00CA2049"/>
    <w:rsid w:val="00CE4A44"/>
    <w:rsid w:val="00D15BB5"/>
    <w:rsid w:val="00D22B0F"/>
    <w:rsid w:val="00D23D71"/>
    <w:rsid w:val="00D417FA"/>
    <w:rsid w:val="00D57745"/>
    <w:rsid w:val="00D6025A"/>
    <w:rsid w:val="00D615CC"/>
    <w:rsid w:val="00D72D80"/>
    <w:rsid w:val="00E0125A"/>
    <w:rsid w:val="00E027E3"/>
    <w:rsid w:val="00E16BF3"/>
    <w:rsid w:val="00E2044B"/>
    <w:rsid w:val="00E30530"/>
    <w:rsid w:val="00EB2617"/>
    <w:rsid w:val="00EB538B"/>
    <w:rsid w:val="00EC7DD6"/>
    <w:rsid w:val="00ED7725"/>
    <w:rsid w:val="00F22FA4"/>
    <w:rsid w:val="00F26E31"/>
    <w:rsid w:val="00F5284D"/>
    <w:rsid w:val="00F61EC2"/>
    <w:rsid w:val="00F9395F"/>
    <w:rsid w:val="00FA7B84"/>
    <w:rsid w:val="00FB5C50"/>
    <w:rsid w:val="00FC7C04"/>
    <w:rsid w:val="00FD1318"/>
    <w:rsid w:val="00FD1BD9"/>
    <w:rsid w:val="00FD2414"/>
    <w:rsid w:val="00FE0302"/>
    <w:rsid w:val="00FE70D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uiPriority="10" w:qFormat="1"/>
    <w:lsdException w:name="Default Paragraph Font" w:semiHidden="1" w:uiPriority="1" w:unhideWhenUsed="1"/>
    <w:lsdException w:name="Body Text" w:uiPriority="0"/>
    <w:lsdException w:name="Subtitle" w:uiPriority="11" w:qFormat="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ln">
    <w:name w:val="Normal"/>
    <w:qFormat/>
    <w:rsid w:val="00AE0C79"/>
    <w:pPr>
      <w:spacing w:line="240" w:lineRule="auto"/>
      <w:jc w:val="both"/>
    </w:pPr>
    <w:rPr>
      <w:rFonts w:ascii="Times New Roman" w:hAnsi="Times New Roman"/>
      <w:sz w:val="24"/>
    </w:rPr>
  </w:style>
  <w:style w:type="paragraph" w:styleId="Nadpis1">
    <w:name w:val="heading 1"/>
    <w:basedOn w:val="Normln"/>
    <w:next w:val="Normln"/>
    <w:link w:val="Nadpis1Char"/>
    <w:uiPriority w:val="9"/>
    <w:qFormat/>
    <w:rsid w:val="00AE0C79"/>
    <w:pPr>
      <w:keepNext/>
      <w:keepLines/>
      <w:numPr>
        <w:numId w:val="9"/>
      </w:numPr>
      <w:spacing w:before="600" w:after="120"/>
      <w:outlineLvl w:val="0"/>
    </w:pPr>
    <w:rPr>
      <w:rFonts w:eastAsiaTheme="majorEastAsia" w:cstheme="majorBidi"/>
      <w:b/>
      <w:bCs/>
      <w:sz w:val="32"/>
      <w:szCs w:val="28"/>
    </w:rPr>
  </w:style>
  <w:style w:type="paragraph" w:styleId="Nadpis2">
    <w:name w:val="heading 2"/>
    <w:basedOn w:val="Normln"/>
    <w:next w:val="Normln"/>
    <w:link w:val="Nadpis2Char"/>
    <w:uiPriority w:val="9"/>
    <w:qFormat/>
    <w:rsid w:val="00AE0C79"/>
    <w:pPr>
      <w:keepNext/>
      <w:keepLines/>
      <w:numPr>
        <w:ilvl w:val="1"/>
        <w:numId w:val="9"/>
      </w:numPr>
      <w:spacing w:before="320" w:after="120"/>
      <w:outlineLvl w:val="1"/>
    </w:pPr>
    <w:rPr>
      <w:rFonts w:eastAsiaTheme="majorEastAsia" w:cstheme="majorBidi"/>
      <w:b/>
      <w:bCs/>
      <w:i/>
      <w:sz w:val="28"/>
      <w:szCs w:val="26"/>
    </w:rPr>
  </w:style>
  <w:style w:type="paragraph" w:styleId="Nadpis3">
    <w:name w:val="heading 3"/>
    <w:basedOn w:val="Normln"/>
    <w:next w:val="Normln"/>
    <w:link w:val="Nadpis3Char"/>
    <w:uiPriority w:val="9"/>
    <w:qFormat/>
    <w:rsid w:val="00AE0C79"/>
    <w:pPr>
      <w:keepNext/>
      <w:keepLines/>
      <w:numPr>
        <w:ilvl w:val="2"/>
        <w:numId w:val="9"/>
      </w:numPr>
      <w:spacing w:before="320" w:after="120"/>
      <w:outlineLvl w:val="2"/>
    </w:pPr>
    <w:rPr>
      <w:rFonts w:eastAsiaTheme="majorEastAsia" w:cstheme="majorBidi"/>
      <w:b/>
      <w:bCs/>
    </w:rPr>
  </w:style>
  <w:style w:type="paragraph" w:styleId="Nadpis4">
    <w:name w:val="heading 4"/>
    <w:aliases w:val="tabulka"/>
    <w:basedOn w:val="slovanseznam"/>
    <w:next w:val="Titulek"/>
    <w:link w:val="Nadpis4Char"/>
    <w:uiPriority w:val="9"/>
    <w:qFormat/>
    <w:rsid w:val="00AE0C79"/>
    <w:pPr>
      <w:keepNext/>
      <w:keepLines/>
      <w:spacing w:before="200" w:after="0"/>
      <w:outlineLvl w:val="3"/>
    </w:pPr>
    <w:rPr>
      <w:rFonts w:eastAsiaTheme="majorEastAsia" w:cstheme="majorBidi"/>
      <w:b/>
      <w:bCs/>
      <w:iCs/>
      <w:sz w:val="28"/>
    </w:rPr>
  </w:style>
  <w:style w:type="paragraph" w:styleId="Nadpis5">
    <w:name w:val="heading 5"/>
    <w:basedOn w:val="Normln"/>
    <w:next w:val="Normln"/>
    <w:link w:val="Nadpis5Char"/>
    <w:uiPriority w:val="9"/>
    <w:qFormat/>
    <w:rsid w:val="00AE0C79"/>
    <w:pPr>
      <w:keepNext/>
      <w:keepLines/>
      <w:spacing w:before="200" w:after="0"/>
      <w:outlineLvl w:val="4"/>
    </w:pPr>
    <w:rPr>
      <w:rFonts w:eastAsiaTheme="majorEastAsia" w:cstheme="majorBidi"/>
      <w:b/>
    </w:rPr>
  </w:style>
  <w:style w:type="paragraph" w:styleId="Nadpis6">
    <w:name w:val="heading 6"/>
    <w:basedOn w:val="Normln"/>
    <w:next w:val="Normln"/>
    <w:link w:val="Nadpis6Char"/>
    <w:uiPriority w:val="9"/>
    <w:qFormat/>
    <w:rsid w:val="00AE0C7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E0C79"/>
    <w:rPr>
      <w:rFonts w:ascii="Times New Roman" w:eastAsiaTheme="majorEastAsia" w:hAnsi="Times New Roman" w:cstheme="majorBidi"/>
      <w:b/>
      <w:bCs/>
      <w:sz w:val="32"/>
      <w:szCs w:val="28"/>
    </w:rPr>
  </w:style>
  <w:style w:type="character" w:customStyle="1" w:styleId="Nadpis2Char">
    <w:name w:val="Nadpis 2 Char"/>
    <w:basedOn w:val="Standardnpsmoodstavce"/>
    <w:link w:val="Nadpis2"/>
    <w:uiPriority w:val="9"/>
    <w:rsid w:val="00AE0C79"/>
    <w:rPr>
      <w:rFonts w:ascii="Times New Roman" w:eastAsiaTheme="majorEastAsia" w:hAnsi="Times New Roman" w:cstheme="majorBidi"/>
      <w:b/>
      <w:bCs/>
      <w:i/>
      <w:sz w:val="28"/>
      <w:szCs w:val="26"/>
    </w:rPr>
  </w:style>
  <w:style w:type="character" w:customStyle="1" w:styleId="Nadpis3Char">
    <w:name w:val="Nadpis 3 Char"/>
    <w:basedOn w:val="Standardnpsmoodstavce"/>
    <w:link w:val="Nadpis3"/>
    <w:uiPriority w:val="9"/>
    <w:rsid w:val="00AE0C79"/>
    <w:rPr>
      <w:rFonts w:ascii="Times New Roman" w:eastAsiaTheme="majorEastAsia" w:hAnsi="Times New Roman" w:cstheme="majorBidi"/>
      <w:b/>
      <w:bCs/>
      <w:sz w:val="24"/>
    </w:rPr>
  </w:style>
  <w:style w:type="character" w:customStyle="1" w:styleId="Nadpis4Char">
    <w:name w:val="Nadpis 4 Char"/>
    <w:aliases w:val="tabulka Char"/>
    <w:basedOn w:val="Standardnpsmoodstavce"/>
    <w:link w:val="Nadpis4"/>
    <w:uiPriority w:val="9"/>
    <w:rsid w:val="00AE0C79"/>
    <w:rPr>
      <w:rFonts w:ascii="Times New Roman" w:eastAsiaTheme="majorEastAsia" w:hAnsi="Times New Roman" w:cstheme="majorBidi"/>
      <w:b/>
      <w:bCs/>
      <w:iCs/>
      <w:sz w:val="28"/>
    </w:rPr>
  </w:style>
  <w:style w:type="paragraph" w:styleId="Citace">
    <w:name w:val="Quote"/>
    <w:basedOn w:val="Normln"/>
    <w:next w:val="Normln"/>
    <w:link w:val="CitaceChar"/>
    <w:uiPriority w:val="29"/>
    <w:qFormat/>
    <w:rsid w:val="00AE0C79"/>
    <w:rPr>
      <w:i/>
      <w:iCs/>
      <w:color w:val="000000" w:themeColor="text1"/>
    </w:rPr>
  </w:style>
  <w:style w:type="paragraph" w:styleId="slovanseznam">
    <w:name w:val="List Number"/>
    <w:basedOn w:val="Normln"/>
    <w:uiPriority w:val="99"/>
    <w:rsid w:val="00AE0C79"/>
    <w:pPr>
      <w:numPr>
        <w:numId w:val="1"/>
      </w:numPr>
      <w:contextualSpacing/>
    </w:pPr>
  </w:style>
  <w:style w:type="paragraph" w:styleId="Titulek">
    <w:name w:val="caption"/>
    <w:basedOn w:val="Normln"/>
    <w:next w:val="Normln"/>
    <w:qFormat/>
    <w:rsid w:val="00AE0C79"/>
    <w:rPr>
      <w:b/>
      <w:bCs/>
      <w:szCs w:val="18"/>
    </w:rPr>
  </w:style>
  <w:style w:type="character" w:customStyle="1" w:styleId="CitaceChar">
    <w:name w:val="Citace Char"/>
    <w:basedOn w:val="Standardnpsmoodstavce"/>
    <w:link w:val="Citace"/>
    <w:uiPriority w:val="29"/>
    <w:rsid w:val="00AE0C79"/>
    <w:rPr>
      <w:rFonts w:ascii="Times New Roman" w:hAnsi="Times New Roman"/>
      <w:i/>
      <w:iCs/>
      <w:color w:val="000000" w:themeColor="text1"/>
      <w:sz w:val="24"/>
    </w:rPr>
  </w:style>
  <w:style w:type="paragraph" w:styleId="Zkladntext">
    <w:name w:val="Body Text"/>
    <w:basedOn w:val="Normln"/>
    <w:link w:val="ZkladntextChar"/>
    <w:rsid w:val="00AE0C79"/>
    <w:pPr>
      <w:suppressAutoHyphens/>
      <w:spacing w:after="0"/>
    </w:pPr>
    <w:rPr>
      <w:rFonts w:eastAsia="Times New Roman" w:cs="Times New Roman"/>
      <w:szCs w:val="20"/>
      <w:lang w:eastAsia="ar-SA"/>
    </w:rPr>
  </w:style>
  <w:style w:type="character" w:customStyle="1" w:styleId="ZkladntextChar">
    <w:name w:val="Základní text Char"/>
    <w:basedOn w:val="Standardnpsmoodstavce"/>
    <w:link w:val="Zkladntext"/>
    <w:rsid w:val="00AE0C79"/>
    <w:rPr>
      <w:rFonts w:ascii="Times New Roman" w:eastAsia="Times New Roman" w:hAnsi="Times New Roman" w:cs="Times New Roman"/>
      <w:sz w:val="24"/>
      <w:szCs w:val="20"/>
      <w:lang w:eastAsia="ar-SA"/>
    </w:rPr>
  </w:style>
  <w:style w:type="paragraph" w:customStyle="1" w:styleId="Diplomka-textodstavce">
    <w:name w:val="Diplomka - text odstavce"/>
    <w:rsid w:val="00AE0C79"/>
    <w:pPr>
      <w:suppressAutoHyphens/>
      <w:spacing w:before="120" w:after="120" w:line="360" w:lineRule="auto"/>
      <w:jc w:val="both"/>
    </w:pPr>
    <w:rPr>
      <w:rFonts w:ascii="Times New Roman" w:eastAsia="Arial" w:hAnsi="Times New Roman" w:cs="Times New Roman"/>
      <w:sz w:val="24"/>
      <w:szCs w:val="20"/>
      <w:lang w:eastAsia="ar-SA"/>
    </w:rPr>
  </w:style>
  <w:style w:type="paragraph" w:styleId="Nadpisobsahu">
    <w:name w:val="TOC Heading"/>
    <w:basedOn w:val="Nadpis1"/>
    <w:next w:val="Normln"/>
    <w:uiPriority w:val="39"/>
    <w:unhideWhenUsed/>
    <w:qFormat/>
    <w:rsid w:val="00AE0C79"/>
    <w:pPr>
      <w:outlineLvl w:val="9"/>
    </w:pPr>
    <w:rPr>
      <w:rFonts w:asciiTheme="majorHAnsi" w:hAnsiTheme="majorHAnsi"/>
      <w:color w:val="365F91" w:themeColor="accent1" w:themeShade="BF"/>
      <w:sz w:val="28"/>
    </w:rPr>
  </w:style>
  <w:style w:type="paragraph" w:styleId="Textbubliny">
    <w:name w:val="Balloon Text"/>
    <w:basedOn w:val="Normln"/>
    <w:link w:val="TextbublinyChar"/>
    <w:uiPriority w:val="99"/>
    <w:rsid w:val="00AE0C79"/>
    <w:pPr>
      <w:spacing w:after="0"/>
    </w:pPr>
    <w:rPr>
      <w:rFonts w:ascii="Tahoma" w:hAnsi="Tahoma" w:cs="Tahoma"/>
      <w:sz w:val="16"/>
      <w:szCs w:val="16"/>
    </w:rPr>
  </w:style>
  <w:style w:type="character" w:customStyle="1" w:styleId="TextbublinyChar">
    <w:name w:val="Text bubliny Char"/>
    <w:basedOn w:val="Standardnpsmoodstavce"/>
    <w:link w:val="Textbubliny"/>
    <w:uiPriority w:val="99"/>
    <w:rsid w:val="00AE0C79"/>
    <w:rPr>
      <w:rFonts w:ascii="Tahoma" w:hAnsi="Tahoma" w:cs="Tahoma"/>
      <w:sz w:val="16"/>
      <w:szCs w:val="16"/>
    </w:rPr>
  </w:style>
  <w:style w:type="paragraph" w:styleId="Obsah1">
    <w:name w:val="toc 1"/>
    <w:basedOn w:val="Normln"/>
    <w:next w:val="Normln"/>
    <w:autoRedefine/>
    <w:uiPriority w:val="39"/>
    <w:qFormat/>
    <w:rsid w:val="00AE0C79"/>
    <w:pPr>
      <w:spacing w:after="100"/>
    </w:pPr>
    <w:rPr>
      <w:b/>
    </w:rPr>
  </w:style>
  <w:style w:type="paragraph" w:styleId="Obsah2">
    <w:name w:val="toc 2"/>
    <w:basedOn w:val="Normln"/>
    <w:next w:val="Normln"/>
    <w:autoRedefine/>
    <w:uiPriority w:val="39"/>
    <w:qFormat/>
    <w:rsid w:val="00AE0C79"/>
    <w:pPr>
      <w:spacing w:after="100"/>
      <w:ind w:left="240"/>
    </w:pPr>
  </w:style>
  <w:style w:type="paragraph" w:styleId="Obsah3">
    <w:name w:val="toc 3"/>
    <w:basedOn w:val="Normln"/>
    <w:next w:val="Normln"/>
    <w:autoRedefine/>
    <w:uiPriority w:val="39"/>
    <w:qFormat/>
    <w:rsid w:val="00AE0C79"/>
    <w:pPr>
      <w:spacing w:after="100"/>
      <w:ind w:left="480"/>
    </w:pPr>
    <w:rPr>
      <w:i/>
    </w:rPr>
  </w:style>
  <w:style w:type="character" w:styleId="Hypertextovodkaz">
    <w:name w:val="Hyperlink"/>
    <w:basedOn w:val="Standardnpsmoodstavce"/>
    <w:uiPriority w:val="99"/>
    <w:unhideWhenUsed/>
    <w:rsid w:val="00AE0C79"/>
    <w:rPr>
      <w:color w:val="0000FF" w:themeColor="hyperlink"/>
      <w:u w:val="single"/>
    </w:rPr>
  </w:style>
  <w:style w:type="paragraph" w:styleId="Textpoznpodarou">
    <w:name w:val="footnote text"/>
    <w:basedOn w:val="Normln"/>
    <w:link w:val="TextpoznpodarouChar"/>
    <w:uiPriority w:val="99"/>
    <w:rsid w:val="00AE0C79"/>
    <w:pPr>
      <w:spacing w:after="0"/>
    </w:pPr>
    <w:rPr>
      <w:sz w:val="20"/>
      <w:szCs w:val="20"/>
    </w:rPr>
  </w:style>
  <w:style w:type="character" w:customStyle="1" w:styleId="TextpoznpodarouChar">
    <w:name w:val="Text pozn. pod čarou Char"/>
    <w:basedOn w:val="Standardnpsmoodstavce"/>
    <w:link w:val="Textpoznpodarou"/>
    <w:uiPriority w:val="99"/>
    <w:rsid w:val="00AE0C79"/>
    <w:rPr>
      <w:rFonts w:ascii="Times New Roman" w:hAnsi="Times New Roman"/>
      <w:sz w:val="20"/>
      <w:szCs w:val="20"/>
    </w:rPr>
  </w:style>
  <w:style w:type="character" w:styleId="Znakapoznpodarou">
    <w:name w:val="footnote reference"/>
    <w:basedOn w:val="Standardnpsmoodstavce"/>
    <w:uiPriority w:val="99"/>
    <w:rsid w:val="00AE0C79"/>
    <w:rPr>
      <w:vertAlign w:val="superscript"/>
    </w:rPr>
  </w:style>
  <w:style w:type="paragraph" w:styleId="Textvysvtlivek">
    <w:name w:val="endnote text"/>
    <w:basedOn w:val="Normln"/>
    <w:link w:val="TextvysvtlivekChar"/>
    <w:uiPriority w:val="99"/>
    <w:rsid w:val="00AE0C79"/>
    <w:pPr>
      <w:spacing w:after="0"/>
    </w:pPr>
    <w:rPr>
      <w:sz w:val="20"/>
      <w:szCs w:val="20"/>
    </w:rPr>
  </w:style>
  <w:style w:type="character" w:customStyle="1" w:styleId="TextvysvtlivekChar">
    <w:name w:val="Text vysvětlivek Char"/>
    <w:basedOn w:val="Standardnpsmoodstavce"/>
    <w:link w:val="Textvysvtlivek"/>
    <w:uiPriority w:val="99"/>
    <w:rsid w:val="00AE0C79"/>
    <w:rPr>
      <w:rFonts w:ascii="Times New Roman" w:hAnsi="Times New Roman"/>
      <w:sz w:val="20"/>
      <w:szCs w:val="20"/>
    </w:rPr>
  </w:style>
  <w:style w:type="character" w:styleId="Odkaznavysvtlivky">
    <w:name w:val="endnote reference"/>
    <w:basedOn w:val="Standardnpsmoodstavce"/>
    <w:uiPriority w:val="99"/>
    <w:rsid w:val="00AE0C79"/>
    <w:rPr>
      <w:vertAlign w:val="superscript"/>
    </w:rPr>
  </w:style>
  <w:style w:type="character" w:customStyle="1" w:styleId="platne">
    <w:name w:val="platne"/>
    <w:basedOn w:val="Standardnpsmoodstavce"/>
    <w:rsid w:val="00AE0C79"/>
  </w:style>
  <w:style w:type="character" w:customStyle="1" w:styleId="apple-converted-space">
    <w:name w:val="apple-converted-space"/>
    <w:basedOn w:val="Standardnpsmoodstavce"/>
    <w:rsid w:val="00AE0C79"/>
  </w:style>
  <w:style w:type="table" w:styleId="Mkatabulky">
    <w:name w:val="Table Grid"/>
    <w:basedOn w:val="Normlntabulka"/>
    <w:uiPriority w:val="59"/>
    <w:rsid w:val="00AE0C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E0C79"/>
    <w:pPr>
      <w:autoSpaceDE w:val="0"/>
      <w:autoSpaceDN w:val="0"/>
      <w:adjustRightInd w:val="0"/>
      <w:spacing w:after="0" w:line="240" w:lineRule="auto"/>
    </w:pPr>
    <w:rPr>
      <w:rFonts w:ascii="Arial" w:hAnsi="Arial" w:cs="Arial"/>
      <w:color w:val="000000"/>
      <w:sz w:val="24"/>
      <w:szCs w:val="24"/>
    </w:rPr>
  </w:style>
  <w:style w:type="paragraph" w:styleId="Seznamobrzk">
    <w:name w:val="table of figures"/>
    <w:basedOn w:val="Normln"/>
    <w:next w:val="Normln"/>
    <w:uiPriority w:val="99"/>
    <w:rsid w:val="00AE0C79"/>
    <w:pPr>
      <w:spacing w:after="0"/>
    </w:pPr>
  </w:style>
  <w:style w:type="character" w:customStyle="1" w:styleId="Nadpis5Char">
    <w:name w:val="Nadpis 5 Char"/>
    <w:basedOn w:val="Standardnpsmoodstavce"/>
    <w:link w:val="Nadpis5"/>
    <w:uiPriority w:val="9"/>
    <w:rsid w:val="00AE0C79"/>
    <w:rPr>
      <w:rFonts w:ascii="Times New Roman" w:eastAsiaTheme="majorEastAsia" w:hAnsi="Times New Roman" w:cstheme="majorBidi"/>
      <w:b/>
      <w:sz w:val="24"/>
    </w:rPr>
  </w:style>
  <w:style w:type="character" w:customStyle="1" w:styleId="Nadpis6Char">
    <w:name w:val="Nadpis 6 Char"/>
    <w:basedOn w:val="Standardnpsmoodstavce"/>
    <w:link w:val="Nadpis6"/>
    <w:uiPriority w:val="9"/>
    <w:rsid w:val="00AE0C79"/>
    <w:rPr>
      <w:rFonts w:asciiTheme="majorHAnsi" w:eastAsiaTheme="majorEastAsia" w:hAnsiTheme="majorHAnsi" w:cstheme="majorBidi"/>
      <w:i/>
      <w:iCs/>
      <w:color w:val="243F60" w:themeColor="accent1" w:themeShade="7F"/>
      <w:sz w:val="24"/>
    </w:rPr>
  </w:style>
  <w:style w:type="character" w:styleId="Zstupntext">
    <w:name w:val="Placeholder Text"/>
    <w:basedOn w:val="Standardnpsmoodstavce"/>
    <w:uiPriority w:val="99"/>
    <w:rsid w:val="00AE0C79"/>
    <w:rPr>
      <w:color w:val="808080"/>
    </w:rPr>
  </w:style>
  <w:style w:type="paragraph" w:styleId="Odstavecseseznamem">
    <w:name w:val="List Paragraph"/>
    <w:basedOn w:val="Normln"/>
    <w:link w:val="OdstavecseseznamemChar"/>
    <w:uiPriority w:val="34"/>
    <w:qFormat/>
    <w:rsid w:val="00AE0C79"/>
    <w:pPr>
      <w:ind w:left="720"/>
      <w:contextualSpacing/>
    </w:pPr>
  </w:style>
  <w:style w:type="paragraph" w:customStyle="1" w:styleId="StylKurzva">
    <w:name w:val="Styl Kurzíva"/>
    <w:basedOn w:val="Normln"/>
    <w:link w:val="StylKurzvaChar"/>
    <w:rsid w:val="00AE0C79"/>
    <w:pPr>
      <w:suppressAutoHyphens/>
      <w:spacing w:after="240"/>
    </w:pPr>
    <w:rPr>
      <w:rFonts w:eastAsia="Times New Roman" w:cs="Times New Roman"/>
      <w:i/>
      <w:iCs/>
      <w:szCs w:val="20"/>
      <w:lang w:eastAsia="ar-SA"/>
    </w:rPr>
  </w:style>
  <w:style w:type="character" w:customStyle="1" w:styleId="StylKurzvaChar">
    <w:name w:val="Styl Kurzíva Char"/>
    <w:basedOn w:val="Standardnpsmoodstavce"/>
    <w:link w:val="StylKurzva"/>
    <w:rsid w:val="00AE0C79"/>
    <w:rPr>
      <w:rFonts w:ascii="Times New Roman" w:eastAsia="Times New Roman" w:hAnsi="Times New Roman" w:cs="Times New Roman"/>
      <w:i/>
      <w:iCs/>
      <w:sz w:val="24"/>
      <w:szCs w:val="20"/>
      <w:lang w:eastAsia="ar-SA"/>
    </w:rPr>
  </w:style>
  <w:style w:type="character" w:customStyle="1" w:styleId="OdstavecseseznamemChar">
    <w:name w:val="Odstavec se seznamem Char"/>
    <w:basedOn w:val="Standardnpsmoodstavce"/>
    <w:link w:val="Odstavecseseznamem"/>
    <w:uiPriority w:val="34"/>
    <w:locked/>
    <w:rsid w:val="00AE0C79"/>
    <w:rPr>
      <w:rFonts w:ascii="Times New Roman" w:hAnsi="Times New Roman"/>
      <w:sz w:val="24"/>
    </w:rPr>
  </w:style>
  <w:style w:type="paragraph" w:styleId="Zhlav">
    <w:name w:val="header"/>
    <w:basedOn w:val="Normln"/>
    <w:link w:val="ZhlavChar"/>
    <w:rsid w:val="00AE0C79"/>
    <w:pPr>
      <w:tabs>
        <w:tab w:val="center" w:pos="4536"/>
        <w:tab w:val="right" w:pos="9072"/>
      </w:tabs>
      <w:spacing w:after="0"/>
    </w:pPr>
  </w:style>
  <w:style w:type="character" w:customStyle="1" w:styleId="ZhlavChar">
    <w:name w:val="Záhlaví Char"/>
    <w:basedOn w:val="Standardnpsmoodstavce"/>
    <w:link w:val="Zhlav"/>
    <w:uiPriority w:val="99"/>
    <w:rsid w:val="00AE0C79"/>
    <w:rPr>
      <w:rFonts w:ascii="Times New Roman" w:hAnsi="Times New Roman"/>
      <w:sz w:val="24"/>
    </w:rPr>
  </w:style>
  <w:style w:type="paragraph" w:styleId="Zpat">
    <w:name w:val="footer"/>
    <w:basedOn w:val="Normln"/>
    <w:link w:val="ZpatChar"/>
    <w:rsid w:val="00AE0C79"/>
    <w:pPr>
      <w:tabs>
        <w:tab w:val="center" w:pos="4536"/>
        <w:tab w:val="right" w:pos="9072"/>
      </w:tabs>
      <w:spacing w:after="0"/>
    </w:pPr>
  </w:style>
  <w:style w:type="character" w:customStyle="1" w:styleId="ZpatChar">
    <w:name w:val="Zápatí Char"/>
    <w:basedOn w:val="Standardnpsmoodstavce"/>
    <w:link w:val="Zpat"/>
    <w:uiPriority w:val="99"/>
    <w:rsid w:val="00AE0C79"/>
    <w:rPr>
      <w:rFonts w:ascii="Times New Roman" w:hAnsi="Times New Roman"/>
      <w:sz w:val="24"/>
    </w:rPr>
  </w:style>
  <w:style w:type="character" w:styleId="slostrnky">
    <w:name w:val="page number"/>
    <w:basedOn w:val="Standardnpsmoodstavce"/>
    <w:rsid w:val="00AE0C79"/>
  </w:style>
  <w:style w:type="paragraph" w:styleId="Bezmezer">
    <w:name w:val="No Spacing"/>
    <w:uiPriority w:val="1"/>
    <w:qFormat/>
    <w:rsid w:val="00AE0C79"/>
    <w:pPr>
      <w:spacing w:after="0" w:line="240" w:lineRule="auto"/>
      <w:jc w:val="both"/>
    </w:pPr>
    <w:rPr>
      <w:rFonts w:ascii="Times New Roman" w:hAnsi="Times New Roman"/>
      <w:sz w:val="24"/>
    </w:rPr>
  </w:style>
  <w:style w:type="character" w:styleId="Sledovanodkaz">
    <w:name w:val="FollowedHyperlink"/>
    <w:basedOn w:val="Standardnpsmoodstavce"/>
    <w:uiPriority w:val="99"/>
    <w:rsid w:val="00AE0C7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60257">
      <w:bodyDiv w:val="1"/>
      <w:marLeft w:val="0"/>
      <w:marRight w:val="0"/>
      <w:marTop w:val="0"/>
      <w:marBottom w:val="0"/>
      <w:divBdr>
        <w:top w:val="none" w:sz="0" w:space="0" w:color="auto"/>
        <w:left w:val="none" w:sz="0" w:space="0" w:color="auto"/>
        <w:bottom w:val="none" w:sz="0" w:space="0" w:color="auto"/>
        <w:right w:val="none" w:sz="0" w:space="0" w:color="auto"/>
      </w:divBdr>
    </w:div>
    <w:div w:id="1393368">
      <w:bodyDiv w:val="1"/>
      <w:marLeft w:val="0"/>
      <w:marRight w:val="0"/>
      <w:marTop w:val="0"/>
      <w:marBottom w:val="0"/>
      <w:divBdr>
        <w:top w:val="none" w:sz="0" w:space="0" w:color="auto"/>
        <w:left w:val="none" w:sz="0" w:space="0" w:color="auto"/>
        <w:bottom w:val="none" w:sz="0" w:space="0" w:color="auto"/>
        <w:right w:val="none" w:sz="0" w:space="0" w:color="auto"/>
      </w:divBdr>
    </w:div>
    <w:div w:id="5636305">
      <w:bodyDiv w:val="1"/>
      <w:marLeft w:val="0"/>
      <w:marRight w:val="0"/>
      <w:marTop w:val="0"/>
      <w:marBottom w:val="0"/>
      <w:divBdr>
        <w:top w:val="none" w:sz="0" w:space="0" w:color="auto"/>
        <w:left w:val="none" w:sz="0" w:space="0" w:color="auto"/>
        <w:bottom w:val="none" w:sz="0" w:space="0" w:color="auto"/>
        <w:right w:val="none" w:sz="0" w:space="0" w:color="auto"/>
      </w:divBdr>
    </w:div>
    <w:div w:id="9912395">
      <w:bodyDiv w:val="1"/>
      <w:marLeft w:val="0"/>
      <w:marRight w:val="0"/>
      <w:marTop w:val="0"/>
      <w:marBottom w:val="0"/>
      <w:divBdr>
        <w:top w:val="none" w:sz="0" w:space="0" w:color="auto"/>
        <w:left w:val="none" w:sz="0" w:space="0" w:color="auto"/>
        <w:bottom w:val="none" w:sz="0" w:space="0" w:color="auto"/>
        <w:right w:val="none" w:sz="0" w:space="0" w:color="auto"/>
      </w:divBdr>
    </w:div>
    <w:div w:id="12340445">
      <w:bodyDiv w:val="1"/>
      <w:marLeft w:val="0"/>
      <w:marRight w:val="0"/>
      <w:marTop w:val="0"/>
      <w:marBottom w:val="0"/>
      <w:divBdr>
        <w:top w:val="none" w:sz="0" w:space="0" w:color="auto"/>
        <w:left w:val="none" w:sz="0" w:space="0" w:color="auto"/>
        <w:bottom w:val="none" w:sz="0" w:space="0" w:color="auto"/>
        <w:right w:val="none" w:sz="0" w:space="0" w:color="auto"/>
      </w:divBdr>
    </w:div>
    <w:div w:id="44258616">
      <w:bodyDiv w:val="1"/>
      <w:marLeft w:val="0"/>
      <w:marRight w:val="0"/>
      <w:marTop w:val="0"/>
      <w:marBottom w:val="0"/>
      <w:divBdr>
        <w:top w:val="none" w:sz="0" w:space="0" w:color="auto"/>
        <w:left w:val="none" w:sz="0" w:space="0" w:color="auto"/>
        <w:bottom w:val="none" w:sz="0" w:space="0" w:color="auto"/>
        <w:right w:val="none" w:sz="0" w:space="0" w:color="auto"/>
      </w:divBdr>
    </w:div>
    <w:div w:id="46422699">
      <w:bodyDiv w:val="1"/>
      <w:marLeft w:val="0"/>
      <w:marRight w:val="0"/>
      <w:marTop w:val="0"/>
      <w:marBottom w:val="0"/>
      <w:divBdr>
        <w:top w:val="none" w:sz="0" w:space="0" w:color="auto"/>
        <w:left w:val="none" w:sz="0" w:space="0" w:color="auto"/>
        <w:bottom w:val="none" w:sz="0" w:space="0" w:color="auto"/>
        <w:right w:val="none" w:sz="0" w:space="0" w:color="auto"/>
      </w:divBdr>
    </w:div>
    <w:div w:id="59401556">
      <w:bodyDiv w:val="1"/>
      <w:marLeft w:val="0"/>
      <w:marRight w:val="0"/>
      <w:marTop w:val="0"/>
      <w:marBottom w:val="0"/>
      <w:divBdr>
        <w:top w:val="none" w:sz="0" w:space="0" w:color="auto"/>
        <w:left w:val="none" w:sz="0" w:space="0" w:color="auto"/>
        <w:bottom w:val="none" w:sz="0" w:space="0" w:color="auto"/>
        <w:right w:val="none" w:sz="0" w:space="0" w:color="auto"/>
      </w:divBdr>
    </w:div>
    <w:div w:id="62141459">
      <w:bodyDiv w:val="1"/>
      <w:marLeft w:val="0"/>
      <w:marRight w:val="0"/>
      <w:marTop w:val="0"/>
      <w:marBottom w:val="0"/>
      <w:divBdr>
        <w:top w:val="none" w:sz="0" w:space="0" w:color="auto"/>
        <w:left w:val="none" w:sz="0" w:space="0" w:color="auto"/>
        <w:bottom w:val="none" w:sz="0" w:space="0" w:color="auto"/>
        <w:right w:val="none" w:sz="0" w:space="0" w:color="auto"/>
      </w:divBdr>
    </w:div>
    <w:div w:id="68114564">
      <w:bodyDiv w:val="1"/>
      <w:marLeft w:val="0"/>
      <w:marRight w:val="0"/>
      <w:marTop w:val="0"/>
      <w:marBottom w:val="0"/>
      <w:divBdr>
        <w:top w:val="none" w:sz="0" w:space="0" w:color="auto"/>
        <w:left w:val="none" w:sz="0" w:space="0" w:color="auto"/>
        <w:bottom w:val="none" w:sz="0" w:space="0" w:color="auto"/>
        <w:right w:val="none" w:sz="0" w:space="0" w:color="auto"/>
      </w:divBdr>
    </w:div>
    <w:div w:id="74671119">
      <w:bodyDiv w:val="1"/>
      <w:marLeft w:val="0"/>
      <w:marRight w:val="0"/>
      <w:marTop w:val="0"/>
      <w:marBottom w:val="0"/>
      <w:divBdr>
        <w:top w:val="none" w:sz="0" w:space="0" w:color="auto"/>
        <w:left w:val="none" w:sz="0" w:space="0" w:color="auto"/>
        <w:bottom w:val="none" w:sz="0" w:space="0" w:color="auto"/>
        <w:right w:val="none" w:sz="0" w:space="0" w:color="auto"/>
      </w:divBdr>
    </w:div>
    <w:div w:id="86970866">
      <w:bodyDiv w:val="1"/>
      <w:marLeft w:val="0"/>
      <w:marRight w:val="0"/>
      <w:marTop w:val="0"/>
      <w:marBottom w:val="0"/>
      <w:divBdr>
        <w:top w:val="none" w:sz="0" w:space="0" w:color="auto"/>
        <w:left w:val="none" w:sz="0" w:space="0" w:color="auto"/>
        <w:bottom w:val="none" w:sz="0" w:space="0" w:color="auto"/>
        <w:right w:val="none" w:sz="0" w:space="0" w:color="auto"/>
      </w:divBdr>
    </w:div>
    <w:div w:id="99909563">
      <w:bodyDiv w:val="1"/>
      <w:marLeft w:val="0"/>
      <w:marRight w:val="0"/>
      <w:marTop w:val="0"/>
      <w:marBottom w:val="0"/>
      <w:divBdr>
        <w:top w:val="none" w:sz="0" w:space="0" w:color="auto"/>
        <w:left w:val="none" w:sz="0" w:space="0" w:color="auto"/>
        <w:bottom w:val="none" w:sz="0" w:space="0" w:color="auto"/>
        <w:right w:val="none" w:sz="0" w:space="0" w:color="auto"/>
      </w:divBdr>
    </w:div>
    <w:div w:id="108211188">
      <w:bodyDiv w:val="1"/>
      <w:marLeft w:val="0"/>
      <w:marRight w:val="0"/>
      <w:marTop w:val="0"/>
      <w:marBottom w:val="0"/>
      <w:divBdr>
        <w:top w:val="none" w:sz="0" w:space="0" w:color="auto"/>
        <w:left w:val="none" w:sz="0" w:space="0" w:color="auto"/>
        <w:bottom w:val="none" w:sz="0" w:space="0" w:color="auto"/>
        <w:right w:val="none" w:sz="0" w:space="0" w:color="auto"/>
      </w:divBdr>
    </w:div>
    <w:div w:id="109007877">
      <w:bodyDiv w:val="1"/>
      <w:marLeft w:val="0"/>
      <w:marRight w:val="0"/>
      <w:marTop w:val="0"/>
      <w:marBottom w:val="0"/>
      <w:divBdr>
        <w:top w:val="none" w:sz="0" w:space="0" w:color="auto"/>
        <w:left w:val="none" w:sz="0" w:space="0" w:color="auto"/>
        <w:bottom w:val="none" w:sz="0" w:space="0" w:color="auto"/>
        <w:right w:val="none" w:sz="0" w:space="0" w:color="auto"/>
      </w:divBdr>
    </w:div>
    <w:div w:id="109516522">
      <w:bodyDiv w:val="1"/>
      <w:marLeft w:val="0"/>
      <w:marRight w:val="0"/>
      <w:marTop w:val="0"/>
      <w:marBottom w:val="0"/>
      <w:divBdr>
        <w:top w:val="none" w:sz="0" w:space="0" w:color="auto"/>
        <w:left w:val="none" w:sz="0" w:space="0" w:color="auto"/>
        <w:bottom w:val="none" w:sz="0" w:space="0" w:color="auto"/>
        <w:right w:val="none" w:sz="0" w:space="0" w:color="auto"/>
      </w:divBdr>
    </w:div>
    <w:div w:id="111174635">
      <w:bodyDiv w:val="1"/>
      <w:marLeft w:val="0"/>
      <w:marRight w:val="0"/>
      <w:marTop w:val="0"/>
      <w:marBottom w:val="0"/>
      <w:divBdr>
        <w:top w:val="none" w:sz="0" w:space="0" w:color="auto"/>
        <w:left w:val="none" w:sz="0" w:space="0" w:color="auto"/>
        <w:bottom w:val="none" w:sz="0" w:space="0" w:color="auto"/>
        <w:right w:val="none" w:sz="0" w:space="0" w:color="auto"/>
      </w:divBdr>
    </w:div>
    <w:div w:id="125196487">
      <w:bodyDiv w:val="1"/>
      <w:marLeft w:val="0"/>
      <w:marRight w:val="0"/>
      <w:marTop w:val="0"/>
      <w:marBottom w:val="0"/>
      <w:divBdr>
        <w:top w:val="none" w:sz="0" w:space="0" w:color="auto"/>
        <w:left w:val="none" w:sz="0" w:space="0" w:color="auto"/>
        <w:bottom w:val="none" w:sz="0" w:space="0" w:color="auto"/>
        <w:right w:val="none" w:sz="0" w:space="0" w:color="auto"/>
      </w:divBdr>
    </w:div>
    <w:div w:id="142627582">
      <w:bodyDiv w:val="1"/>
      <w:marLeft w:val="0"/>
      <w:marRight w:val="0"/>
      <w:marTop w:val="0"/>
      <w:marBottom w:val="0"/>
      <w:divBdr>
        <w:top w:val="none" w:sz="0" w:space="0" w:color="auto"/>
        <w:left w:val="none" w:sz="0" w:space="0" w:color="auto"/>
        <w:bottom w:val="none" w:sz="0" w:space="0" w:color="auto"/>
        <w:right w:val="none" w:sz="0" w:space="0" w:color="auto"/>
      </w:divBdr>
    </w:div>
    <w:div w:id="159200185">
      <w:bodyDiv w:val="1"/>
      <w:marLeft w:val="0"/>
      <w:marRight w:val="0"/>
      <w:marTop w:val="0"/>
      <w:marBottom w:val="0"/>
      <w:divBdr>
        <w:top w:val="none" w:sz="0" w:space="0" w:color="auto"/>
        <w:left w:val="none" w:sz="0" w:space="0" w:color="auto"/>
        <w:bottom w:val="none" w:sz="0" w:space="0" w:color="auto"/>
        <w:right w:val="none" w:sz="0" w:space="0" w:color="auto"/>
      </w:divBdr>
    </w:div>
    <w:div w:id="176624124">
      <w:bodyDiv w:val="1"/>
      <w:marLeft w:val="0"/>
      <w:marRight w:val="0"/>
      <w:marTop w:val="0"/>
      <w:marBottom w:val="0"/>
      <w:divBdr>
        <w:top w:val="none" w:sz="0" w:space="0" w:color="auto"/>
        <w:left w:val="none" w:sz="0" w:space="0" w:color="auto"/>
        <w:bottom w:val="none" w:sz="0" w:space="0" w:color="auto"/>
        <w:right w:val="none" w:sz="0" w:space="0" w:color="auto"/>
      </w:divBdr>
    </w:div>
    <w:div w:id="198594844">
      <w:bodyDiv w:val="1"/>
      <w:marLeft w:val="0"/>
      <w:marRight w:val="0"/>
      <w:marTop w:val="0"/>
      <w:marBottom w:val="0"/>
      <w:divBdr>
        <w:top w:val="none" w:sz="0" w:space="0" w:color="auto"/>
        <w:left w:val="none" w:sz="0" w:space="0" w:color="auto"/>
        <w:bottom w:val="none" w:sz="0" w:space="0" w:color="auto"/>
        <w:right w:val="none" w:sz="0" w:space="0" w:color="auto"/>
      </w:divBdr>
    </w:div>
    <w:div w:id="208346850">
      <w:bodyDiv w:val="1"/>
      <w:marLeft w:val="0"/>
      <w:marRight w:val="0"/>
      <w:marTop w:val="0"/>
      <w:marBottom w:val="0"/>
      <w:divBdr>
        <w:top w:val="none" w:sz="0" w:space="0" w:color="auto"/>
        <w:left w:val="none" w:sz="0" w:space="0" w:color="auto"/>
        <w:bottom w:val="none" w:sz="0" w:space="0" w:color="auto"/>
        <w:right w:val="none" w:sz="0" w:space="0" w:color="auto"/>
      </w:divBdr>
    </w:div>
    <w:div w:id="219026286">
      <w:bodyDiv w:val="1"/>
      <w:marLeft w:val="0"/>
      <w:marRight w:val="0"/>
      <w:marTop w:val="0"/>
      <w:marBottom w:val="0"/>
      <w:divBdr>
        <w:top w:val="none" w:sz="0" w:space="0" w:color="auto"/>
        <w:left w:val="none" w:sz="0" w:space="0" w:color="auto"/>
        <w:bottom w:val="none" w:sz="0" w:space="0" w:color="auto"/>
        <w:right w:val="none" w:sz="0" w:space="0" w:color="auto"/>
      </w:divBdr>
    </w:div>
    <w:div w:id="256838806">
      <w:bodyDiv w:val="1"/>
      <w:marLeft w:val="0"/>
      <w:marRight w:val="0"/>
      <w:marTop w:val="0"/>
      <w:marBottom w:val="0"/>
      <w:divBdr>
        <w:top w:val="none" w:sz="0" w:space="0" w:color="auto"/>
        <w:left w:val="none" w:sz="0" w:space="0" w:color="auto"/>
        <w:bottom w:val="none" w:sz="0" w:space="0" w:color="auto"/>
        <w:right w:val="none" w:sz="0" w:space="0" w:color="auto"/>
      </w:divBdr>
    </w:div>
    <w:div w:id="281309728">
      <w:bodyDiv w:val="1"/>
      <w:marLeft w:val="0"/>
      <w:marRight w:val="0"/>
      <w:marTop w:val="0"/>
      <w:marBottom w:val="0"/>
      <w:divBdr>
        <w:top w:val="none" w:sz="0" w:space="0" w:color="auto"/>
        <w:left w:val="none" w:sz="0" w:space="0" w:color="auto"/>
        <w:bottom w:val="none" w:sz="0" w:space="0" w:color="auto"/>
        <w:right w:val="none" w:sz="0" w:space="0" w:color="auto"/>
      </w:divBdr>
    </w:div>
    <w:div w:id="294070096">
      <w:bodyDiv w:val="1"/>
      <w:marLeft w:val="0"/>
      <w:marRight w:val="0"/>
      <w:marTop w:val="0"/>
      <w:marBottom w:val="0"/>
      <w:divBdr>
        <w:top w:val="none" w:sz="0" w:space="0" w:color="auto"/>
        <w:left w:val="none" w:sz="0" w:space="0" w:color="auto"/>
        <w:bottom w:val="none" w:sz="0" w:space="0" w:color="auto"/>
        <w:right w:val="none" w:sz="0" w:space="0" w:color="auto"/>
      </w:divBdr>
    </w:div>
    <w:div w:id="294875848">
      <w:bodyDiv w:val="1"/>
      <w:marLeft w:val="0"/>
      <w:marRight w:val="0"/>
      <w:marTop w:val="0"/>
      <w:marBottom w:val="0"/>
      <w:divBdr>
        <w:top w:val="none" w:sz="0" w:space="0" w:color="auto"/>
        <w:left w:val="none" w:sz="0" w:space="0" w:color="auto"/>
        <w:bottom w:val="none" w:sz="0" w:space="0" w:color="auto"/>
        <w:right w:val="none" w:sz="0" w:space="0" w:color="auto"/>
      </w:divBdr>
    </w:div>
    <w:div w:id="316569791">
      <w:bodyDiv w:val="1"/>
      <w:marLeft w:val="0"/>
      <w:marRight w:val="0"/>
      <w:marTop w:val="0"/>
      <w:marBottom w:val="0"/>
      <w:divBdr>
        <w:top w:val="none" w:sz="0" w:space="0" w:color="auto"/>
        <w:left w:val="none" w:sz="0" w:space="0" w:color="auto"/>
        <w:bottom w:val="none" w:sz="0" w:space="0" w:color="auto"/>
        <w:right w:val="none" w:sz="0" w:space="0" w:color="auto"/>
      </w:divBdr>
    </w:div>
    <w:div w:id="320232855">
      <w:bodyDiv w:val="1"/>
      <w:marLeft w:val="0"/>
      <w:marRight w:val="0"/>
      <w:marTop w:val="0"/>
      <w:marBottom w:val="0"/>
      <w:divBdr>
        <w:top w:val="none" w:sz="0" w:space="0" w:color="auto"/>
        <w:left w:val="none" w:sz="0" w:space="0" w:color="auto"/>
        <w:bottom w:val="none" w:sz="0" w:space="0" w:color="auto"/>
        <w:right w:val="none" w:sz="0" w:space="0" w:color="auto"/>
      </w:divBdr>
    </w:div>
    <w:div w:id="329450244">
      <w:bodyDiv w:val="1"/>
      <w:marLeft w:val="0"/>
      <w:marRight w:val="0"/>
      <w:marTop w:val="0"/>
      <w:marBottom w:val="0"/>
      <w:divBdr>
        <w:top w:val="none" w:sz="0" w:space="0" w:color="auto"/>
        <w:left w:val="none" w:sz="0" w:space="0" w:color="auto"/>
        <w:bottom w:val="none" w:sz="0" w:space="0" w:color="auto"/>
        <w:right w:val="none" w:sz="0" w:space="0" w:color="auto"/>
      </w:divBdr>
    </w:div>
    <w:div w:id="330720789">
      <w:bodyDiv w:val="1"/>
      <w:marLeft w:val="0"/>
      <w:marRight w:val="0"/>
      <w:marTop w:val="0"/>
      <w:marBottom w:val="0"/>
      <w:divBdr>
        <w:top w:val="none" w:sz="0" w:space="0" w:color="auto"/>
        <w:left w:val="none" w:sz="0" w:space="0" w:color="auto"/>
        <w:bottom w:val="none" w:sz="0" w:space="0" w:color="auto"/>
        <w:right w:val="none" w:sz="0" w:space="0" w:color="auto"/>
      </w:divBdr>
    </w:div>
    <w:div w:id="358774007">
      <w:bodyDiv w:val="1"/>
      <w:marLeft w:val="0"/>
      <w:marRight w:val="0"/>
      <w:marTop w:val="0"/>
      <w:marBottom w:val="0"/>
      <w:divBdr>
        <w:top w:val="none" w:sz="0" w:space="0" w:color="auto"/>
        <w:left w:val="none" w:sz="0" w:space="0" w:color="auto"/>
        <w:bottom w:val="none" w:sz="0" w:space="0" w:color="auto"/>
        <w:right w:val="none" w:sz="0" w:space="0" w:color="auto"/>
      </w:divBdr>
    </w:div>
    <w:div w:id="372585059">
      <w:bodyDiv w:val="1"/>
      <w:marLeft w:val="0"/>
      <w:marRight w:val="0"/>
      <w:marTop w:val="0"/>
      <w:marBottom w:val="0"/>
      <w:divBdr>
        <w:top w:val="none" w:sz="0" w:space="0" w:color="auto"/>
        <w:left w:val="none" w:sz="0" w:space="0" w:color="auto"/>
        <w:bottom w:val="none" w:sz="0" w:space="0" w:color="auto"/>
        <w:right w:val="none" w:sz="0" w:space="0" w:color="auto"/>
      </w:divBdr>
    </w:div>
    <w:div w:id="376659179">
      <w:bodyDiv w:val="1"/>
      <w:marLeft w:val="0"/>
      <w:marRight w:val="0"/>
      <w:marTop w:val="0"/>
      <w:marBottom w:val="0"/>
      <w:divBdr>
        <w:top w:val="none" w:sz="0" w:space="0" w:color="auto"/>
        <w:left w:val="none" w:sz="0" w:space="0" w:color="auto"/>
        <w:bottom w:val="none" w:sz="0" w:space="0" w:color="auto"/>
        <w:right w:val="none" w:sz="0" w:space="0" w:color="auto"/>
      </w:divBdr>
    </w:div>
    <w:div w:id="378626723">
      <w:bodyDiv w:val="1"/>
      <w:marLeft w:val="0"/>
      <w:marRight w:val="0"/>
      <w:marTop w:val="0"/>
      <w:marBottom w:val="0"/>
      <w:divBdr>
        <w:top w:val="none" w:sz="0" w:space="0" w:color="auto"/>
        <w:left w:val="none" w:sz="0" w:space="0" w:color="auto"/>
        <w:bottom w:val="none" w:sz="0" w:space="0" w:color="auto"/>
        <w:right w:val="none" w:sz="0" w:space="0" w:color="auto"/>
      </w:divBdr>
    </w:div>
    <w:div w:id="383215755">
      <w:bodyDiv w:val="1"/>
      <w:marLeft w:val="0"/>
      <w:marRight w:val="0"/>
      <w:marTop w:val="0"/>
      <w:marBottom w:val="0"/>
      <w:divBdr>
        <w:top w:val="none" w:sz="0" w:space="0" w:color="auto"/>
        <w:left w:val="none" w:sz="0" w:space="0" w:color="auto"/>
        <w:bottom w:val="none" w:sz="0" w:space="0" w:color="auto"/>
        <w:right w:val="none" w:sz="0" w:space="0" w:color="auto"/>
      </w:divBdr>
    </w:div>
    <w:div w:id="386103303">
      <w:bodyDiv w:val="1"/>
      <w:marLeft w:val="0"/>
      <w:marRight w:val="0"/>
      <w:marTop w:val="0"/>
      <w:marBottom w:val="0"/>
      <w:divBdr>
        <w:top w:val="none" w:sz="0" w:space="0" w:color="auto"/>
        <w:left w:val="none" w:sz="0" w:space="0" w:color="auto"/>
        <w:bottom w:val="none" w:sz="0" w:space="0" w:color="auto"/>
        <w:right w:val="none" w:sz="0" w:space="0" w:color="auto"/>
      </w:divBdr>
    </w:div>
    <w:div w:id="387849604">
      <w:bodyDiv w:val="1"/>
      <w:marLeft w:val="0"/>
      <w:marRight w:val="0"/>
      <w:marTop w:val="0"/>
      <w:marBottom w:val="0"/>
      <w:divBdr>
        <w:top w:val="none" w:sz="0" w:space="0" w:color="auto"/>
        <w:left w:val="none" w:sz="0" w:space="0" w:color="auto"/>
        <w:bottom w:val="none" w:sz="0" w:space="0" w:color="auto"/>
        <w:right w:val="none" w:sz="0" w:space="0" w:color="auto"/>
      </w:divBdr>
    </w:div>
    <w:div w:id="390537492">
      <w:bodyDiv w:val="1"/>
      <w:marLeft w:val="0"/>
      <w:marRight w:val="0"/>
      <w:marTop w:val="0"/>
      <w:marBottom w:val="0"/>
      <w:divBdr>
        <w:top w:val="none" w:sz="0" w:space="0" w:color="auto"/>
        <w:left w:val="none" w:sz="0" w:space="0" w:color="auto"/>
        <w:bottom w:val="none" w:sz="0" w:space="0" w:color="auto"/>
        <w:right w:val="none" w:sz="0" w:space="0" w:color="auto"/>
      </w:divBdr>
    </w:div>
    <w:div w:id="393161635">
      <w:bodyDiv w:val="1"/>
      <w:marLeft w:val="0"/>
      <w:marRight w:val="0"/>
      <w:marTop w:val="0"/>
      <w:marBottom w:val="0"/>
      <w:divBdr>
        <w:top w:val="none" w:sz="0" w:space="0" w:color="auto"/>
        <w:left w:val="none" w:sz="0" w:space="0" w:color="auto"/>
        <w:bottom w:val="none" w:sz="0" w:space="0" w:color="auto"/>
        <w:right w:val="none" w:sz="0" w:space="0" w:color="auto"/>
      </w:divBdr>
    </w:div>
    <w:div w:id="415246841">
      <w:bodyDiv w:val="1"/>
      <w:marLeft w:val="0"/>
      <w:marRight w:val="0"/>
      <w:marTop w:val="0"/>
      <w:marBottom w:val="0"/>
      <w:divBdr>
        <w:top w:val="none" w:sz="0" w:space="0" w:color="auto"/>
        <w:left w:val="none" w:sz="0" w:space="0" w:color="auto"/>
        <w:bottom w:val="none" w:sz="0" w:space="0" w:color="auto"/>
        <w:right w:val="none" w:sz="0" w:space="0" w:color="auto"/>
      </w:divBdr>
    </w:div>
    <w:div w:id="418647789">
      <w:bodyDiv w:val="1"/>
      <w:marLeft w:val="0"/>
      <w:marRight w:val="0"/>
      <w:marTop w:val="0"/>
      <w:marBottom w:val="0"/>
      <w:divBdr>
        <w:top w:val="none" w:sz="0" w:space="0" w:color="auto"/>
        <w:left w:val="none" w:sz="0" w:space="0" w:color="auto"/>
        <w:bottom w:val="none" w:sz="0" w:space="0" w:color="auto"/>
        <w:right w:val="none" w:sz="0" w:space="0" w:color="auto"/>
      </w:divBdr>
    </w:div>
    <w:div w:id="455414676">
      <w:bodyDiv w:val="1"/>
      <w:marLeft w:val="0"/>
      <w:marRight w:val="0"/>
      <w:marTop w:val="0"/>
      <w:marBottom w:val="0"/>
      <w:divBdr>
        <w:top w:val="none" w:sz="0" w:space="0" w:color="auto"/>
        <w:left w:val="none" w:sz="0" w:space="0" w:color="auto"/>
        <w:bottom w:val="none" w:sz="0" w:space="0" w:color="auto"/>
        <w:right w:val="none" w:sz="0" w:space="0" w:color="auto"/>
      </w:divBdr>
    </w:div>
    <w:div w:id="462231873">
      <w:bodyDiv w:val="1"/>
      <w:marLeft w:val="0"/>
      <w:marRight w:val="0"/>
      <w:marTop w:val="0"/>
      <w:marBottom w:val="0"/>
      <w:divBdr>
        <w:top w:val="none" w:sz="0" w:space="0" w:color="auto"/>
        <w:left w:val="none" w:sz="0" w:space="0" w:color="auto"/>
        <w:bottom w:val="none" w:sz="0" w:space="0" w:color="auto"/>
        <w:right w:val="none" w:sz="0" w:space="0" w:color="auto"/>
      </w:divBdr>
    </w:div>
    <w:div w:id="489949803">
      <w:bodyDiv w:val="1"/>
      <w:marLeft w:val="0"/>
      <w:marRight w:val="0"/>
      <w:marTop w:val="0"/>
      <w:marBottom w:val="0"/>
      <w:divBdr>
        <w:top w:val="none" w:sz="0" w:space="0" w:color="auto"/>
        <w:left w:val="none" w:sz="0" w:space="0" w:color="auto"/>
        <w:bottom w:val="none" w:sz="0" w:space="0" w:color="auto"/>
        <w:right w:val="none" w:sz="0" w:space="0" w:color="auto"/>
      </w:divBdr>
    </w:div>
    <w:div w:id="504514600">
      <w:bodyDiv w:val="1"/>
      <w:marLeft w:val="0"/>
      <w:marRight w:val="0"/>
      <w:marTop w:val="0"/>
      <w:marBottom w:val="0"/>
      <w:divBdr>
        <w:top w:val="none" w:sz="0" w:space="0" w:color="auto"/>
        <w:left w:val="none" w:sz="0" w:space="0" w:color="auto"/>
        <w:bottom w:val="none" w:sz="0" w:space="0" w:color="auto"/>
        <w:right w:val="none" w:sz="0" w:space="0" w:color="auto"/>
      </w:divBdr>
    </w:div>
    <w:div w:id="525799412">
      <w:bodyDiv w:val="1"/>
      <w:marLeft w:val="0"/>
      <w:marRight w:val="0"/>
      <w:marTop w:val="0"/>
      <w:marBottom w:val="0"/>
      <w:divBdr>
        <w:top w:val="none" w:sz="0" w:space="0" w:color="auto"/>
        <w:left w:val="none" w:sz="0" w:space="0" w:color="auto"/>
        <w:bottom w:val="none" w:sz="0" w:space="0" w:color="auto"/>
        <w:right w:val="none" w:sz="0" w:space="0" w:color="auto"/>
      </w:divBdr>
    </w:div>
    <w:div w:id="525951316">
      <w:bodyDiv w:val="1"/>
      <w:marLeft w:val="0"/>
      <w:marRight w:val="0"/>
      <w:marTop w:val="0"/>
      <w:marBottom w:val="0"/>
      <w:divBdr>
        <w:top w:val="none" w:sz="0" w:space="0" w:color="auto"/>
        <w:left w:val="none" w:sz="0" w:space="0" w:color="auto"/>
        <w:bottom w:val="none" w:sz="0" w:space="0" w:color="auto"/>
        <w:right w:val="none" w:sz="0" w:space="0" w:color="auto"/>
      </w:divBdr>
    </w:div>
    <w:div w:id="540556532">
      <w:bodyDiv w:val="1"/>
      <w:marLeft w:val="0"/>
      <w:marRight w:val="0"/>
      <w:marTop w:val="0"/>
      <w:marBottom w:val="0"/>
      <w:divBdr>
        <w:top w:val="none" w:sz="0" w:space="0" w:color="auto"/>
        <w:left w:val="none" w:sz="0" w:space="0" w:color="auto"/>
        <w:bottom w:val="none" w:sz="0" w:space="0" w:color="auto"/>
        <w:right w:val="none" w:sz="0" w:space="0" w:color="auto"/>
      </w:divBdr>
    </w:div>
    <w:div w:id="563371181">
      <w:bodyDiv w:val="1"/>
      <w:marLeft w:val="0"/>
      <w:marRight w:val="0"/>
      <w:marTop w:val="0"/>
      <w:marBottom w:val="0"/>
      <w:divBdr>
        <w:top w:val="none" w:sz="0" w:space="0" w:color="auto"/>
        <w:left w:val="none" w:sz="0" w:space="0" w:color="auto"/>
        <w:bottom w:val="none" w:sz="0" w:space="0" w:color="auto"/>
        <w:right w:val="none" w:sz="0" w:space="0" w:color="auto"/>
      </w:divBdr>
    </w:div>
    <w:div w:id="585385851">
      <w:bodyDiv w:val="1"/>
      <w:marLeft w:val="0"/>
      <w:marRight w:val="0"/>
      <w:marTop w:val="0"/>
      <w:marBottom w:val="0"/>
      <w:divBdr>
        <w:top w:val="none" w:sz="0" w:space="0" w:color="auto"/>
        <w:left w:val="none" w:sz="0" w:space="0" w:color="auto"/>
        <w:bottom w:val="none" w:sz="0" w:space="0" w:color="auto"/>
        <w:right w:val="none" w:sz="0" w:space="0" w:color="auto"/>
      </w:divBdr>
    </w:div>
    <w:div w:id="585655153">
      <w:bodyDiv w:val="1"/>
      <w:marLeft w:val="0"/>
      <w:marRight w:val="0"/>
      <w:marTop w:val="0"/>
      <w:marBottom w:val="0"/>
      <w:divBdr>
        <w:top w:val="none" w:sz="0" w:space="0" w:color="auto"/>
        <w:left w:val="none" w:sz="0" w:space="0" w:color="auto"/>
        <w:bottom w:val="none" w:sz="0" w:space="0" w:color="auto"/>
        <w:right w:val="none" w:sz="0" w:space="0" w:color="auto"/>
      </w:divBdr>
    </w:div>
    <w:div w:id="589700715">
      <w:bodyDiv w:val="1"/>
      <w:marLeft w:val="0"/>
      <w:marRight w:val="0"/>
      <w:marTop w:val="0"/>
      <w:marBottom w:val="0"/>
      <w:divBdr>
        <w:top w:val="none" w:sz="0" w:space="0" w:color="auto"/>
        <w:left w:val="none" w:sz="0" w:space="0" w:color="auto"/>
        <w:bottom w:val="none" w:sz="0" w:space="0" w:color="auto"/>
        <w:right w:val="none" w:sz="0" w:space="0" w:color="auto"/>
      </w:divBdr>
    </w:div>
    <w:div w:id="595678838">
      <w:bodyDiv w:val="1"/>
      <w:marLeft w:val="0"/>
      <w:marRight w:val="0"/>
      <w:marTop w:val="0"/>
      <w:marBottom w:val="0"/>
      <w:divBdr>
        <w:top w:val="none" w:sz="0" w:space="0" w:color="auto"/>
        <w:left w:val="none" w:sz="0" w:space="0" w:color="auto"/>
        <w:bottom w:val="none" w:sz="0" w:space="0" w:color="auto"/>
        <w:right w:val="none" w:sz="0" w:space="0" w:color="auto"/>
      </w:divBdr>
    </w:div>
    <w:div w:id="598216337">
      <w:bodyDiv w:val="1"/>
      <w:marLeft w:val="0"/>
      <w:marRight w:val="0"/>
      <w:marTop w:val="0"/>
      <w:marBottom w:val="0"/>
      <w:divBdr>
        <w:top w:val="none" w:sz="0" w:space="0" w:color="auto"/>
        <w:left w:val="none" w:sz="0" w:space="0" w:color="auto"/>
        <w:bottom w:val="none" w:sz="0" w:space="0" w:color="auto"/>
        <w:right w:val="none" w:sz="0" w:space="0" w:color="auto"/>
      </w:divBdr>
    </w:div>
    <w:div w:id="609943773">
      <w:bodyDiv w:val="1"/>
      <w:marLeft w:val="0"/>
      <w:marRight w:val="0"/>
      <w:marTop w:val="0"/>
      <w:marBottom w:val="0"/>
      <w:divBdr>
        <w:top w:val="none" w:sz="0" w:space="0" w:color="auto"/>
        <w:left w:val="none" w:sz="0" w:space="0" w:color="auto"/>
        <w:bottom w:val="none" w:sz="0" w:space="0" w:color="auto"/>
        <w:right w:val="none" w:sz="0" w:space="0" w:color="auto"/>
      </w:divBdr>
    </w:div>
    <w:div w:id="610671923">
      <w:bodyDiv w:val="1"/>
      <w:marLeft w:val="0"/>
      <w:marRight w:val="0"/>
      <w:marTop w:val="0"/>
      <w:marBottom w:val="0"/>
      <w:divBdr>
        <w:top w:val="none" w:sz="0" w:space="0" w:color="auto"/>
        <w:left w:val="none" w:sz="0" w:space="0" w:color="auto"/>
        <w:bottom w:val="none" w:sz="0" w:space="0" w:color="auto"/>
        <w:right w:val="none" w:sz="0" w:space="0" w:color="auto"/>
      </w:divBdr>
    </w:div>
    <w:div w:id="620302855">
      <w:bodyDiv w:val="1"/>
      <w:marLeft w:val="0"/>
      <w:marRight w:val="0"/>
      <w:marTop w:val="0"/>
      <w:marBottom w:val="0"/>
      <w:divBdr>
        <w:top w:val="none" w:sz="0" w:space="0" w:color="auto"/>
        <w:left w:val="none" w:sz="0" w:space="0" w:color="auto"/>
        <w:bottom w:val="none" w:sz="0" w:space="0" w:color="auto"/>
        <w:right w:val="none" w:sz="0" w:space="0" w:color="auto"/>
      </w:divBdr>
    </w:div>
    <w:div w:id="621956281">
      <w:bodyDiv w:val="1"/>
      <w:marLeft w:val="0"/>
      <w:marRight w:val="0"/>
      <w:marTop w:val="0"/>
      <w:marBottom w:val="0"/>
      <w:divBdr>
        <w:top w:val="none" w:sz="0" w:space="0" w:color="auto"/>
        <w:left w:val="none" w:sz="0" w:space="0" w:color="auto"/>
        <w:bottom w:val="none" w:sz="0" w:space="0" w:color="auto"/>
        <w:right w:val="none" w:sz="0" w:space="0" w:color="auto"/>
      </w:divBdr>
    </w:div>
    <w:div w:id="623077262">
      <w:bodyDiv w:val="1"/>
      <w:marLeft w:val="0"/>
      <w:marRight w:val="0"/>
      <w:marTop w:val="0"/>
      <w:marBottom w:val="0"/>
      <w:divBdr>
        <w:top w:val="none" w:sz="0" w:space="0" w:color="auto"/>
        <w:left w:val="none" w:sz="0" w:space="0" w:color="auto"/>
        <w:bottom w:val="none" w:sz="0" w:space="0" w:color="auto"/>
        <w:right w:val="none" w:sz="0" w:space="0" w:color="auto"/>
      </w:divBdr>
    </w:div>
    <w:div w:id="638649071">
      <w:bodyDiv w:val="1"/>
      <w:marLeft w:val="0"/>
      <w:marRight w:val="0"/>
      <w:marTop w:val="0"/>
      <w:marBottom w:val="0"/>
      <w:divBdr>
        <w:top w:val="none" w:sz="0" w:space="0" w:color="auto"/>
        <w:left w:val="none" w:sz="0" w:space="0" w:color="auto"/>
        <w:bottom w:val="none" w:sz="0" w:space="0" w:color="auto"/>
        <w:right w:val="none" w:sz="0" w:space="0" w:color="auto"/>
      </w:divBdr>
    </w:div>
    <w:div w:id="643895940">
      <w:bodyDiv w:val="1"/>
      <w:marLeft w:val="0"/>
      <w:marRight w:val="0"/>
      <w:marTop w:val="0"/>
      <w:marBottom w:val="0"/>
      <w:divBdr>
        <w:top w:val="none" w:sz="0" w:space="0" w:color="auto"/>
        <w:left w:val="none" w:sz="0" w:space="0" w:color="auto"/>
        <w:bottom w:val="none" w:sz="0" w:space="0" w:color="auto"/>
        <w:right w:val="none" w:sz="0" w:space="0" w:color="auto"/>
      </w:divBdr>
    </w:div>
    <w:div w:id="658272385">
      <w:bodyDiv w:val="1"/>
      <w:marLeft w:val="0"/>
      <w:marRight w:val="0"/>
      <w:marTop w:val="0"/>
      <w:marBottom w:val="0"/>
      <w:divBdr>
        <w:top w:val="none" w:sz="0" w:space="0" w:color="auto"/>
        <w:left w:val="none" w:sz="0" w:space="0" w:color="auto"/>
        <w:bottom w:val="none" w:sz="0" w:space="0" w:color="auto"/>
        <w:right w:val="none" w:sz="0" w:space="0" w:color="auto"/>
      </w:divBdr>
    </w:div>
    <w:div w:id="664863131">
      <w:bodyDiv w:val="1"/>
      <w:marLeft w:val="0"/>
      <w:marRight w:val="0"/>
      <w:marTop w:val="0"/>
      <w:marBottom w:val="0"/>
      <w:divBdr>
        <w:top w:val="none" w:sz="0" w:space="0" w:color="auto"/>
        <w:left w:val="none" w:sz="0" w:space="0" w:color="auto"/>
        <w:bottom w:val="none" w:sz="0" w:space="0" w:color="auto"/>
        <w:right w:val="none" w:sz="0" w:space="0" w:color="auto"/>
      </w:divBdr>
    </w:div>
    <w:div w:id="666514239">
      <w:bodyDiv w:val="1"/>
      <w:marLeft w:val="0"/>
      <w:marRight w:val="0"/>
      <w:marTop w:val="0"/>
      <w:marBottom w:val="0"/>
      <w:divBdr>
        <w:top w:val="none" w:sz="0" w:space="0" w:color="auto"/>
        <w:left w:val="none" w:sz="0" w:space="0" w:color="auto"/>
        <w:bottom w:val="none" w:sz="0" w:space="0" w:color="auto"/>
        <w:right w:val="none" w:sz="0" w:space="0" w:color="auto"/>
      </w:divBdr>
    </w:div>
    <w:div w:id="667446881">
      <w:bodyDiv w:val="1"/>
      <w:marLeft w:val="0"/>
      <w:marRight w:val="0"/>
      <w:marTop w:val="0"/>
      <w:marBottom w:val="0"/>
      <w:divBdr>
        <w:top w:val="none" w:sz="0" w:space="0" w:color="auto"/>
        <w:left w:val="none" w:sz="0" w:space="0" w:color="auto"/>
        <w:bottom w:val="none" w:sz="0" w:space="0" w:color="auto"/>
        <w:right w:val="none" w:sz="0" w:space="0" w:color="auto"/>
      </w:divBdr>
    </w:div>
    <w:div w:id="669021158">
      <w:bodyDiv w:val="1"/>
      <w:marLeft w:val="0"/>
      <w:marRight w:val="0"/>
      <w:marTop w:val="0"/>
      <w:marBottom w:val="0"/>
      <w:divBdr>
        <w:top w:val="none" w:sz="0" w:space="0" w:color="auto"/>
        <w:left w:val="none" w:sz="0" w:space="0" w:color="auto"/>
        <w:bottom w:val="none" w:sz="0" w:space="0" w:color="auto"/>
        <w:right w:val="none" w:sz="0" w:space="0" w:color="auto"/>
      </w:divBdr>
    </w:div>
    <w:div w:id="707266146">
      <w:bodyDiv w:val="1"/>
      <w:marLeft w:val="0"/>
      <w:marRight w:val="0"/>
      <w:marTop w:val="0"/>
      <w:marBottom w:val="0"/>
      <w:divBdr>
        <w:top w:val="none" w:sz="0" w:space="0" w:color="auto"/>
        <w:left w:val="none" w:sz="0" w:space="0" w:color="auto"/>
        <w:bottom w:val="none" w:sz="0" w:space="0" w:color="auto"/>
        <w:right w:val="none" w:sz="0" w:space="0" w:color="auto"/>
      </w:divBdr>
    </w:div>
    <w:div w:id="720862079">
      <w:bodyDiv w:val="1"/>
      <w:marLeft w:val="0"/>
      <w:marRight w:val="0"/>
      <w:marTop w:val="0"/>
      <w:marBottom w:val="0"/>
      <w:divBdr>
        <w:top w:val="none" w:sz="0" w:space="0" w:color="auto"/>
        <w:left w:val="none" w:sz="0" w:space="0" w:color="auto"/>
        <w:bottom w:val="none" w:sz="0" w:space="0" w:color="auto"/>
        <w:right w:val="none" w:sz="0" w:space="0" w:color="auto"/>
      </w:divBdr>
    </w:div>
    <w:div w:id="739792438">
      <w:bodyDiv w:val="1"/>
      <w:marLeft w:val="0"/>
      <w:marRight w:val="0"/>
      <w:marTop w:val="0"/>
      <w:marBottom w:val="0"/>
      <w:divBdr>
        <w:top w:val="none" w:sz="0" w:space="0" w:color="auto"/>
        <w:left w:val="none" w:sz="0" w:space="0" w:color="auto"/>
        <w:bottom w:val="none" w:sz="0" w:space="0" w:color="auto"/>
        <w:right w:val="none" w:sz="0" w:space="0" w:color="auto"/>
      </w:divBdr>
    </w:div>
    <w:div w:id="749540569">
      <w:bodyDiv w:val="1"/>
      <w:marLeft w:val="0"/>
      <w:marRight w:val="0"/>
      <w:marTop w:val="0"/>
      <w:marBottom w:val="0"/>
      <w:divBdr>
        <w:top w:val="none" w:sz="0" w:space="0" w:color="auto"/>
        <w:left w:val="none" w:sz="0" w:space="0" w:color="auto"/>
        <w:bottom w:val="none" w:sz="0" w:space="0" w:color="auto"/>
        <w:right w:val="none" w:sz="0" w:space="0" w:color="auto"/>
      </w:divBdr>
    </w:div>
    <w:div w:id="756555258">
      <w:bodyDiv w:val="1"/>
      <w:marLeft w:val="0"/>
      <w:marRight w:val="0"/>
      <w:marTop w:val="0"/>
      <w:marBottom w:val="0"/>
      <w:divBdr>
        <w:top w:val="none" w:sz="0" w:space="0" w:color="auto"/>
        <w:left w:val="none" w:sz="0" w:space="0" w:color="auto"/>
        <w:bottom w:val="none" w:sz="0" w:space="0" w:color="auto"/>
        <w:right w:val="none" w:sz="0" w:space="0" w:color="auto"/>
      </w:divBdr>
    </w:div>
    <w:div w:id="758059238">
      <w:bodyDiv w:val="1"/>
      <w:marLeft w:val="0"/>
      <w:marRight w:val="0"/>
      <w:marTop w:val="0"/>
      <w:marBottom w:val="0"/>
      <w:divBdr>
        <w:top w:val="none" w:sz="0" w:space="0" w:color="auto"/>
        <w:left w:val="none" w:sz="0" w:space="0" w:color="auto"/>
        <w:bottom w:val="none" w:sz="0" w:space="0" w:color="auto"/>
        <w:right w:val="none" w:sz="0" w:space="0" w:color="auto"/>
      </w:divBdr>
    </w:div>
    <w:div w:id="764032612">
      <w:bodyDiv w:val="1"/>
      <w:marLeft w:val="0"/>
      <w:marRight w:val="0"/>
      <w:marTop w:val="0"/>
      <w:marBottom w:val="0"/>
      <w:divBdr>
        <w:top w:val="none" w:sz="0" w:space="0" w:color="auto"/>
        <w:left w:val="none" w:sz="0" w:space="0" w:color="auto"/>
        <w:bottom w:val="none" w:sz="0" w:space="0" w:color="auto"/>
        <w:right w:val="none" w:sz="0" w:space="0" w:color="auto"/>
      </w:divBdr>
    </w:div>
    <w:div w:id="765879305">
      <w:bodyDiv w:val="1"/>
      <w:marLeft w:val="0"/>
      <w:marRight w:val="0"/>
      <w:marTop w:val="0"/>
      <w:marBottom w:val="0"/>
      <w:divBdr>
        <w:top w:val="none" w:sz="0" w:space="0" w:color="auto"/>
        <w:left w:val="none" w:sz="0" w:space="0" w:color="auto"/>
        <w:bottom w:val="none" w:sz="0" w:space="0" w:color="auto"/>
        <w:right w:val="none" w:sz="0" w:space="0" w:color="auto"/>
      </w:divBdr>
    </w:div>
    <w:div w:id="773596850">
      <w:bodyDiv w:val="1"/>
      <w:marLeft w:val="0"/>
      <w:marRight w:val="0"/>
      <w:marTop w:val="0"/>
      <w:marBottom w:val="0"/>
      <w:divBdr>
        <w:top w:val="none" w:sz="0" w:space="0" w:color="auto"/>
        <w:left w:val="none" w:sz="0" w:space="0" w:color="auto"/>
        <w:bottom w:val="none" w:sz="0" w:space="0" w:color="auto"/>
        <w:right w:val="none" w:sz="0" w:space="0" w:color="auto"/>
      </w:divBdr>
    </w:div>
    <w:div w:id="795757828">
      <w:bodyDiv w:val="1"/>
      <w:marLeft w:val="0"/>
      <w:marRight w:val="0"/>
      <w:marTop w:val="0"/>
      <w:marBottom w:val="0"/>
      <w:divBdr>
        <w:top w:val="none" w:sz="0" w:space="0" w:color="auto"/>
        <w:left w:val="none" w:sz="0" w:space="0" w:color="auto"/>
        <w:bottom w:val="none" w:sz="0" w:space="0" w:color="auto"/>
        <w:right w:val="none" w:sz="0" w:space="0" w:color="auto"/>
      </w:divBdr>
    </w:div>
    <w:div w:id="797186526">
      <w:bodyDiv w:val="1"/>
      <w:marLeft w:val="0"/>
      <w:marRight w:val="0"/>
      <w:marTop w:val="0"/>
      <w:marBottom w:val="0"/>
      <w:divBdr>
        <w:top w:val="none" w:sz="0" w:space="0" w:color="auto"/>
        <w:left w:val="none" w:sz="0" w:space="0" w:color="auto"/>
        <w:bottom w:val="none" w:sz="0" w:space="0" w:color="auto"/>
        <w:right w:val="none" w:sz="0" w:space="0" w:color="auto"/>
      </w:divBdr>
    </w:div>
    <w:div w:id="804005001">
      <w:bodyDiv w:val="1"/>
      <w:marLeft w:val="0"/>
      <w:marRight w:val="0"/>
      <w:marTop w:val="0"/>
      <w:marBottom w:val="0"/>
      <w:divBdr>
        <w:top w:val="none" w:sz="0" w:space="0" w:color="auto"/>
        <w:left w:val="none" w:sz="0" w:space="0" w:color="auto"/>
        <w:bottom w:val="none" w:sz="0" w:space="0" w:color="auto"/>
        <w:right w:val="none" w:sz="0" w:space="0" w:color="auto"/>
      </w:divBdr>
    </w:div>
    <w:div w:id="809980151">
      <w:bodyDiv w:val="1"/>
      <w:marLeft w:val="0"/>
      <w:marRight w:val="0"/>
      <w:marTop w:val="0"/>
      <w:marBottom w:val="0"/>
      <w:divBdr>
        <w:top w:val="none" w:sz="0" w:space="0" w:color="auto"/>
        <w:left w:val="none" w:sz="0" w:space="0" w:color="auto"/>
        <w:bottom w:val="none" w:sz="0" w:space="0" w:color="auto"/>
        <w:right w:val="none" w:sz="0" w:space="0" w:color="auto"/>
      </w:divBdr>
    </w:div>
    <w:div w:id="815534840">
      <w:bodyDiv w:val="1"/>
      <w:marLeft w:val="0"/>
      <w:marRight w:val="0"/>
      <w:marTop w:val="0"/>
      <w:marBottom w:val="0"/>
      <w:divBdr>
        <w:top w:val="none" w:sz="0" w:space="0" w:color="auto"/>
        <w:left w:val="none" w:sz="0" w:space="0" w:color="auto"/>
        <w:bottom w:val="none" w:sz="0" w:space="0" w:color="auto"/>
        <w:right w:val="none" w:sz="0" w:space="0" w:color="auto"/>
      </w:divBdr>
    </w:div>
    <w:div w:id="816847585">
      <w:bodyDiv w:val="1"/>
      <w:marLeft w:val="0"/>
      <w:marRight w:val="0"/>
      <w:marTop w:val="0"/>
      <w:marBottom w:val="0"/>
      <w:divBdr>
        <w:top w:val="none" w:sz="0" w:space="0" w:color="auto"/>
        <w:left w:val="none" w:sz="0" w:space="0" w:color="auto"/>
        <w:bottom w:val="none" w:sz="0" w:space="0" w:color="auto"/>
        <w:right w:val="none" w:sz="0" w:space="0" w:color="auto"/>
      </w:divBdr>
    </w:div>
    <w:div w:id="825781435">
      <w:bodyDiv w:val="1"/>
      <w:marLeft w:val="0"/>
      <w:marRight w:val="0"/>
      <w:marTop w:val="0"/>
      <w:marBottom w:val="0"/>
      <w:divBdr>
        <w:top w:val="none" w:sz="0" w:space="0" w:color="auto"/>
        <w:left w:val="none" w:sz="0" w:space="0" w:color="auto"/>
        <w:bottom w:val="none" w:sz="0" w:space="0" w:color="auto"/>
        <w:right w:val="none" w:sz="0" w:space="0" w:color="auto"/>
      </w:divBdr>
    </w:div>
    <w:div w:id="827593125">
      <w:bodyDiv w:val="1"/>
      <w:marLeft w:val="0"/>
      <w:marRight w:val="0"/>
      <w:marTop w:val="0"/>
      <w:marBottom w:val="0"/>
      <w:divBdr>
        <w:top w:val="none" w:sz="0" w:space="0" w:color="auto"/>
        <w:left w:val="none" w:sz="0" w:space="0" w:color="auto"/>
        <w:bottom w:val="none" w:sz="0" w:space="0" w:color="auto"/>
        <w:right w:val="none" w:sz="0" w:space="0" w:color="auto"/>
      </w:divBdr>
    </w:div>
    <w:div w:id="828516169">
      <w:bodyDiv w:val="1"/>
      <w:marLeft w:val="0"/>
      <w:marRight w:val="0"/>
      <w:marTop w:val="0"/>
      <w:marBottom w:val="0"/>
      <w:divBdr>
        <w:top w:val="none" w:sz="0" w:space="0" w:color="auto"/>
        <w:left w:val="none" w:sz="0" w:space="0" w:color="auto"/>
        <w:bottom w:val="none" w:sz="0" w:space="0" w:color="auto"/>
        <w:right w:val="none" w:sz="0" w:space="0" w:color="auto"/>
      </w:divBdr>
    </w:div>
    <w:div w:id="835262416">
      <w:bodyDiv w:val="1"/>
      <w:marLeft w:val="0"/>
      <w:marRight w:val="0"/>
      <w:marTop w:val="0"/>
      <w:marBottom w:val="0"/>
      <w:divBdr>
        <w:top w:val="none" w:sz="0" w:space="0" w:color="auto"/>
        <w:left w:val="none" w:sz="0" w:space="0" w:color="auto"/>
        <w:bottom w:val="none" w:sz="0" w:space="0" w:color="auto"/>
        <w:right w:val="none" w:sz="0" w:space="0" w:color="auto"/>
      </w:divBdr>
    </w:div>
    <w:div w:id="844251891">
      <w:bodyDiv w:val="1"/>
      <w:marLeft w:val="0"/>
      <w:marRight w:val="0"/>
      <w:marTop w:val="0"/>
      <w:marBottom w:val="0"/>
      <w:divBdr>
        <w:top w:val="none" w:sz="0" w:space="0" w:color="auto"/>
        <w:left w:val="none" w:sz="0" w:space="0" w:color="auto"/>
        <w:bottom w:val="none" w:sz="0" w:space="0" w:color="auto"/>
        <w:right w:val="none" w:sz="0" w:space="0" w:color="auto"/>
      </w:divBdr>
    </w:div>
    <w:div w:id="848905981">
      <w:bodyDiv w:val="1"/>
      <w:marLeft w:val="0"/>
      <w:marRight w:val="0"/>
      <w:marTop w:val="0"/>
      <w:marBottom w:val="0"/>
      <w:divBdr>
        <w:top w:val="none" w:sz="0" w:space="0" w:color="auto"/>
        <w:left w:val="none" w:sz="0" w:space="0" w:color="auto"/>
        <w:bottom w:val="none" w:sz="0" w:space="0" w:color="auto"/>
        <w:right w:val="none" w:sz="0" w:space="0" w:color="auto"/>
      </w:divBdr>
    </w:div>
    <w:div w:id="864635681">
      <w:bodyDiv w:val="1"/>
      <w:marLeft w:val="0"/>
      <w:marRight w:val="0"/>
      <w:marTop w:val="0"/>
      <w:marBottom w:val="0"/>
      <w:divBdr>
        <w:top w:val="none" w:sz="0" w:space="0" w:color="auto"/>
        <w:left w:val="none" w:sz="0" w:space="0" w:color="auto"/>
        <w:bottom w:val="none" w:sz="0" w:space="0" w:color="auto"/>
        <w:right w:val="none" w:sz="0" w:space="0" w:color="auto"/>
      </w:divBdr>
    </w:div>
    <w:div w:id="872308165">
      <w:bodyDiv w:val="1"/>
      <w:marLeft w:val="0"/>
      <w:marRight w:val="0"/>
      <w:marTop w:val="0"/>
      <w:marBottom w:val="0"/>
      <w:divBdr>
        <w:top w:val="none" w:sz="0" w:space="0" w:color="auto"/>
        <w:left w:val="none" w:sz="0" w:space="0" w:color="auto"/>
        <w:bottom w:val="none" w:sz="0" w:space="0" w:color="auto"/>
        <w:right w:val="none" w:sz="0" w:space="0" w:color="auto"/>
      </w:divBdr>
    </w:div>
    <w:div w:id="874779062">
      <w:bodyDiv w:val="1"/>
      <w:marLeft w:val="0"/>
      <w:marRight w:val="0"/>
      <w:marTop w:val="0"/>
      <w:marBottom w:val="0"/>
      <w:divBdr>
        <w:top w:val="none" w:sz="0" w:space="0" w:color="auto"/>
        <w:left w:val="none" w:sz="0" w:space="0" w:color="auto"/>
        <w:bottom w:val="none" w:sz="0" w:space="0" w:color="auto"/>
        <w:right w:val="none" w:sz="0" w:space="0" w:color="auto"/>
      </w:divBdr>
    </w:div>
    <w:div w:id="889457995">
      <w:bodyDiv w:val="1"/>
      <w:marLeft w:val="0"/>
      <w:marRight w:val="0"/>
      <w:marTop w:val="0"/>
      <w:marBottom w:val="0"/>
      <w:divBdr>
        <w:top w:val="none" w:sz="0" w:space="0" w:color="auto"/>
        <w:left w:val="none" w:sz="0" w:space="0" w:color="auto"/>
        <w:bottom w:val="none" w:sz="0" w:space="0" w:color="auto"/>
        <w:right w:val="none" w:sz="0" w:space="0" w:color="auto"/>
      </w:divBdr>
    </w:div>
    <w:div w:id="895051546">
      <w:bodyDiv w:val="1"/>
      <w:marLeft w:val="0"/>
      <w:marRight w:val="0"/>
      <w:marTop w:val="0"/>
      <w:marBottom w:val="0"/>
      <w:divBdr>
        <w:top w:val="none" w:sz="0" w:space="0" w:color="auto"/>
        <w:left w:val="none" w:sz="0" w:space="0" w:color="auto"/>
        <w:bottom w:val="none" w:sz="0" w:space="0" w:color="auto"/>
        <w:right w:val="none" w:sz="0" w:space="0" w:color="auto"/>
      </w:divBdr>
    </w:div>
    <w:div w:id="909079976">
      <w:bodyDiv w:val="1"/>
      <w:marLeft w:val="0"/>
      <w:marRight w:val="0"/>
      <w:marTop w:val="0"/>
      <w:marBottom w:val="0"/>
      <w:divBdr>
        <w:top w:val="none" w:sz="0" w:space="0" w:color="auto"/>
        <w:left w:val="none" w:sz="0" w:space="0" w:color="auto"/>
        <w:bottom w:val="none" w:sz="0" w:space="0" w:color="auto"/>
        <w:right w:val="none" w:sz="0" w:space="0" w:color="auto"/>
      </w:divBdr>
    </w:div>
    <w:div w:id="916136763">
      <w:bodyDiv w:val="1"/>
      <w:marLeft w:val="0"/>
      <w:marRight w:val="0"/>
      <w:marTop w:val="0"/>
      <w:marBottom w:val="0"/>
      <w:divBdr>
        <w:top w:val="none" w:sz="0" w:space="0" w:color="auto"/>
        <w:left w:val="none" w:sz="0" w:space="0" w:color="auto"/>
        <w:bottom w:val="none" w:sz="0" w:space="0" w:color="auto"/>
        <w:right w:val="none" w:sz="0" w:space="0" w:color="auto"/>
      </w:divBdr>
    </w:div>
    <w:div w:id="921185640">
      <w:bodyDiv w:val="1"/>
      <w:marLeft w:val="0"/>
      <w:marRight w:val="0"/>
      <w:marTop w:val="0"/>
      <w:marBottom w:val="0"/>
      <w:divBdr>
        <w:top w:val="none" w:sz="0" w:space="0" w:color="auto"/>
        <w:left w:val="none" w:sz="0" w:space="0" w:color="auto"/>
        <w:bottom w:val="none" w:sz="0" w:space="0" w:color="auto"/>
        <w:right w:val="none" w:sz="0" w:space="0" w:color="auto"/>
      </w:divBdr>
    </w:div>
    <w:div w:id="922491975">
      <w:bodyDiv w:val="1"/>
      <w:marLeft w:val="0"/>
      <w:marRight w:val="0"/>
      <w:marTop w:val="0"/>
      <w:marBottom w:val="0"/>
      <w:divBdr>
        <w:top w:val="none" w:sz="0" w:space="0" w:color="auto"/>
        <w:left w:val="none" w:sz="0" w:space="0" w:color="auto"/>
        <w:bottom w:val="none" w:sz="0" w:space="0" w:color="auto"/>
        <w:right w:val="none" w:sz="0" w:space="0" w:color="auto"/>
      </w:divBdr>
    </w:div>
    <w:div w:id="937982039">
      <w:bodyDiv w:val="1"/>
      <w:marLeft w:val="0"/>
      <w:marRight w:val="0"/>
      <w:marTop w:val="0"/>
      <w:marBottom w:val="0"/>
      <w:divBdr>
        <w:top w:val="none" w:sz="0" w:space="0" w:color="auto"/>
        <w:left w:val="none" w:sz="0" w:space="0" w:color="auto"/>
        <w:bottom w:val="none" w:sz="0" w:space="0" w:color="auto"/>
        <w:right w:val="none" w:sz="0" w:space="0" w:color="auto"/>
      </w:divBdr>
    </w:div>
    <w:div w:id="945844167">
      <w:bodyDiv w:val="1"/>
      <w:marLeft w:val="0"/>
      <w:marRight w:val="0"/>
      <w:marTop w:val="0"/>
      <w:marBottom w:val="0"/>
      <w:divBdr>
        <w:top w:val="none" w:sz="0" w:space="0" w:color="auto"/>
        <w:left w:val="none" w:sz="0" w:space="0" w:color="auto"/>
        <w:bottom w:val="none" w:sz="0" w:space="0" w:color="auto"/>
        <w:right w:val="none" w:sz="0" w:space="0" w:color="auto"/>
      </w:divBdr>
    </w:div>
    <w:div w:id="962468477">
      <w:bodyDiv w:val="1"/>
      <w:marLeft w:val="0"/>
      <w:marRight w:val="0"/>
      <w:marTop w:val="0"/>
      <w:marBottom w:val="0"/>
      <w:divBdr>
        <w:top w:val="none" w:sz="0" w:space="0" w:color="auto"/>
        <w:left w:val="none" w:sz="0" w:space="0" w:color="auto"/>
        <w:bottom w:val="none" w:sz="0" w:space="0" w:color="auto"/>
        <w:right w:val="none" w:sz="0" w:space="0" w:color="auto"/>
      </w:divBdr>
    </w:div>
    <w:div w:id="970792557">
      <w:bodyDiv w:val="1"/>
      <w:marLeft w:val="0"/>
      <w:marRight w:val="0"/>
      <w:marTop w:val="0"/>
      <w:marBottom w:val="0"/>
      <w:divBdr>
        <w:top w:val="none" w:sz="0" w:space="0" w:color="auto"/>
        <w:left w:val="none" w:sz="0" w:space="0" w:color="auto"/>
        <w:bottom w:val="none" w:sz="0" w:space="0" w:color="auto"/>
        <w:right w:val="none" w:sz="0" w:space="0" w:color="auto"/>
      </w:divBdr>
    </w:div>
    <w:div w:id="978221098">
      <w:bodyDiv w:val="1"/>
      <w:marLeft w:val="0"/>
      <w:marRight w:val="0"/>
      <w:marTop w:val="0"/>
      <w:marBottom w:val="0"/>
      <w:divBdr>
        <w:top w:val="none" w:sz="0" w:space="0" w:color="auto"/>
        <w:left w:val="none" w:sz="0" w:space="0" w:color="auto"/>
        <w:bottom w:val="none" w:sz="0" w:space="0" w:color="auto"/>
        <w:right w:val="none" w:sz="0" w:space="0" w:color="auto"/>
      </w:divBdr>
    </w:div>
    <w:div w:id="981278339">
      <w:bodyDiv w:val="1"/>
      <w:marLeft w:val="0"/>
      <w:marRight w:val="0"/>
      <w:marTop w:val="0"/>
      <w:marBottom w:val="0"/>
      <w:divBdr>
        <w:top w:val="none" w:sz="0" w:space="0" w:color="auto"/>
        <w:left w:val="none" w:sz="0" w:space="0" w:color="auto"/>
        <w:bottom w:val="none" w:sz="0" w:space="0" w:color="auto"/>
        <w:right w:val="none" w:sz="0" w:space="0" w:color="auto"/>
      </w:divBdr>
    </w:div>
    <w:div w:id="983198222">
      <w:bodyDiv w:val="1"/>
      <w:marLeft w:val="0"/>
      <w:marRight w:val="0"/>
      <w:marTop w:val="0"/>
      <w:marBottom w:val="0"/>
      <w:divBdr>
        <w:top w:val="none" w:sz="0" w:space="0" w:color="auto"/>
        <w:left w:val="none" w:sz="0" w:space="0" w:color="auto"/>
        <w:bottom w:val="none" w:sz="0" w:space="0" w:color="auto"/>
        <w:right w:val="none" w:sz="0" w:space="0" w:color="auto"/>
      </w:divBdr>
    </w:div>
    <w:div w:id="993266056">
      <w:bodyDiv w:val="1"/>
      <w:marLeft w:val="0"/>
      <w:marRight w:val="0"/>
      <w:marTop w:val="0"/>
      <w:marBottom w:val="0"/>
      <w:divBdr>
        <w:top w:val="none" w:sz="0" w:space="0" w:color="auto"/>
        <w:left w:val="none" w:sz="0" w:space="0" w:color="auto"/>
        <w:bottom w:val="none" w:sz="0" w:space="0" w:color="auto"/>
        <w:right w:val="none" w:sz="0" w:space="0" w:color="auto"/>
      </w:divBdr>
    </w:div>
    <w:div w:id="996882960">
      <w:bodyDiv w:val="1"/>
      <w:marLeft w:val="0"/>
      <w:marRight w:val="0"/>
      <w:marTop w:val="0"/>
      <w:marBottom w:val="0"/>
      <w:divBdr>
        <w:top w:val="none" w:sz="0" w:space="0" w:color="auto"/>
        <w:left w:val="none" w:sz="0" w:space="0" w:color="auto"/>
        <w:bottom w:val="none" w:sz="0" w:space="0" w:color="auto"/>
        <w:right w:val="none" w:sz="0" w:space="0" w:color="auto"/>
      </w:divBdr>
    </w:div>
    <w:div w:id="999113107">
      <w:bodyDiv w:val="1"/>
      <w:marLeft w:val="0"/>
      <w:marRight w:val="0"/>
      <w:marTop w:val="0"/>
      <w:marBottom w:val="0"/>
      <w:divBdr>
        <w:top w:val="none" w:sz="0" w:space="0" w:color="auto"/>
        <w:left w:val="none" w:sz="0" w:space="0" w:color="auto"/>
        <w:bottom w:val="none" w:sz="0" w:space="0" w:color="auto"/>
        <w:right w:val="none" w:sz="0" w:space="0" w:color="auto"/>
      </w:divBdr>
    </w:div>
    <w:div w:id="1013073974">
      <w:bodyDiv w:val="1"/>
      <w:marLeft w:val="0"/>
      <w:marRight w:val="0"/>
      <w:marTop w:val="0"/>
      <w:marBottom w:val="0"/>
      <w:divBdr>
        <w:top w:val="none" w:sz="0" w:space="0" w:color="auto"/>
        <w:left w:val="none" w:sz="0" w:space="0" w:color="auto"/>
        <w:bottom w:val="none" w:sz="0" w:space="0" w:color="auto"/>
        <w:right w:val="none" w:sz="0" w:space="0" w:color="auto"/>
      </w:divBdr>
    </w:div>
    <w:div w:id="1014453769">
      <w:bodyDiv w:val="1"/>
      <w:marLeft w:val="0"/>
      <w:marRight w:val="0"/>
      <w:marTop w:val="0"/>
      <w:marBottom w:val="0"/>
      <w:divBdr>
        <w:top w:val="none" w:sz="0" w:space="0" w:color="auto"/>
        <w:left w:val="none" w:sz="0" w:space="0" w:color="auto"/>
        <w:bottom w:val="none" w:sz="0" w:space="0" w:color="auto"/>
        <w:right w:val="none" w:sz="0" w:space="0" w:color="auto"/>
      </w:divBdr>
    </w:div>
    <w:div w:id="1028408147">
      <w:bodyDiv w:val="1"/>
      <w:marLeft w:val="0"/>
      <w:marRight w:val="0"/>
      <w:marTop w:val="0"/>
      <w:marBottom w:val="0"/>
      <w:divBdr>
        <w:top w:val="none" w:sz="0" w:space="0" w:color="auto"/>
        <w:left w:val="none" w:sz="0" w:space="0" w:color="auto"/>
        <w:bottom w:val="none" w:sz="0" w:space="0" w:color="auto"/>
        <w:right w:val="none" w:sz="0" w:space="0" w:color="auto"/>
      </w:divBdr>
    </w:div>
    <w:div w:id="1028529330">
      <w:bodyDiv w:val="1"/>
      <w:marLeft w:val="0"/>
      <w:marRight w:val="0"/>
      <w:marTop w:val="0"/>
      <w:marBottom w:val="0"/>
      <w:divBdr>
        <w:top w:val="none" w:sz="0" w:space="0" w:color="auto"/>
        <w:left w:val="none" w:sz="0" w:space="0" w:color="auto"/>
        <w:bottom w:val="none" w:sz="0" w:space="0" w:color="auto"/>
        <w:right w:val="none" w:sz="0" w:space="0" w:color="auto"/>
      </w:divBdr>
    </w:div>
    <w:div w:id="1034185617">
      <w:bodyDiv w:val="1"/>
      <w:marLeft w:val="0"/>
      <w:marRight w:val="0"/>
      <w:marTop w:val="0"/>
      <w:marBottom w:val="0"/>
      <w:divBdr>
        <w:top w:val="none" w:sz="0" w:space="0" w:color="auto"/>
        <w:left w:val="none" w:sz="0" w:space="0" w:color="auto"/>
        <w:bottom w:val="none" w:sz="0" w:space="0" w:color="auto"/>
        <w:right w:val="none" w:sz="0" w:space="0" w:color="auto"/>
      </w:divBdr>
    </w:div>
    <w:div w:id="1051033560">
      <w:bodyDiv w:val="1"/>
      <w:marLeft w:val="0"/>
      <w:marRight w:val="0"/>
      <w:marTop w:val="0"/>
      <w:marBottom w:val="0"/>
      <w:divBdr>
        <w:top w:val="none" w:sz="0" w:space="0" w:color="auto"/>
        <w:left w:val="none" w:sz="0" w:space="0" w:color="auto"/>
        <w:bottom w:val="none" w:sz="0" w:space="0" w:color="auto"/>
        <w:right w:val="none" w:sz="0" w:space="0" w:color="auto"/>
      </w:divBdr>
    </w:div>
    <w:div w:id="1066074347">
      <w:bodyDiv w:val="1"/>
      <w:marLeft w:val="0"/>
      <w:marRight w:val="0"/>
      <w:marTop w:val="0"/>
      <w:marBottom w:val="0"/>
      <w:divBdr>
        <w:top w:val="none" w:sz="0" w:space="0" w:color="auto"/>
        <w:left w:val="none" w:sz="0" w:space="0" w:color="auto"/>
        <w:bottom w:val="none" w:sz="0" w:space="0" w:color="auto"/>
        <w:right w:val="none" w:sz="0" w:space="0" w:color="auto"/>
      </w:divBdr>
    </w:div>
    <w:div w:id="1078557576">
      <w:bodyDiv w:val="1"/>
      <w:marLeft w:val="0"/>
      <w:marRight w:val="0"/>
      <w:marTop w:val="0"/>
      <w:marBottom w:val="0"/>
      <w:divBdr>
        <w:top w:val="none" w:sz="0" w:space="0" w:color="auto"/>
        <w:left w:val="none" w:sz="0" w:space="0" w:color="auto"/>
        <w:bottom w:val="none" w:sz="0" w:space="0" w:color="auto"/>
        <w:right w:val="none" w:sz="0" w:space="0" w:color="auto"/>
      </w:divBdr>
    </w:div>
    <w:div w:id="1091513961">
      <w:bodyDiv w:val="1"/>
      <w:marLeft w:val="0"/>
      <w:marRight w:val="0"/>
      <w:marTop w:val="0"/>
      <w:marBottom w:val="0"/>
      <w:divBdr>
        <w:top w:val="none" w:sz="0" w:space="0" w:color="auto"/>
        <w:left w:val="none" w:sz="0" w:space="0" w:color="auto"/>
        <w:bottom w:val="none" w:sz="0" w:space="0" w:color="auto"/>
        <w:right w:val="none" w:sz="0" w:space="0" w:color="auto"/>
      </w:divBdr>
    </w:div>
    <w:div w:id="1091664871">
      <w:bodyDiv w:val="1"/>
      <w:marLeft w:val="0"/>
      <w:marRight w:val="0"/>
      <w:marTop w:val="0"/>
      <w:marBottom w:val="0"/>
      <w:divBdr>
        <w:top w:val="none" w:sz="0" w:space="0" w:color="auto"/>
        <w:left w:val="none" w:sz="0" w:space="0" w:color="auto"/>
        <w:bottom w:val="none" w:sz="0" w:space="0" w:color="auto"/>
        <w:right w:val="none" w:sz="0" w:space="0" w:color="auto"/>
      </w:divBdr>
    </w:div>
    <w:div w:id="1095594876">
      <w:bodyDiv w:val="1"/>
      <w:marLeft w:val="0"/>
      <w:marRight w:val="0"/>
      <w:marTop w:val="0"/>
      <w:marBottom w:val="0"/>
      <w:divBdr>
        <w:top w:val="none" w:sz="0" w:space="0" w:color="auto"/>
        <w:left w:val="none" w:sz="0" w:space="0" w:color="auto"/>
        <w:bottom w:val="none" w:sz="0" w:space="0" w:color="auto"/>
        <w:right w:val="none" w:sz="0" w:space="0" w:color="auto"/>
      </w:divBdr>
    </w:div>
    <w:div w:id="1098914107">
      <w:bodyDiv w:val="1"/>
      <w:marLeft w:val="0"/>
      <w:marRight w:val="0"/>
      <w:marTop w:val="0"/>
      <w:marBottom w:val="0"/>
      <w:divBdr>
        <w:top w:val="none" w:sz="0" w:space="0" w:color="auto"/>
        <w:left w:val="none" w:sz="0" w:space="0" w:color="auto"/>
        <w:bottom w:val="none" w:sz="0" w:space="0" w:color="auto"/>
        <w:right w:val="none" w:sz="0" w:space="0" w:color="auto"/>
      </w:divBdr>
    </w:div>
    <w:div w:id="1103692427">
      <w:bodyDiv w:val="1"/>
      <w:marLeft w:val="0"/>
      <w:marRight w:val="0"/>
      <w:marTop w:val="0"/>
      <w:marBottom w:val="0"/>
      <w:divBdr>
        <w:top w:val="none" w:sz="0" w:space="0" w:color="auto"/>
        <w:left w:val="none" w:sz="0" w:space="0" w:color="auto"/>
        <w:bottom w:val="none" w:sz="0" w:space="0" w:color="auto"/>
        <w:right w:val="none" w:sz="0" w:space="0" w:color="auto"/>
      </w:divBdr>
    </w:div>
    <w:div w:id="1104612447">
      <w:bodyDiv w:val="1"/>
      <w:marLeft w:val="0"/>
      <w:marRight w:val="0"/>
      <w:marTop w:val="0"/>
      <w:marBottom w:val="0"/>
      <w:divBdr>
        <w:top w:val="none" w:sz="0" w:space="0" w:color="auto"/>
        <w:left w:val="none" w:sz="0" w:space="0" w:color="auto"/>
        <w:bottom w:val="none" w:sz="0" w:space="0" w:color="auto"/>
        <w:right w:val="none" w:sz="0" w:space="0" w:color="auto"/>
      </w:divBdr>
    </w:div>
    <w:div w:id="1113086227">
      <w:bodyDiv w:val="1"/>
      <w:marLeft w:val="0"/>
      <w:marRight w:val="0"/>
      <w:marTop w:val="0"/>
      <w:marBottom w:val="0"/>
      <w:divBdr>
        <w:top w:val="none" w:sz="0" w:space="0" w:color="auto"/>
        <w:left w:val="none" w:sz="0" w:space="0" w:color="auto"/>
        <w:bottom w:val="none" w:sz="0" w:space="0" w:color="auto"/>
        <w:right w:val="none" w:sz="0" w:space="0" w:color="auto"/>
      </w:divBdr>
    </w:div>
    <w:div w:id="1127167580">
      <w:bodyDiv w:val="1"/>
      <w:marLeft w:val="0"/>
      <w:marRight w:val="0"/>
      <w:marTop w:val="0"/>
      <w:marBottom w:val="0"/>
      <w:divBdr>
        <w:top w:val="none" w:sz="0" w:space="0" w:color="auto"/>
        <w:left w:val="none" w:sz="0" w:space="0" w:color="auto"/>
        <w:bottom w:val="none" w:sz="0" w:space="0" w:color="auto"/>
        <w:right w:val="none" w:sz="0" w:space="0" w:color="auto"/>
      </w:divBdr>
    </w:div>
    <w:div w:id="1139375265">
      <w:bodyDiv w:val="1"/>
      <w:marLeft w:val="0"/>
      <w:marRight w:val="0"/>
      <w:marTop w:val="0"/>
      <w:marBottom w:val="0"/>
      <w:divBdr>
        <w:top w:val="none" w:sz="0" w:space="0" w:color="auto"/>
        <w:left w:val="none" w:sz="0" w:space="0" w:color="auto"/>
        <w:bottom w:val="none" w:sz="0" w:space="0" w:color="auto"/>
        <w:right w:val="none" w:sz="0" w:space="0" w:color="auto"/>
      </w:divBdr>
    </w:div>
    <w:div w:id="1151992194">
      <w:bodyDiv w:val="1"/>
      <w:marLeft w:val="0"/>
      <w:marRight w:val="0"/>
      <w:marTop w:val="0"/>
      <w:marBottom w:val="0"/>
      <w:divBdr>
        <w:top w:val="none" w:sz="0" w:space="0" w:color="auto"/>
        <w:left w:val="none" w:sz="0" w:space="0" w:color="auto"/>
        <w:bottom w:val="none" w:sz="0" w:space="0" w:color="auto"/>
        <w:right w:val="none" w:sz="0" w:space="0" w:color="auto"/>
      </w:divBdr>
    </w:div>
    <w:div w:id="1154368180">
      <w:bodyDiv w:val="1"/>
      <w:marLeft w:val="0"/>
      <w:marRight w:val="0"/>
      <w:marTop w:val="0"/>
      <w:marBottom w:val="0"/>
      <w:divBdr>
        <w:top w:val="none" w:sz="0" w:space="0" w:color="auto"/>
        <w:left w:val="none" w:sz="0" w:space="0" w:color="auto"/>
        <w:bottom w:val="none" w:sz="0" w:space="0" w:color="auto"/>
        <w:right w:val="none" w:sz="0" w:space="0" w:color="auto"/>
      </w:divBdr>
    </w:div>
    <w:div w:id="1179078522">
      <w:bodyDiv w:val="1"/>
      <w:marLeft w:val="0"/>
      <w:marRight w:val="0"/>
      <w:marTop w:val="0"/>
      <w:marBottom w:val="0"/>
      <w:divBdr>
        <w:top w:val="none" w:sz="0" w:space="0" w:color="auto"/>
        <w:left w:val="none" w:sz="0" w:space="0" w:color="auto"/>
        <w:bottom w:val="none" w:sz="0" w:space="0" w:color="auto"/>
        <w:right w:val="none" w:sz="0" w:space="0" w:color="auto"/>
      </w:divBdr>
    </w:div>
    <w:div w:id="1179350255">
      <w:bodyDiv w:val="1"/>
      <w:marLeft w:val="0"/>
      <w:marRight w:val="0"/>
      <w:marTop w:val="0"/>
      <w:marBottom w:val="0"/>
      <w:divBdr>
        <w:top w:val="none" w:sz="0" w:space="0" w:color="auto"/>
        <w:left w:val="none" w:sz="0" w:space="0" w:color="auto"/>
        <w:bottom w:val="none" w:sz="0" w:space="0" w:color="auto"/>
        <w:right w:val="none" w:sz="0" w:space="0" w:color="auto"/>
      </w:divBdr>
    </w:div>
    <w:div w:id="1188955067">
      <w:bodyDiv w:val="1"/>
      <w:marLeft w:val="0"/>
      <w:marRight w:val="0"/>
      <w:marTop w:val="0"/>
      <w:marBottom w:val="0"/>
      <w:divBdr>
        <w:top w:val="none" w:sz="0" w:space="0" w:color="auto"/>
        <w:left w:val="none" w:sz="0" w:space="0" w:color="auto"/>
        <w:bottom w:val="none" w:sz="0" w:space="0" w:color="auto"/>
        <w:right w:val="none" w:sz="0" w:space="0" w:color="auto"/>
      </w:divBdr>
    </w:div>
    <w:div w:id="1189368181">
      <w:bodyDiv w:val="1"/>
      <w:marLeft w:val="0"/>
      <w:marRight w:val="0"/>
      <w:marTop w:val="0"/>
      <w:marBottom w:val="0"/>
      <w:divBdr>
        <w:top w:val="none" w:sz="0" w:space="0" w:color="auto"/>
        <w:left w:val="none" w:sz="0" w:space="0" w:color="auto"/>
        <w:bottom w:val="none" w:sz="0" w:space="0" w:color="auto"/>
        <w:right w:val="none" w:sz="0" w:space="0" w:color="auto"/>
      </w:divBdr>
    </w:div>
    <w:div w:id="1189875426">
      <w:bodyDiv w:val="1"/>
      <w:marLeft w:val="0"/>
      <w:marRight w:val="0"/>
      <w:marTop w:val="0"/>
      <w:marBottom w:val="0"/>
      <w:divBdr>
        <w:top w:val="none" w:sz="0" w:space="0" w:color="auto"/>
        <w:left w:val="none" w:sz="0" w:space="0" w:color="auto"/>
        <w:bottom w:val="none" w:sz="0" w:space="0" w:color="auto"/>
        <w:right w:val="none" w:sz="0" w:space="0" w:color="auto"/>
      </w:divBdr>
    </w:div>
    <w:div w:id="1190529827">
      <w:bodyDiv w:val="1"/>
      <w:marLeft w:val="0"/>
      <w:marRight w:val="0"/>
      <w:marTop w:val="0"/>
      <w:marBottom w:val="0"/>
      <w:divBdr>
        <w:top w:val="none" w:sz="0" w:space="0" w:color="auto"/>
        <w:left w:val="none" w:sz="0" w:space="0" w:color="auto"/>
        <w:bottom w:val="none" w:sz="0" w:space="0" w:color="auto"/>
        <w:right w:val="none" w:sz="0" w:space="0" w:color="auto"/>
      </w:divBdr>
    </w:div>
    <w:div w:id="1241410351">
      <w:bodyDiv w:val="1"/>
      <w:marLeft w:val="0"/>
      <w:marRight w:val="0"/>
      <w:marTop w:val="0"/>
      <w:marBottom w:val="0"/>
      <w:divBdr>
        <w:top w:val="none" w:sz="0" w:space="0" w:color="auto"/>
        <w:left w:val="none" w:sz="0" w:space="0" w:color="auto"/>
        <w:bottom w:val="none" w:sz="0" w:space="0" w:color="auto"/>
        <w:right w:val="none" w:sz="0" w:space="0" w:color="auto"/>
      </w:divBdr>
    </w:div>
    <w:div w:id="1248029506">
      <w:bodyDiv w:val="1"/>
      <w:marLeft w:val="0"/>
      <w:marRight w:val="0"/>
      <w:marTop w:val="0"/>
      <w:marBottom w:val="0"/>
      <w:divBdr>
        <w:top w:val="none" w:sz="0" w:space="0" w:color="auto"/>
        <w:left w:val="none" w:sz="0" w:space="0" w:color="auto"/>
        <w:bottom w:val="none" w:sz="0" w:space="0" w:color="auto"/>
        <w:right w:val="none" w:sz="0" w:space="0" w:color="auto"/>
      </w:divBdr>
    </w:div>
    <w:div w:id="1253784263">
      <w:bodyDiv w:val="1"/>
      <w:marLeft w:val="0"/>
      <w:marRight w:val="0"/>
      <w:marTop w:val="0"/>
      <w:marBottom w:val="0"/>
      <w:divBdr>
        <w:top w:val="none" w:sz="0" w:space="0" w:color="auto"/>
        <w:left w:val="none" w:sz="0" w:space="0" w:color="auto"/>
        <w:bottom w:val="none" w:sz="0" w:space="0" w:color="auto"/>
        <w:right w:val="none" w:sz="0" w:space="0" w:color="auto"/>
      </w:divBdr>
    </w:div>
    <w:div w:id="1257327049">
      <w:bodyDiv w:val="1"/>
      <w:marLeft w:val="0"/>
      <w:marRight w:val="0"/>
      <w:marTop w:val="0"/>
      <w:marBottom w:val="0"/>
      <w:divBdr>
        <w:top w:val="none" w:sz="0" w:space="0" w:color="auto"/>
        <w:left w:val="none" w:sz="0" w:space="0" w:color="auto"/>
        <w:bottom w:val="none" w:sz="0" w:space="0" w:color="auto"/>
        <w:right w:val="none" w:sz="0" w:space="0" w:color="auto"/>
      </w:divBdr>
    </w:div>
    <w:div w:id="1259678280">
      <w:bodyDiv w:val="1"/>
      <w:marLeft w:val="0"/>
      <w:marRight w:val="0"/>
      <w:marTop w:val="0"/>
      <w:marBottom w:val="0"/>
      <w:divBdr>
        <w:top w:val="none" w:sz="0" w:space="0" w:color="auto"/>
        <w:left w:val="none" w:sz="0" w:space="0" w:color="auto"/>
        <w:bottom w:val="none" w:sz="0" w:space="0" w:color="auto"/>
        <w:right w:val="none" w:sz="0" w:space="0" w:color="auto"/>
      </w:divBdr>
    </w:div>
    <w:div w:id="1279097628">
      <w:bodyDiv w:val="1"/>
      <w:marLeft w:val="0"/>
      <w:marRight w:val="0"/>
      <w:marTop w:val="0"/>
      <w:marBottom w:val="0"/>
      <w:divBdr>
        <w:top w:val="none" w:sz="0" w:space="0" w:color="auto"/>
        <w:left w:val="none" w:sz="0" w:space="0" w:color="auto"/>
        <w:bottom w:val="none" w:sz="0" w:space="0" w:color="auto"/>
        <w:right w:val="none" w:sz="0" w:space="0" w:color="auto"/>
      </w:divBdr>
    </w:div>
    <w:div w:id="1280605774">
      <w:bodyDiv w:val="1"/>
      <w:marLeft w:val="0"/>
      <w:marRight w:val="0"/>
      <w:marTop w:val="0"/>
      <w:marBottom w:val="0"/>
      <w:divBdr>
        <w:top w:val="none" w:sz="0" w:space="0" w:color="auto"/>
        <w:left w:val="none" w:sz="0" w:space="0" w:color="auto"/>
        <w:bottom w:val="none" w:sz="0" w:space="0" w:color="auto"/>
        <w:right w:val="none" w:sz="0" w:space="0" w:color="auto"/>
      </w:divBdr>
    </w:div>
    <w:div w:id="1282152602">
      <w:bodyDiv w:val="1"/>
      <w:marLeft w:val="0"/>
      <w:marRight w:val="0"/>
      <w:marTop w:val="0"/>
      <w:marBottom w:val="0"/>
      <w:divBdr>
        <w:top w:val="none" w:sz="0" w:space="0" w:color="auto"/>
        <w:left w:val="none" w:sz="0" w:space="0" w:color="auto"/>
        <w:bottom w:val="none" w:sz="0" w:space="0" w:color="auto"/>
        <w:right w:val="none" w:sz="0" w:space="0" w:color="auto"/>
      </w:divBdr>
    </w:div>
    <w:div w:id="1305432522">
      <w:bodyDiv w:val="1"/>
      <w:marLeft w:val="0"/>
      <w:marRight w:val="0"/>
      <w:marTop w:val="0"/>
      <w:marBottom w:val="0"/>
      <w:divBdr>
        <w:top w:val="none" w:sz="0" w:space="0" w:color="auto"/>
        <w:left w:val="none" w:sz="0" w:space="0" w:color="auto"/>
        <w:bottom w:val="none" w:sz="0" w:space="0" w:color="auto"/>
        <w:right w:val="none" w:sz="0" w:space="0" w:color="auto"/>
      </w:divBdr>
    </w:div>
    <w:div w:id="1306471023">
      <w:bodyDiv w:val="1"/>
      <w:marLeft w:val="0"/>
      <w:marRight w:val="0"/>
      <w:marTop w:val="0"/>
      <w:marBottom w:val="0"/>
      <w:divBdr>
        <w:top w:val="none" w:sz="0" w:space="0" w:color="auto"/>
        <w:left w:val="none" w:sz="0" w:space="0" w:color="auto"/>
        <w:bottom w:val="none" w:sz="0" w:space="0" w:color="auto"/>
        <w:right w:val="none" w:sz="0" w:space="0" w:color="auto"/>
      </w:divBdr>
    </w:div>
    <w:div w:id="1313098372">
      <w:bodyDiv w:val="1"/>
      <w:marLeft w:val="0"/>
      <w:marRight w:val="0"/>
      <w:marTop w:val="0"/>
      <w:marBottom w:val="0"/>
      <w:divBdr>
        <w:top w:val="none" w:sz="0" w:space="0" w:color="auto"/>
        <w:left w:val="none" w:sz="0" w:space="0" w:color="auto"/>
        <w:bottom w:val="none" w:sz="0" w:space="0" w:color="auto"/>
        <w:right w:val="none" w:sz="0" w:space="0" w:color="auto"/>
      </w:divBdr>
    </w:div>
    <w:div w:id="1317102761">
      <w:bodyDiv w:val="1"/>
      <w:marLeft w:val="0"/>
      <w:marRight w:val="0"/>
      <w:marTop w:val="0"/>
      <w:marBottom w:val="0"/>
      <w:divBdr>
        <w:top w:val="none" w:sz="0" w:space="0" w:color="auto"/>
        <w:left w:val="none" w:sz="0" w:space="0" w:color="auto"/>
        <w:bottom w:val="none" w:sz="0" w:space="0" w:color="auto"/>
        <w:right w:val="none" w:sz="0" w:space="0" w:color="auto"/>
      </w:divBdr>
    </w:div>
    <w:div w:id="1317489406">
      <w:bodyDiv w:val="1"/>
      <w:marLeft w:val="0"/>
      <w:marRight w:val="0"/>
      <w:marTop w:val="0"/>
      <w:marBottom w:val="0"/>
      <w:divBdr>
        <w:top w:val="none" w:sz="0" w:space="0" w:color="auto"/>
        <w:left w:val="none" w:sz="0" w:space="0" w:color="auto"/>
        <w:bottom w:val="none" w:sz="0" w:space="0" w:color="auto"/>
        <w:right w:val="none" w:sz="0" w:space="0" w:color="auto"/>
      </w:divBdr>
    </w:div>
    <w:div w:id="1326863846">
      <w:bodyDiv w:val="1"/>
      <w:marLeft w:val="0"/>
      <w:marRight w:val="0"/>
      <w:marTop w:val="0"/>
      <w:marBottom w:val="0"/>
      <w:divBdr>
        <w:top w:val="none" w:sz="0" w:space="0" w:color="auto"/>
        <w:left w:val="none" w:sz="0" w:space="0" w:color="auto"/>
        <w:bottom w:val="none" w:sz="0" w:space="0" w:color="auto"/>
        <w:right w:val="none" w:sz="0" w:space="0" w:color="auto"/>
      </w:divBdr>
    </w:div>
    <w:div w:id="1327249733">
      <w:bodyDiv w:val="1"/>
      <w:marLeft w:val="0"/>
      <w:marRight w:val="0"/>
      <w:marTop w:val="0"/>
      <w:marBottom w:val="0"/>
      <w:divBdr>
        <w:top w:val="none" w:sz="0" w:space="0" w:color="auto"/>
        <w:left w:val="none" w:sz="0" w:space="0" w:color="auto"/>
        <w:bottom w:val="none" w:sz="0" w:space="0" w:color="auto"/>
        <w:right w:val="none" w:sz="0" w:space="0" w:color="auto"/>
      </w:divBdr>
    </w:div>
    <w:div w:id="1337151541">
      <w:bodyDiv w:val="1"/>
      <w:marLeft w:val="0"/>
      <w:marRight w:val="0"/>
      <w:marTop w:val="0"/>
      <w:marBottom w:val="0"/>
      <w:divBdr>
        <w:top w:val="none" w:sz="0" w:space="0" w:color="auto"/>
        <w:left w:val="none" w:sz="0" w:space="0" w:color="auto"/>
        <w:bottom w:val="none" w:sz="0" w:space="0" w:color="auto"/>
        <w:right w:val="none" w:sz="0" w:space="0" w:color="auto"/>
      </w:divBdr>
    </w:div>
    <w:div w:id="1341850676">
      <w:bodyDiv w:val="1"/>
      <w:marLeft w:val="0"/>
      <w:marRight w:val="0"/>
      <w:marTop w:val="0"/>
      <w:marBottom w:val="0"/>
      <w:divBdr>
        <w:top w:val="none" w:sz="0" w:space="0" w:color="auto"/>
        <w:left w:val="none" w:sz="0" w:space="0" w:color="auto"/>
        <w:bottom w:val="none" w:sz="0" w:space="0" w:color="auto"/>
        <w:right w:val="none" w:sz="0" w:space="0" w:color="auto"/>
      </w:divBdr>
    </w:div>
    <w:div w:id="1355888511">
      <w:bodyDiv w:val="1"/>
      <w:marLeft w:val="0"/>
      <w:marRight w:val="0"/>
      <w:marTop w:val="0"/>
      <w:marBottom w:val="0"/>
      <w:divBdr>
        <w:top w:val="none" w:sz="0" w:space="0" w:color="auto"/>
        <w:left w:val="none" w:sz="0" w:space="0" w:color="auto"/>
        <w:bottom w:val="none" w:sz="0" w:space="0" w:color="auto"/>
        <w:right w:val="none" w:sz="0" w:space="0" w:color="auto"/>
      </w:divBdr>
    </w:div>
    <w:div w:id="1358000770">
      <w:bodyDiv w:val="1"/>
      <w:marLeft w:val="0"/>
      <w:marRight w:val="0"/>
      <w:marTop w:val="0"/>
      <w:marBottom w:val="0"/>
      <w:divBdr>
        <w:top w:val="none" w:sz="0" w:space="0" w:color="auto"/>
        <w:left w:val="none" w:sz="0" w:space="0" w:color="auto"/>
        <w:bottom w:val="none" w:sz="0" w:space="0" w:color="auto"/>
        <w:right w:val="none" w:sz="0" w:space="0" w:color="auto"/>
      </w:divBdr>
    </w:div>
    <w:div w:id="1371998203">
      <w:bodyDiv w:val="1"/>
      <w:marLeft w:val="0"/>
      <w:marRight w:val="0"/>
      <w:marTop w:val="0"/>
      <w:marBottom w:val="0"/>
      <w:divBdr>
        <w:top w:val="none" w:sz="0" w:space="0" w:color="auto"/>
        <w:left w:val="none" w:sz="0" w:space="0" w:color="auto"/>
        <w:bottom w:val="none" w:sz="0" w:space="0" w:color="auto"/>
        <w:right w:val="none" w:sz="0" w:space="0" w:color="auto"/>
      </w:divBdr>
    </w:div>
    <w:div w:id="1375616716">
      <w:bodyDiv w:val="1"/>
      <w:marLeft w:val="0"/>
      <w:marRight w:val="0"/>
      <w:marTop w:val="0"/>
      <w:marBottom w:val="0"/>
      <w:divBdr>
        <w:top w:val="none" w:sz="0" w:space="0" w:color="auto"/>
        <w:left w:val="none" w:sz="0" w:space="0" w:color="auto"/>
        <w:bottom w:val="none" w:sz="0" w:space="0" w:color="auto"/>
        <w:right w:val="none" w:sz="0" w:space="0" w:color="auto"/>
      </w:divBdr>
    </w:div>
    <w:div w:id="1380015873">
      <w:bodyDiv w:val="1"/>
      <w:marLeft w:val="0"/>
      <w:marRight w:val="0"/>
      <w:marTop w:val="0"/>
      <w:marBottom w:val="0"/>
      <w:divBdr>
        <w:top w:val="none" w:sz="0" w:space="0" w:color="auto"/>
        <w:left w:val="none" w:sz="0" w:space="0" w:color="auto"/>
        <w:bottom w:val="none" w:sz="0" w:space="0" w:color="auto"/>
        <w:right w:val="none" w:sz="0" w:space="0" w:color="auto"/>
      </w:divBdr>
    </w:div>
    <w:div w:id="1381249333">
      <w:bodyDiv w:val="1"/>
      <w:marLeft w:val="0"/>
      <w:marRight w:val="0"/>
      <w:marTop w:val="0"/>
      <w:marBottom w:val="0"/>
      <w:divBdr>
        <w:top w:val="none" w:sz="0" w:space="0" w:color="auto"/>
        <w:left w:val="none" w:sz="0" w:space="0" w:color="auto"/>
        <w:bottom w:val="none" w:sz="0" w:space="0" w:color="auto"/>
        <w:right w:val="none" w:sz="0" w:space="0" w:color="auto"/>
      </w:divBdr>
    </w:div>
    <w:div w:id="1382823777">
      <w:bodyDiv w:val="1"/>
      <w:marLeft w:val="0"/>
      <w:marRight w:val="0"/>
      <w:marTop w:val="0"/>
      <w:marBottom w:val="0"/>
      <w:divBdr>
        <w:top w:val="none" w:sz="0" w:space="0" w:color="auto"/>
        <w:left w:val="none" w:sz="0" w:space="0" w:color="auto"/>
        <w:bottom w:val="none" w:sz="0" w:space="0" w:color="auto"/>
        <w:right w:val="none" w:sz="0" w:space="0" w:color="auto"/>
      </w:divBdr>
    </w:div>
    <w:div w:id="1394424346">
      <w:bodyDiv w:val="1"/>
      <w:marLeft w:val="0"/>
      <w:marRight w:val="0"/>
      <w:marTop w:val="0"/>
      <w:marBottom w:val="0"/>
      <w:divBdr>
        <w:top w:val="none" w:sz="0" w:space="0" w:color="auto"/>
        <w:left w:val="none" w:sz="0" w:space="0" w:color="auto"/>
        <w:bottom w:val="none" w:sz="0" w:space="0" w:color="auto"/>
        <w:right w:val="none" w:sz="0" w:space="0" w:color="auto"/>
      </w:divBdr>
    </w:div>
    <w:div w:id="1404377542">
      <w:bodyDiv w:val="1"/>
      <w:marLeft w:val="0"/>
      <w:marRight w:val="0"/>
      <w:marTop w:val="0"/>
      <w:marBottom w:val="0"/>
      <w:divBdr>
        <w:top w:val="none" w:sz="0" w:space="0" w:color="auto"/>
        <w:left w:val="none" w:sz="0" w:space="0" w:color="auto"/>
        <w:bottom w:val="none" w:sz="0" w:space="0" w:color="auto"/>
        <w:right w:val="none" w:sz="0" w:space="0" w:color="auto"/>
      </w:divBdr>
    </w:div>
    <w:div w:id="1414280790">
      <w:bodyDiv w:val="1"/>
      <w:marLeft w:val="0"/>
      <w:marRight w:val="0"/>
      <w:marTop w:val="0"/>
      <w:marBottom w:val="0"/>
      <w:divBdr>
        <w:top w:val="none" w:sz="0" w:space="0" w:color="auto"/>
        <w:left w:val="none" w:sz="0" w:space="0" w:color="auto"/>
        <w:bottom w:val="none" w:sz="0" w:space="0" w:color="auto"/>
        <w:right w:val="none" w:sz="0" w:space="0" w:color="auto"/>
      </w:divBdr>
    </w:div>
    <w:div w:id="1422680106">
      <w:bodyDiv w:val="1"/>
      <w:marLeft w:val="0"/>
      <w:marRight w:val="0"/>
      <w:marTop w:val="0"/>
      <w:marBottom w:val="0"/>
      <w:divBdr>
        <w:top w:val="none" w:sz="0" w:space="0" w:color="auto"/>
        <w:left w:val="none" w:sz="0" w:space="0" w:color="auto"/>
        <w:bottom w:val="none" w:sz="0" w:space="0" w:color="auto"/>
        <w:right w:val="none" w:sz="0" w:space="0" w:color="auto"/>
      </w:divBdr>
    </w:div>
    <w:div w:id="1444611767">
      <w:bodyDiv w:val="1"/>
      <w:marLeft w:val="0"/>
      <w:marRight w:val="0"/>
      <w:marTop w:val="0"/>
      <w:marBottom w:val="0"/>
      <w:divBdr>
        <w:top w:val="none" w:sz="0" w:space="0" w:color="auto"/>
        <w:left w:val="none" w:sz="0" w:space="0" w:color="auto"/>
        <w:bottom w:val="none" w:sz="0" w:space="0" w:color="auto"/>
        <w:right w:val="none" w:sz="0" w:space="0" w:color="auto"/>
      </w:divBdr>
    </w:div>
    <w:div w:id="1447507885">
      <w:bodyDiv w:val="1"/>
      <w:marLeft w:val="0"/>
      <w:marRight w:val="0"/>
      <w:marTop w:val="0"/>
      <w:marBottom w:val="0"/>
      <w:divBdr>
        <w:top w:val="none" w:sz="0" w:space="0" w:color="auto"/>
        <w:left w:val="none" w:sz="0" w:space="0" w:color="auto"/>
        <w:bottom w:val="none" w:sz="0" w:space="0" w:color="auto"/>
        <w:right w:val="none" w:sz="0" w:space="0" w:color="auto"/>
      </w:divBdr>
    </w:div>
    <w:div w:id="1448894395">
      <w:bodyDiv w:val="1"/>
      <w:marLeft w:val="0"/>
      <w:marRight w:val="0"/>
      <w:marTop w:val="0"/>
      <w:marBottom w:val="0"/>
      <w:divBdr>
        <w:top w:val="none" w:sz="0" w:space="0" w:color="auto"/>
        <w:left w:val="none" w:sz="0" w:space="0" w:color="auto"/>
        <w:bottom w:val="none" w:sz="0" w:space="0" w:color="auto"/>
        <w:right w:val="none" w:sz="0" w:space="0" w:color="auto"/>
      </w:divBdr>
    </w:div>
    <w:div w:id="1473333188">
      <w:bodyDiv w:val="1"/>
      <w:marLeft w:val="0"/>
      <w:marRight w:val="0"/>
      <w:marTop w:val="0"/>
      <w:marBottom w:val="0"/>
      <w:divBdr>
        <w:top w:val="none" w:sz="0" w:space="0" w:color="auto"/>
        <w:left w:val="none" w:sz="0" w:space="0" w:color="auto"/>
        <w:bottom w:val="none" w:sz="0" w:space="0" w:color="auto"/>
        <w:right w:val="none" w:sz="0" w:space="0" w:color="auto"/>
      </w:divBdr>
    </w:div>
    <w:div w:id="1491094290">
      <w:bodyDiv w:val="1"/>
      <w:marLeft w:val="0"/>
      <w:marRight w:val="0"/>
      <w:marTop w:val="0"/>
      <w:marBottom w:val="0"/>
      <w:divBdr>
        <w:top w:val="none" w:sz="0" w:space="0" w:color="auto"/>
        <w:left w:val="none" w:sz="0" w:space="0" w:color="auto"/>
        <w:bottom w:val="none" w:sz="0" w:space="0" w:color="auto"/>
        <w:right w:val="none" w:sz="0" w:space="0" w:color="auto"/>
      </w:divBdr>
    </w:div>
    <w:div w:id="1492721878">
      <w:bodyDiv w:val="1"/>
      <w:marLeft w:val="0"/>
      <w:marRight w:val="0"/>
      <w:marTop w:val="0"/>
      <w:marBottom w:val="0"/>
      <w:divBdr>
        <w:top w:val="none" w:sz="0" w:space="0" w:color="auto"/>
        <w:left w:val="none" w:sz="0" w:space="0" w:color="auto"/>
        <w:bottom w:val="none" w:sz="0" w:space="0" w:color="auto"/>
        <w:right w:val="none" w:sz="0" w:space="0" w:color="auto"/>
      </w:divBdr>
    </w:div>
    <w:div w:id="1493833796">
      <w:bodyDiv w:val="1"/>
      <w:marLeft w:val="0"/>
      <w:marRight w:val="0"/>
      <w:marTop w:val="0"/>
      <w:marBottom w:val="0"/>
      <w:divBdr>
        <w:top w:val="none" w:sz="0" w:space="0" w:color="auto"/>
        <w:left w:val="none" w:sz="0" w:space="0" w:color="auto"/>
        <w:bottom w:val="none" w:sz="0" w:space="0" w:color="auto"/>
        <w:right w:val="none" w:sz="0" w:space="0" w:color="auto"/>
      </w:divBdr>
    </w:div>
    <w:div w:id="1498808874">
      <w:bodyDiv w:val="1"/>
      <w:marLeft w:val="0"/>
      <w:marRight w:val="0"/>
      <w:marTop w:val="0"/>
      <w:marBottom w:val="0"/>
      <w:divBdr>
        <w:top w:val="none" w:sz="0" w:space="0" w:color="auto"/>
        <w:left w:val="none" w:sz="0" w:space="0" w:color="auto"/>
        <w:bottom w:val="none" w:sz="0" w:space="0" w:color="auto"/>
        <w:right w:val="none" w:sz="0" w:space="0" w:color="auto"/>
      </w:divBdr>
    </w:div>
    <w:div w:id="1500804068">
      <w:bodyDiv w:val="1"/>
      <w:marLeft w:val="0"/>
      <w:marRight w:val="0"/>
      <w:marTop w:val="0"/>
      <w:marBottom w:val="0"/>
      <w:divBdr>
        <w:top w:val="none" w:sz="0" w:space="0" w:color="auto"/>
        <w:left w:val="none" w:sz="0" w:space="0" w:color="auto"/>
        <w:bottom w:val="none" w:sz="0" w:space="0" w:color="auto"/>
        <w:right w:val="none" w:sz="0" w:space="0" w:color="auto"/>
      </w:divBdr>
    </w:div>
    <w:div w:id="1504279435">
      <w:bodyDiv w:val="1"/>
      <w:marLeft w:val="0"/>
      <w:marRight w:val="0"/>
      <w:marTop w:val="0"/>
      <w:marBottom w:val="0"/>
      <w:divBdr>
        <w:top w:val="none" w:sz="0" w:space="0" w:color="auto"/>
        <w:left w:val="none" w:sz="0" w:space="0" w:color="auto"/>
        <w:bottom w:val="none" w:sz="0" w:space="0" w:color="auto"/>
        <w:right w:val="none" w:sz="0" w:space="0" w:color="auto"/>
      </w:divBdr>
    </w:div>
    <w:div w:id="1505976390">
      <w:bodyDiv w:val="1"/>
      <w:marLeft w:val="0"/>
      <w:marRight w:val="0"/>
      <w:marTop w:val="0"/>
      <w:marBottom w:val="0"/>
      <w:divBdr>
        <w:top w:val="none" w:sz="0" w:space="0" w:color="auto"/>
        <w:left w:val="none" w:sz="0" w:space="0" w:color="auto"/>
        <w:bottom w:val="none" w:sz="0" w:space="0" w:color="auto"/>
        <w:right w:val="none" w:sz="0" w:space="0" w:color="auto"/>
      </w:divBdr>
    </w:div>
    <w:div w:id="1528446850">
      <w:bodyDiv w:val="1"/>
      <w:marLeft w:val="0"/>
      <w:marRight w:val="0"/>
      <w:marTop w:val="0"/>
      <w:marBottom w:val="0"/>
      <w:divBdr>
        <w:top w:val="none" w:sz="0" w:space="0" w:color="auto"/>
        <w:left w:val="none" w:sz="0" w:space="0" w:color="auto"/>
        <w:bottom w:val="none" w:sz="0" w:space="0" w:color="auto"/>
        <w:right w:val="none" w:sz="0" w:space="0" w:color="auto"/>
      </w:divBdr>
    </w:div>
    <w:div w:id="1530680224">
      <w:bodyDiv w:val="1"/>
      <w:marLeft w:val="0"/>
      <w:marRight w:val="0"/>
      <w:marTop w:val="0"/>
      <w:marBottom w:val="0"/>
      <w:divBdr>
        <w:top w:val="none" w:sz="0" w:space="0" w:color="auto"/>
        <w:left w:val="none" w:sz="0" w:space="0" w:color="auto"/>
        <w:bottom w:val="none" w:sz="0" w:space="0" w:color="auto"/>
        <w:right w:val="none" w:sz="0" w:space="0" w:color="auto"/>
      </w:divBdr>
    </w:div>
    <w:div w:id="1536231010">
      <w:bodyDiv w:val="1"/>
      <w:marLeft w:val="0"/>
      <w:marRight w:val="0"/>
      <w:marTop w:val="0"/>
      <w:marBottom w:val="0"/>
      <w:divBdr>
        <w:top w:val="none" w:sz="0" w:space="0" w:color="auto"/>
        <w:left w:val="none" w:sz="0" w:space="0" w:color="auto"/>
        <w:bottom w:val="none" w:sz="0" w:space="0" w:color="auto"/>
        <w:right w:val="none" w:sz="0" w:space="0" w:color="auto"/>
      </w:divBdr>
    </w:div>
    <w:div w:id="1538741759">
      <w:bodyDiv w:val="1"/>
      <w:marLeft w:val="0"/>
      <w:marRight w:val="0"/>
      <w:marTop w:val="0"/>
      <w:marBottom w:val="0"/>
      <w:divBdr>
        <w:top w:val="none" w:sz="0" w:space="0" w:color="auto"/>
        <w:left w:val="none" w:sz="0" w:space="0" w:color="auto"/>
        <w:bottom w:val="none" w:sz="0" w:space="0" w:color="auto"/>
        <w:right w:val="none" w:sz="0" w:space="0" w:color="auto"/>
      </w:divBdr>
    </w:div>
    <w:div w:id="1547521706">
      <w:bodyDiv w:val="1"/>
      <w:marLeft w:val="0"/>
      <w:marRight w:val="0"/>
      <w:marTop w:val="0"/>
      <w:marBottom w:val="0"/>
      <w:divBdr>
        <w:top w:val="none" w:sz="0" w:space="0" w:color="auto"/>
        <w:left w:val="none" w:sz="0" w:space="0" w:color="auto"/>
        <w:bottom w:val="none" w:sz="0" w:space="0" w:color="auto"/>
        <w:right w:val="none" w:sz="0" w:space="0" w:color="auto"/>
      </w:divBdr>
    </w:div>
    <w:div w:id="1553542118">
      <w:bodyDiv w:val="1"/>
      <w:marLeft w:val="0"/>
      <w:marRight w:val="0"/>
      <w:marTop w:val="0"/>
      <w:marBottom w:val="0"/>
      <w:divBdr>
        <w:top w:val="none" w:sz="0" w:space="0" w:color="auto"/>
        <w:left w:val="none" w:sz="0" w:space="0" w:color="auto"/>
        <w:bottom w:val="none" w:sz="0" w:space="0" w:color="auto"/>
        <w:right w:val="none" w:sz="0" w:space="0" w:color="auto"/>
      </w:divBdr>
    </w:div>
    <w:div w:id="1556241160">
      <w:bodyDiv w:val="1"/>
      <w:marLeft w:val="0"/>
      <w:marRight w:val="0"/>
      <w:marTop w:val="0"/>
      <w:marBottom w:val="0"/>
      <w:divBdr>
        <w:top w:val="none" w:sz="0" w:space="0" w:color="auto"/>
        <w:left w:val="none" w:sz="0" w:space="0" w:color="auto"/>
        <w:bottom w:val="none" w:sz="0" w:space="0" w:color="auto"/>
        <w:right w:val="none" w:sz="0" w:space="0" w:color="auto"/>
      </w:divBdr>
    </w:div>
    <w:div w:id="1568808908">
      <w:bodyDiv w:val="1"/>
      <w:marLeft w:val="0"/>
      <w:marRight w:val="0"/>
      <w:marTop w:val="0"/>
      <w:marBottom w:val="0"/>
      <w:divBdr>
        <w:top w:val="none" w:sz="0" w:space="0" w:color="auto"/>
        <w:left w:val="none" w:sz="0" w:space="0" w:color="auto"/>
        <w:bottom w:val="none" w:sz="0" w:space="0" w:color="auto"/>
        <w:right w:val="none" w:sz="0" w:space="0" w:color="auto"/>
      </w:divBdr>
    </w:div>
    <w:div w:id="1583415912">
      <w:bodyDiv w:val="1"/>
      <w:marLeft w:val="0"/>
      <w:marRight w:val="0"/>
      <w:marTop w:val="0"/>
      <w:marBottom w:val="0"/>
      <w:divBdr>
        <w:top w:val="none" w:sz="0" w:space="0" w:color="auto"/>
        <w:left w:val="none" w:sz="0" w:space="0" w:color="auto"/>
        <w:bottom w:val="none" w:sz="0" w:space="0" w:color="auto"/>
        <w:right w:val="none" w:sz="0" w:space="0" w:color="auto"/>
      </w:divBdr>
    </w:div>
    <w:div w:id="1584603160">
      <w:bodyDiv w:val="1"/>
      <w:marLeft w:val="0"/>
      <w:marRight w:val="0"/>
      <w:marTop w:val="0"/>
      <w:marBottom w:val="0"/>
      <w:divBdr>
        <w:top w:val="none" w:sz="0" w:space="0" w:color="auto"/>
        <w:left w:val="none" w:sz="0" w:space="0" w:color="auto"/>
        <w:bottom w:val="none" w:sz="0" w:space="0" w:color="auto"/>
        <w:right w:val="none" w:sz="0" w:space="0" w:color="auto"/>
      </w:divBdr>
    </w:div>
    <w:div w:id="1588030540">
      <w:bodyDiv w:val="1"/>
      <w:marLeft w:val="0"/>
      <w:marRight w:val="0"/>
      <w:marTop w:val="0"/>
      <w:marBottom w:val="0"/>
      <w:divBdr>
        <w:top w:val="none" w:sz="0" w:space="0" w:color="auto"/>
        <w:left w:val="none" w:sz="0" w:space="0" w:color="auto"/>
        <w:bottom w:val="none" w:sz="0" w:space="0" w:color="auto"/>
        <w:right w:val="none" w:sz="0" w:space="0" w:color="auto"/>
      </w:divBdr>
    </w:div>
    <w:div w:id="1591891499">
      <w:bodyDiv w:val="1"/>
      <w:marLeft w:val="0"/>
      <w:marRight w:val="0"/>
      <w:marTop w:val="0"/>
      <w:marBottom w:val="0"/>
      <w:divBdr>
        <w:top w:val="none" w:sz="0" w:space="0" w:color="auto"/>
        <w:left w:val="none" w:sz="0" w:space="0" w:color="auto"/>
        <w:bottom w:val="none" w:sz="0" w:space="0" w:color="auto"/>
        <w:right w:val="none" w:sz="0" w:space="0" w:color="auto"/>
      </w:divBdr>
    </w:div>
    <w:div w:id="1592734008">
      <w:bodyDiv w:val="1"/>
      <w:marLeft w:val="0"/>
      <w:marRight w:val="0"/>
      <w:marTop w:val="0"/>
      <w:marBottom w:val="0"/>
      <w:divBdr>
        <w:top w:val="none" w:sz="0" w:space="0" w:color="auto"/>
        <w:left w:val="none" w:sz="0" w:space="0" w:color="auto"/>
        <w:bottom w:val="none" w:sz="0" w:space="0" w:color="auto"/>
        <w:right w:val="none" w:sz="0" w:space="0" w:color="auto"/>
      </w:divBdr>
    </w:div>
    <w:div w:id="1594776158">
      <w:bodyDiv w:val="1"/>
      <w:marLeft w:val="0"/>
      <w:marRight w:val="0"/>
      <w:marTop w:val="0"/>
      <w:marBottom w:val="0"/>
      <w:divBdr>
        <w:top w:val="none" w:sz="0" w:space="0" w:color="auto"/>
        <w:left w:val="none" w:sz="0" w:space="0" w:color="auto"/>
        <w:bottom w:val="none" w:sz="0" w:space="0" w:color="auto"/>
        <w:right w:val="none" w:sz="0" w:space="0" w:color="auto"/>
      </w:divBdr>
    </w:div>
    <w:div w:id="1600672528">
      <w:bodyDiv w:val="1"/>
      <w:marLeft w:val="0"/>
      <w:marRight w:val="0"/>
      <w:marTop w:val="0"/>
      <w:marBottom w:val="0"/>
      <w:divBdr>
        <w:top w:val="none" w:sz="0" w:space="0" w:color="auto"/>
        <w:left w:val="none" w:sz="0" w:space="0" w:color="auto"/>
        <w:bottom w:val="none" w:sz="0" w:space="0" w:color="auto"/>
        <w:right w:val="none" w:sz="0" w:space="0" w:color="auto"/>
      </w:divBdr>
    </w:div>
    <w:div w:id="1630894719">
      <w:bodyDiv w:val="1"/>
      <w:marLeft w:val="0"/>
      <w:marRight w:val="0"/>
      <w:marTop w:val="0"/>
      <w:marBottom w:val="0"/>
      <w:divBdr>
        <w:top w:val="none" w:sz="0" w:space="0" w:color="auto"/>
        <w:left w:val="none" w:sz="0" w:space="0" w:color="auto"/>
        <w:bottom w:val="none" w:sz="0" w:space="0" w:color="auto"/>
        <w:right w:val="none" w:sz="0" w:space="0" w:color="auto"/>
      </w:divBdr>
    </w:div>
    <w:div w:id="1645505223">
      <w:bodyDiv w:val="1"/>
      <w:marLeft w:val="0"/>
      <w:marRight w:val="0"/>
      <w:marTop w:val="0"/>
      <w:marBottom w:val="0"/>
      <w:divBdr>
        <w:top w:val="none" w:sz="0" w:space="0" w:color="auto"/>
        <w:left w:val="none" w:sz="0" w:space="0" w:color="auto"/>
        <w:bottom w:val="none" w:sz="0" w:space="0" w:color="auto"/>
        <w:right w:val="none" w:sz="0" w:space="0" w:color="auto"/>
      </w:divBdr>
    </w:div>
    <w:div w:id="1649435942">
      <w:bodyDiv w:val="1"/>
      <w:marLeft w:val="0"/>
      <w:marRight w:val="0"/>
      <w:marTop w:val="0"/>
      <w:marBottom w:val="0"/>
      <w:divBdr>
        <w:top w:val="none" w:sz="0" w:space="0" w:color="auto"/>
        <w:left w:val="none" w:sz="0" w:space="0" w:color="auto"/>
        <w:bottom w:val="none" w:sz="0" w:space="0" w:color="auto"/>
        <w:right w:val="none" w:sz="0" w:space="0" w:color="auto"/>
      </w:divBdr>
    </w:div>
    <w:div w:id="1704749024">
      <w:bodyDiv w:val="1"/>
      <w:marLeft w:val="0"/>
      <w:marRight w:val="0"/>
      <w:marTop w:val="0"/>
      <w:marBottom w:val="0"/>
      <w:divBdr>
        <w:top w:val="none" w:sz="0" w:space="0" w:color="auto"/>
        <w:left w:val="none" w:sz="0" w:space="0" w:color="auto"/>
        <w:bottom w:val="none" w:sz="0" w:space="0" w:color="auto"/>
        <w:right w:val="none" w:sz="0" w:space="0" w:color="auto"/>
      </w:divBdr>
    </w:div>
    <w:div w:id="1708752188">
      <w:bodyDiv w:val="1"/>
      <w:marLeft w:val="0"/>
      <w:marRight w:val="0"/>
      <w:marTop w:val="0"/>
      <w:marBottom w:val="0"/>
      <w:divBdr>
        <w:top w:val="none" w:sz="0" w:space="0" w:color="auto"/>
        <w:left w:val="none" w:sz="0" w:space="0" w:color="auto"/>
        <w:bottom w:val="none" w:sz="0" w:space="0" w:color="auto"/>
        <w:right w:val="none" w:sz="0" w:space="0" w:color="auto"/>
      </w:divBdr>
    </w:div>
    <w:div w:id="1721782831">
      <w:bodyDiv w:val="1"/>
      <w:marLeft w:val="0"/>
      <w:marRight w:val="0"/>
      <w:marTop w:val="0"/>
      <w:marBottom w:val="0"/>
      <w:divBdr>
        <w:top w:val="none" w:sz="0" w:space="0" w:color="auto"/>
        <w:left w:val="none" w:sz="0" w:space="0" w:color="auto"/>
        <w:bottom w:val="none" w:sz="0" w:space="0" w:color="auto"/>
        <w:right w:val="none" w:sz="0" w:space="0" w:color="auto"/>
      </w:divBdr>
    </w:div>
    <w:div w:id="1729450436">
      <w:bodyDiv w:val="1"/>
      <w:marLeft w:val="0"/>
      <w:marRight w:val="0"/>
      <w:marTop w:val="0"/>
      <w:marBottom w:val="0"/>
      <w:divBdr>
        <w:top w:val="none" w:sz="0" w:space="0" w:color="auto"/>
        <w:left w:val="none" w:sz="0" w:space="0" w:color="auto"/>
        <w:bottom w:val="none" w:sz="0" w:space="0" w:color="auto"/>
        <w:right w:val="none" w:sz="0" w:space="0" w:color="auto"/>
      </w:divBdr>
    </w:div>
    <w:div w:id="1732381654">
      <w:bodyDiv w:val="1"/>
      <w:marLeft w:val="0"/>
      <w:marRight w:val="0"/>
      <w:marTop w:val="0"/>
      <w:marBottom w:val="0"/>
      <w:divBdr>
        <w:top w:val="none" w:sz="0" w:space="0" w:color="auto"/>
        <w:left w:val="none" w:sz="0" w:space="0" w:color="auto"/>
        <w:bottom w:val="none" w:sz="0" w:space="0" w:color="auto"/>
        <w:right w:val="none" w:sz="0" w:space="0" w:color="auto"/>
      </w:divBdr>
    </w:div>
    <w:div w:id="1738550220">
      <w:bodyDiv w:val="1"/>
      <w:marLeft w:val="0"/>
      <w:marRight w:val="0"/>
      <w:marTop w:val="0"/>
      <w:marBottom w:val="0"/>
      <w:divBdr>
        <w:top w:val="none" w:sz="0" w:space="0" w:color="auto"/>
        <w:left w:val="none" w:sz="0" w:space="0" w:color="auto"/>
        <w:bottom w:val="none" w:sz="0" w:space="0" w:color="auto"/>
        <w:right w:val="none" w:sz="0" w:space="0" w:color="auto"/>
      </w:divBdr>
    </w:div>
    <w:div w:id="1742018433">
      <w:bodyDiv w:val="1"/>
      <w:marLeft w:val="0"/>
      <w:marRight w:val="0"/>
      <w:marTop w:val="0"/>
      <w:marBottom w:val="0"/>
      <w:divBdr>
        <w:top w:val="none" w:sz="0" w:space="0" w:color="auto"/>
        <w:left w:val="none" w:sz="0" w:space="0" w:color="auto"/>
        <w:bottom w:val="none" w:sz="0" w:space="0" w:color="auto"/>
        <w:right w:val="none" w:sz="0" w:space="0" w:color="auto"/>
      </w:divBdr>
    </w:div>
    <w:div w:id="1744913521">
      <w:bodyDiv w:val="1"/>
      <w:marLeft w:val="0"/>
      <w:marRight w:val="0"/>
      <w:marTop w:val="0"/>
      <w:marBottom w:val="0"/>
      <w:divBdr>
        <w:top w:val="none" w:sz="0" w:space="0" w:color="auto"/>
        <w:left w:val="none" w:sz="0" w:space="0" w:color="auto"/>
        <w:bottom w:val="none" w:sz="0" w:space="0" w:color="auto"/>
        <w:right w:val="none" w:sz="0" w:space="0" w:color="auto"/>
      </w:divBdr>
    </w:div>
    <w:div w:id="1752847012">
      <w:bodyDiv w:val="1"/>
      <w:marLeft w:val="0"/>
      <w:marRight w:val="0"/>
      <w:marTop w:val="0"/>
      <w:marBottom w:val="0"/>
      <w:divBdr>
        <w:top w:val="none" w:sz="0" w:space="0" w:color="auto"/>
        <w:left w:val="none" w:sz="0" w:space="0" w:color="auto"/>
        <w:bottom w:val="none" w:sz="0" w:space="0" w:color="auto"/>
        <w:right w:val="none" w:sz="0" w:space="0" w:color="auto"/>
      </w:divBdr>
    </w:div>
    <w:div w:id="1756898835">
      <w:bodyDiv w:val="1"/>
      <w:marLeft w:val="0"/>
      <w:marRight w:val="0"/>
      <w:marTop w:val="0"/>
      <w:marBottom w:val="0"/>
      <w:divBdr>
        <w:top w:val="none" w:sz="0" w:space="0" w:color="auto"/>
        <w:left w:val="none" w:sz="0" w:space="0" w:color="auto"/>
        <w:bottom w:val="none" w:sz="0" w:space="0" w:color="auto"/>
        <w:right w:val="none" w:sz="0" w:space="0" w:color="auto"/>
      </w:divBdr>
    </w:div>
    <w:div w:id="1759448825">
      <w:bodyDiv w:val="1"/>
      <w:marLeft w:val="0"/>
      <w:marRight w:val="0"/>
      <w:marTop w:val="0"/>
      <w:marBottom w:val="0"/>
      <w:divBdr>
        <w:top w:val="none" w:sz="0" w:space="0" w:color="auto"/>
        <w:left w:val="none" w:sz="0" w:space="0" w:color="auto"/>
        <w:bottom w:val="none" w:sz="0" w:space="0" w:color="auto"/>
        <w:right w:val="none" w:sz="0" w:space="0" w:color="auto"/>
      </w:divBdr>
    </w:div>
    <w:div w:id="1764256814">
      <w:bodyDiv w:val="1"/>
      <w:marLeft w:val="0"/>
      <w:marRight w:val="0"/>
      <w:marTop w:val="0"/>
      <w:marBottom w:val="0"/>
      <w:divBdr>
        <w:top w:val="none" w:sz="0" w:space="0" w:color="auto"/>
        <w:left w:val="none" w:sz="0" w:space="0" w:color="auto"/>
        <w:bottom w:val="none" w:sz="0" w:space="0" w:color="auto"/>
        <w:right w:val="none" w:sz="0" w:space="0" w:color="auto"/>
      </w:divBdr>
    </w:div>
    <w:div w:id="1777486102">
      <w:bodyDiv w:val="1"/>
      <w:marLeft w:val="0"/>
      <w:marRight w:val="0"/>
      <w:marTop w:val="0"/>
      <w:marBottom w:val="0"/>
      <w:divBdr>
        <w:top w:val="none" w:sz="0" w:space="0" w:color="auto"/>
        <w:left w:val="none" w:sz="0" w:space="0" w:color="auto"/>
        <w:bottom w:val="none" w:sz="0" w:space="0" w:color="auto"/>
        <w:right w:val="none" w:sz="0" w:space="0" w:color="auto"/>
      </w:divBdr>
    </w:div>
    <w:div w:id="1808473786">
      <w:bodyDiv w:val="1"/>
      <w:marLeft w:val="0"/>
      <w:marRight w:val="0"/>
      <w:marTop w:val="0"/>
      <w:marBottom w:val="0"/>
      <w:divBdr>
        <w:top w:val="none" w:sz="0" w:space="0" w:color="auto"/>
        <w:left w:val="none" w:sz="0" w:space="0" w:color="auto"/>
        <w:bottom w:val="none" w:sz="0" w:space="0" w:color="auto"/>
        <w:right w:val="none" w:sz="0" w:space="0" w:color="auto"/>
      </w:divBdr>
    </w:div>
    <w:div w:id="1813672933">
      <w:bodyDiv w:val="1"/>
      <w:marLeft w:val="0"/>
      <w:marRight w:val="0"/>
      <w:marTop w:val="0"/>
      <w:marBottom w:val="0"/>
      <w:divBdr>
        <w:top w:val="none" w:sz="0" w:space="0" w:color="auto"/>
        <w:left w:val="none" w:sz="0" w:space="0" w:color="auto"/>
        <w:bottom w:val="none" w:sz="0" w:space="0" w:color="auto"/>
        <w:right w:val="none" w:sz="0" w:space="0" w:color="auto"/>
      </w:divBdr>
    </w:div>
    <w:div w:id="1832865708">
      <w:bodyDiv w:val="1"/>
      <w:marLeft w:val="0"/>
      <w:marRight w:val="0"/>
      <w:marTop w:val="0"/>
      <w:marBottom w:val="0"/>
      <w:divBdr>
        <w:top w:val="none" w:sz="0" w:space="0" w:color="auto"/>
        <w:left w:val="none" w:sz="0" w:space="0" w:color="auto"/>
        <w:bottom w:val="none" w:sz="0" w:space="0" w:color="auto"/>
        <w:right w:val="none" w:sz="0" w:space="0" w:color="auto"/>
      </w:divBdr>
    </w:div>
    <w:div w:id="1842811842">
      <w:bodyDiv w:val="1"/>
      <w:marLeft w:val="0"/>
      <w:marRight w:val="0"/>
      <w:marTop w:val="0"/>
      <w:marBottom w:val="0"/>
      <w:divBdr>
        <w:top w:val="none" w:sz="0" w:space="0" w:color="auto"/>
        <w:left w:val="none" w:sz="0" w:space="0" w:color="auto"/>
        <w:bottom w:val="none" w:sz="0" w:space="0" w:color="auto"/>
        <w:right w:val="none" w:sz="0" w:space="0" w:color="auto"/>
      </w:divBdr>
    </w:div>
    <w:div w:id="1849103256">
      <w:bodyDiv w:val="1"/>
      <w:marLeft w:val="0"/>
      <w:marRight w:val="0"/>
      <w:marTop w:val="0"/>
      <w:marBottom w:val="0"/>
      <w:divBdr>
        <w:top w:val="none" w:sz="0" w:space="0" w:color="auto"/>
        <w:left w:val="none" w:sz="0" w:space="0" w:color="auto"/>
        <w:bottom w:val="none" w:sz="0" w:space="0" w:color="auto"/>
        <w:right w:val="none" w:sz="0" w:space="0" w:color="auto"/>
      </w:divBdr>
    </w:div>
    <w:div w:id="1858616360">
      <w:bodyDiv w:val="1"/>
      <w:marLeft w:val="0"/>
      <w:marRight w:val="0"/>
      <w:marTop w:val="0"/>
      <w:marBottom w:val="0"/>
      <w:divBdr>
        <w:top w:val="none" w:sz="0" w:space="0" w:color="auto"/>
        <w:left w:val="none" w:sz="0" w:space="0" w:color="auto"/>
        <w:bottom w:val="none" w:sz="0" w:space="0" w:color="auto"/>
        <w:right w:val="none" w:sz="0" w:space="0" w:color="auto"/>
      </w:divBdr>
    </w:div>
    <w:div w:id="1859735546">
      <w:bodyDiv w:val="1"/>
      <w:marLeft w:val="0"/>
      <w:marRight w:val="0"/>
      <w:marTop w:val="0"/>
      <w:marBottom w:val="0"/>
      <w:divBdr>
        <w:top w:val="none" w:sz="0" w:space="0" w:color="auto"/>
        <w:left w:val="none" w:sz="0" w:space="0" w:color="auto"/>
        <w:bottom w:val="none" w:sz="0" w:space="0" w:color="auto"/>
        <w:right w:val="none" w:sz="0" w:space="0" w:color="auto"/>
      </w:divBdr>
    </w:div>
    <w:div w:id="1865634965">
      <w:bodyDiv w:val="1"/>
      <w:marLeft w:val="0"/>
      <w:marRight w:val="0"/>
      <w:marTop w:val="0"/>
      <w:marBottom w:val="0"/>
      <w:divBdr>
        <w:top w:val="none" w:sz="0" w:space="0" w:color="auto"/>
        <w:left w:val="none" w:sz="0" w:space="0" w:color="auto"/>
        <w:bottom w:val="none" w:sz="0" w:space="0" w:color="auto"/>
        <w:right w:val="none" w:sz="0" w:space="0" w:color="auto"/>
      </w:divBdr>
    </w:div>
    <w:div w:id="1888487811">
      <w:bodyDiv w:val="1"/>
      <w:marLeft w:val="0"/>
      <w:marRight w:val="0"/>
      <w:marTop w:val="0"/>
      <w:marBottom w:val="0"/>
      <w:divBdr>
        <w:top w:val="none" w:sz="0" w:space="0" w:color="auto"/>
        <w:left w:val="none" w:sz="0" w:space="0" w:color="auto"/>
        <w:bottom w:val="none" w:sz="0" w:space="0" w:color="auto"/>
        <w:right w:val="none" w:sz="0" w:space="0" w:color="auto"/>
      </w:divBdr>
    </w:div>
    <w:div w:id="1894854736">
      <w:bodyDiv w:val="1"/>
      <w:marLeft w:val="0"/>
      <w:marRight w:val="0"/>
      <w:marTop w:val="0"/>
      <w:marBottom w:val="0"/>
      <w:divBdr>
        <w:top w:val="none" w:sz="0" w:space="0" w:color="auto"/>
        <w:left w:val="none" w:sz="0" w:space="0" w:color="auto"/>
        <w:bottom w:val="none" w:sz="0" w:space="0" w:color="auto"/>
        <w:right w:val="none" w:sz="0" w:space="0" w:color="auto"/>
      </w:divBdr>
    </w:div>
    <w:div w:id="1895893245">
      <w:bodyDiv w:val="1"/>
      <w:marLeft w:val="0"/>
      <w:marRight w:val="0"/>
      <w:marTop w:val="0"/>
      <w:marBottom w:val="0"/>
      <w:divBdr>
        <w:top w:val="none" w:sz="0" w:space="0" w:color="auto"/>
        <w:left w:val="none" w:sz="0" w:space="0" w:color="auto"/>
        <w:bottom w:val="none" w:sz="0" w:space="0" w:color="auto"/>
        <w:right w:val="none" w:sz="0" w:space="0" w:color="auto"/>
      </w:divBdr>
    </w:div>
    <w:div w:id="1907373898">
      <w:bodyDiv w:val="1"/>
      <w:marLeft w:val="0"/>
      <w:marRight w:val="0"/>
      <w:marTop w:val="0"/>
      <w:marBottom w:val="0"/>
      <w:divBdr>
        <w:top w:val="none" w:sz="0" w:space="0" w:color="auto"/>
        <w:left w:val="none" w:sz="0" w:space="0" w:color="auto"/>
        <w:bottom w:val="none" w:sz="0" w:space="0" w:color="auto"/>
        <w:right w:val="none" w:sz="0" w:space="0" w:color="auto"/>
      </w:divBdr>
    </w:div>
    <w:div w:id="1909995184">
      <w:bodyDiv w:val="1"/>
      <w:marLeft w:val="0"/>
      <w:marRight w:val="0"/>
      <w:marTop w:val="0"/>
      <w:marBottom w:val="0"/>
      <w:divBdr>
        <w:top w:val="none" w:sz="0" w:space="0" w:color="auto"/>
        <w:left w:val="none" w:sz="0" w:space="0" w:color="auto"/>
        <w:bottom w:val="none" w:sz="0" w:space="0" w:color="auto"/>
        <w:right w:val="none" w:sz="0" w:space="0" w:color="auto"/>
      </w:divBdr>
    </w:div>
    <w:div w:id="1916939363">
      <w:bodyDiv w:val="1"/>
      <w:marLeft w:val="0"/>
      <w:marRight w:val="0"/>
      <w:marTop w:val="0"/>
      <w:marBottom w:val="0"/>
      <w:divBdr>
        <w:top w:val="none" w:sz="0" w:space="0" w:color="auto"/>
        <w:left w:val="none" w:sz="0" w:space="0" w:color="auto"/>
        <w:bottom w:val="none" w:sz="0" w:space="0" w:color="auto"/>
        <w:right w:val="none" w:sz="0" w:space="0" w:color="auto"/>
      </w:divBdr>
    </w:div>
    <w:div w:id="1943222719">
      <w:bodyDiv w:val="1"/>
      <w:marLeft w:val="0"/>
      <w:marRight w:val="0"/>
      <w:marTop w:val="0"/>
      <w:marBottom w:val="0"/>
      <w:divBdr>
        <w:top w:val="none" w:sz="0" w:space="0" w:color="auto"/>
        <w:left w:val="none" w:sz="0" w:space="0" w:color="auto"/>
        <w:bottom w:val="none" w:sz="0" w:space="0" w:color="auto"/>
        <w:right w:val="none" w:sz="0" w:space="0" w:color="auto"/>
      </w:divBdr>
    </w:div>
    <w:div w:id="1947422642">
      <w:bodyDiv w:val="1"/>
      <w:marLeft w:val="0"/>
      <w:marRight w:val="0"/>
      <w:marTop w:val="0"/>
      <w:marBottom w:val="0"/>
      <w:divBdr>
        <w:top w:val="none" w:sz="0" w:space="0" w:color="auto"/>
        <w:left w:val="none" w:sz="0" w:space="0" w:color="auto"/>
        <w:bottom w:val="none" w:sz="0" w:space="0" w:color="auto"/>
        <w:right w:val="none" w:sz="0" w:space="0" w:color="auto"/>
      </w:divBdr>
    </w:div>
    <w:div w:id="1955090078">
      <w:bodyDiv w:val="1"/>
      <w:marLeft w:val="0"/>
      <w:marRight w:val="0"/>
      <w:marTop w:val="0"/>
      <w:marBottom w:val="0"/>
      <w:divBdr>
        <w:top w:val="none" w:sz="0" w:space="0" w:color="auto"/>
        <w:left w:val="none" w:sz="0" w:space="0" w:color="auto"/>
        <w:bottom w:val="none" w:sz="0" w:space="0" w:color="auto"/>
        <w:right w:val="none" w:sz="0" w:space="0" w:color="auto"/>
      </w:divBdr>
    </w:div>
    <w:div w:id="1966307658">
      <w:bodyDiv w:val="1"/>
      <w:marLeft w:val="0"/>
      <w:marRight w:val="0"/>
      <w:marTop w:val="0"/>
      <w:marBottom w:val="0"/>
      <w:divBdr>
        <w:top w:val="none" w:sz="0" w:space="0" w:color="auto"/>
        <w:left w:val="none" w:sz="0" w:space="0" w:color="auto"/>
        <w:bottom w:val="none" w:sz="0" w:space="0" w:color="auto"/>
        <w:right w:val="none" w:sz="0" w:space="0" w:color="auto"/>
      </w:divBdr>
    </w:div>
    <w:div w:id="1967004972">
      <w:bodyDiv w:val="1"/>
      <w:marLeft w:val="0"/>
      <w:marRight w:val="0"/>
      <w:marTop w:val="0"/>
      <w:marBottom w:val="0"/>
      <w:divBdr>
        <w:top w:val="none" w:sz="0" w:space="0" w:color="auto"/>
        <w:left w:val="none" w:sz="0" w:space="0" w:color="auto"/>
        <w:bottom w:val="none" w:sz="0" w:space="0" w:color="auto"/>
        <w:right w:val="none" w:sz="0" w:space="0" w:color="auto"/>
      </w:divBdr>
    </w:div>
    <w:div w:id="1969898860">
      <w:bodyDiv w:val="1"/>
      <w:marLeft w:val="0"/>
      <w:marRight w:val="0"/>
      <w:marTop w:val="0"/>
      <w:marBottom w:val="0"/>
      <w:divBdr>
        <w:top w:val="none" w:sz="0" w:space="0" w:color="auto"/>
        <w:left w:val="none" w:sz="0" w:space="0" w:color="auto"/>
        <w:bottom w:val="none" w:sz="0" w:space="0" w:color="auto"/>
        <w:right w:val="none" w:sz="0" w:space="0" w:color="auto"/>
      </w:divBdr>
    </w:div>
    <w:div w:id="1972898474">
      <w:bodyDiv w:val="1"/>
      <w:marLeft w:val="0"/>
      <w:marRight w:val="0"/>
      <w:marTop w:val="0"/>
      <w:marBottom w:val="0"/>
      <w:divBdr>
        <w:top w:val="none" w:sz="0" w:space="0" w:color="auto"/>
        <w:left w:val="none" w:sz="0" w:space="0" w:color="auto"/>
        <w:bottom w:val="none" w:sz="0" w:space="0" w:color="auto"/>
        <w:right w:val="none" w:sz="0" w:space="0" w:color="auto"/>
      </w:divBdr>
    </w:div>
    <w:div w:id="1989363733">
      <w:bodyDiv w:val="1"/>
      <w:marLeft w:val="0"/>
      <w:marRight w:val="0"/>
      <w:marTop w:val="0"/>
      <w:marBottom w:val="0"/>
      <w:divBdr>
        <w:top w:val="none" w:sz="0" w:space="0" w:color="auto"/>
        <w:left w:val="none" w:sz="0" w:space="0" w:color="auto"/>
        <w:bottom w:val="none" w:sz="0" w:space="0" w:color="auto"/>
        <w:right w:val="none" w:sz="0" w:space="0" w:color="auto"/>
      </w:divBdr>
    </w:div>
    <w:div w:id="2003121573">
      <w:bodyDiv w:val="1"/>
      <w:marLeft w:val="0"/>
      <w:marRight w:val="0"/>
      <w:marTop w:val="0"/>
      <w:marBottom w:val="0"/>
      <w:divBdr>
        <w:top w:val="none" w:sz="0" w:space="0" w:color="auto"/>
        <w:left w:val="none" w:sz="0" w:space="0" w:color="auto"/>
        <w:bottom w:val="none" w:sz="0" w:space="0" w:color="auto"/>
        <w:right w:val="none" w:sz="0" w:space="0" w:color="auto"/>
      </w:divBdr>
    </w:div>
    <w:div w:id="2005468916">
      <w:bodyDiv w:val="1"/>
      <w:marLeft w:val="0"/>
      <w:marRight w:val="0"/>
      <w:marTop w:val="0"/>
      <w:marBottom w:val="0"/>
      <w:divBdr>
        <w:top w:val="none" w:sz="0" w:space="0" w:color="auto"/>
        <w:left w:val="none" w:sz="0" w:space="0" w:color="auto"/>
        <w:bottom w:val="none" w:sz="0" w:space="0" w:color="auto"/>
        <w:right w:val="none" w:sz="0" w:space="0" w:color="auto"/>
      </w:divBdr>
    </w:div>
    <w:div w:id="2029404029">
      <w:bodyDiv w:val="1"/>
      <w:marLeft w:val="0"/>
      <w:marRight w:val="0"/>
      <w:marTop w:val="0"/>
      <w:marBottom w:val="0"/>
      <w:divBdr>
        <w:top w:val="none" w:sz="0" w:space="0" w:color="auto"/>
        <w:left w:val="none" w:sz="0" w:space="0" w:color="auto"/>
        <w:bottom w:val="none" w:sz="0" w:space="0" w:color="auto"/>
        <w:right w:val="none" w:sz="0" w:space="0" w:color="auto"/>
      </w:divBdr>
    </w:div>
    <w:div w:id="2046708596">
      <w:bodyDiv w:val="1"/>
      <w:marLeft w:val="0"/>
      <w:marRight w:val="0"/>
      <w:marTop w:val="0"/>
      <w:marBottom w:val="0"/>
      <w:divBdr>
        <w:top w:val="none" w:sz="0" w:space="0" w:color="auto"/>
        <w:left w:val="none" w:sz="0" w:space="0" w:color="auto"/>
        <w:bottom w:val="none" w:sz="0" w:space="0" w:color="auto"/>
        <w:right w:val="none" w:sz="0" w:space="0" w:color="auto"/>
      </w:divBdr>
    </w:div>
    <w:div w:id="2046983954">
      <w:bodyDiv w:val="1"/>
      <w:marLeft w:val="0"/>
      <w:marRight w:val="0"/>
      <w:marTop w:val="0"/>
      <w:marBottom w:val="0"/>
      <w:divBdr>
        <w:top w:val="none" w:sz="0" w:space="0" w:color="auto"/>
        <w:left w:val="none" w:sz="0" w:space="0" w:color="auto"/>
        <w:bottom w:val="none" w:sz="0" w:space="0" w:color="auto"/>
        <w:right w:val="none" w:sz="0" w:space="0" w:color="auto"/>
      </w:divBdr>
    </w:div>
    <w:div w:id="2054187131">
      <w:bodyDiv w:val="1"/>
      <w:marLeft w:val="0"/>
      <w:marRight w:val="0"/>
      <w:marTop w:val="0"/>
      <w:marBottom w:val="0"/>
      <w:divBdr>
        <w:top w:val="none" w:sz="0" w:space="0" w:color="auto"/>
        <w:left w:val="none" w:sz="0" w:space="0" w:color="auto"/>
        <w:bottom w:val="none" w:sz="0" w:space="0" w:color="auto"/>
        <w:right w:val="none" w:sz="0" w:space="0" w:color="auto"/>
      </w:divBdr>
    </w:div>
    <w:div w:id="2065447774">
      <w:bodyDiv w:val="1"/>
      <w:marLeft w:val="0"/>
      <w:marRight w:val="0"/>
      <w:marTop w:val="0"/>
      <w:marBottom w:val="0"/>
      <w:divBdr>
        <w:top w:val="none" w:sz="0" w:space="0" w:color="auto"/>
        <w:left w:val="none" w:sz="0" w:space="0" w:color="auto"/>
        <w:bottom w:val="none" w:sz="0" w:space="0" w:color="auto"/>
        <w:right w:val="none" w:sz="0" w:space="0" w:color="auto"/>
      </w:divBdr>
    </w:div>
    <w:div w:id="2084523054">
      <w:bodyDiv w:val="1"/>
      <w:marLeft w:val="0"/>
      <w:marRight w:val="0"/>
      <w:marTop w:val="0"/>
      <w:marBottom w:val="0"/>
      <w:divBdr>
        <w:top w:val="none" w:sz="0" w:space="0" w:color="auto"/>
        <w:left w:val="none" w:sz="0" w:space="0" w:color="auto"/>
        <w:bottom w:val="none" w:sz="0" w:space="0" w:color="auto"/>
        <w:right w:val="none" w:sz="0" w:space="0" w:color="auto"/>
      </w:divBdr>
    </w:div>
    <w:div w:id="2087990406">
      <w:bodyDiv w:val="1"/>
      <w:marLeft w:val="0"/>
      <w:marRight w:val="0"/>
      <w:marTop w:val="0"/>
      <w:marBottom w:val="0"/>
      <w:divBdr>
        <w:top w:val="none" w:sz="0" w:space="0" w:color="auto"/>
        <w:left w:val="none" w:sz="0" w:space="0" w:color="auto"/>
        <w:bottom w:val="none" w:sz="0" w:space="0" w:color="auto"/>
        <w:right w:val="none" w:sz="0" w:space="0" w:color="auto"/>
      </w:divBdr>
    </w:div>
    <w:div w:id="2095281355">
      <w:bodyDiv w:val="1"/>
      <w:marLeft w:val="0"/>
      <w:marRight w:val="0"/>
      <w:marTop w:val="0"/>
      <w:marBottom w:val="0"/>
      <w:divBdr>
        <w:top w:val="none" w:sz="0" w:space="0" w:color="auto"/>
        <w:left w:val="none" w:sz="0" w:space="0" w:color="auto"/>
        <w:bottom w:val="none" w:sz="0" w:space="0" w:color="auto"/>
        <w:right w:val="none" w:sz="0" w:space="0" w:color="auto"/>
      </w:divBdr>
    </w:div>
    <w:div w:id="2100254741">
      <w:bodyDiv w:val="1"/>
      <w:marLeft w:val="0"/>
      <w:marRight w:val="0"/>
      <w:marTop w:val="0"/>
      <w:marBottom w:val="0"/>
      <w:divBdr>
        <w:top w:val="none" w:sz="0" w:space="0" w:color="auto"/>
        <w:left w:val="none" w:sz="0" w:space="0" w:color="auto"/>
        <w:bottom w:val="none" w:sz="0" w:space="0" w:color="auto"/>
        <w:right w:val="none" w:sz="0" w:space="0" w:color="auto"/>
      </w:divBdr>
    </w:div>
    <w:div w:id="2101559839">
      <w:bodyDiv w:val="1"/>
      <w:marLeft w:val="0"/>
      <w:marRight w:val="0"/>
      <w:marTop w:val="0"/>
      <w:marBottom w:val="0"/>
      <w:divBdr>
        <w:top w:val="none" w:sz="0" w:space="0" w:color="auto"/>
        <w:left w:val="none" w:sz="0" w:space="0" w:color="auto"/>
        <w:bottom w:val="none" w:sz="0" w:space="0" w:color="auto"/>
        <w:right w:val="none" w:sz="0" w:space="0" w:color="auto"/>
      </w:divBdr>
    </w:div>
    <w:div w:id="2104832588">
      <w:bodyDiv w:val="1"/>
      <w:marLeft w:val="0"/>
      <w:marRight w:val="0"/>
      <w:marTop w:val="0"/>
      <w:marBottom w:val="0"/>
      <w:divBdr>
        <w:top w:val="none" w:sz="0" w:space="0" w:color="auto"/>
        <w:left w:val="none" w:sz="0" w:space="0" w:color="auto"/>
        <w:bottom w:val="none" w:sz="0" w:space="0" w:color="auto"/>
        <w:right w:val="none" w:sz="0" w:space="0" w:color="auto"/>
      </w:divBdr>
    </w:div>
    <w:div w:id="2113241083">
      <w:bodyDiv w:val="1"/>
      <w:marLeft w:val="0"/>
      <w:marRight w:val="0"/>
      <w:marTop w:val="0"/>
      <w:marBottom w:val="0"/>
      <w:divBdr>
        <w:top w:val="none" w:sz="0" w:space="0" w:color="auto"/>
        <w:left w:val="none" w:sz="0" w:space="0" w:color="auto"/>
        <w:bottom w:val="none" w:sz="0" w:space="0" w:color="auto"/>
        <w:right w:val="none" w:sz="0" w:space="0" w:color="auto"/>
      </w:divBdr>
    </w:div>
    <w:div w:id="2116750557">
      <w:bodyDiv w:val="1"/>
      <w:marLeft w:val="0"/>
      <w:marRight w:val="0"/>
      <w:marTop w:val="0"/>
      <w:marBottom w:val="0"/>
      <w:divBdr>
        <w:top w:val="none" w:sz="0" w:space="0" w:color="auto"/>
        <w:left w:val="none" w:sz="0" w:space="0" w:color="auto"/>
        <w:bottom w:val="none" w:sz="0" w:space="0" w:color="auto"/>
        <w:right w:val="none" w:sz="0" w:space="0" w:color="auto"/>
      </w:divBdr>
    </w:div>
    <w:div w:id="213400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justice.cz/"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hyperlink" Target="http://www.cnb.cz/cnb/STAT.ARADY_PKG.PARAMETRY_SESTAVY?p_sestuid=450&amp;p_strid=EBA&amp;p_lang=C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nb.cz/cnb/STAT.ARADY_PKG.PARAMETRY_SESTAVY?p_sestuid=450&amp;p_strid=EBA&amp;p_lang=CS" TargetMode="External"/><Relationship Id="rId2" Type="http://schemas.openxmlformats.org/officeDocument/2006/relationships/hyperlink" Target="http://www.justice.cz/" TargetMode="External"/><Relationship Id="rId1" Type="http://schemas.openxmlformats.org/officeDocument/2006/relationships/hyperlink" Target="http://www.justice.cz/"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List_aplikac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List_aplikac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List_aplikac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List_aplikac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List_aplikac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List_aplikac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List_aplikac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List_aplikac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List_aplikace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List_aplikace_Microsoft_Office_Excel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tx>
            <c:strRef>
              <c:f>List1!$B$1</c:f>
              <c:strCache>
                <c:ptCount val="1"/>
                <c:pt idx="0">
                  <c:v>DM</c:v>
                </c:pt>
              </c:strCache>
            </c:strRef>
          </c:tx>
          <c:spPr>
            <a:ln>
              <a:solidFill>
                <a:srgbClr val="92D050"/>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15631</c:v>
                </c:pt>
                <c:pt idx="1">
                  <c:v>15294</c:v>
                </c:pt>
                <c:pt idx="2">
                  <c:v>16205</c:v>
                </c:pt>
                <c:pt idx="3">
                  <c:v>4815</c:v>
                </c:pt>
                <c:pt idx="4">
                  <c:v>13247</c:v>
                </c:pt>
                <c:pt idx="5">
                  <c:v>9657</c:v>
                </c:pt>
                <c:pt idx="6">
                  <c:v>9169</c:v>
                </c:pt>
                <c:pt idx="7">
                  <c:v>15102</c:v>
                </c:pt>
              </c:numCache>
            </c:numRef>
          </c:val>
        </c:ser>
        <c:ser>
          <c:idx val="1"/>
          <c:order val="1"/>
          <c:tx>
            <c:strRef>
              <c:f>List1!$C$1</c:f>
              <c:strCache>
                <c:ptCount val="1"/>
                <c:pt idx="0">
                  <c:v>OA</c:v>
                </c:pt>
              </c:strCache>
            </c:strRef>
          </c:tx>
          <c:spPr>
            <a:ln>
              <a:solidFill>
                <a:srgbClr val="8EB4E3"/>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52605</c:v>
                </c:pt>
                <c:pt idx="1">
                  <c:v>61365</c:v>
                </c:pt>
                <c:pt idx="2">
                  <c:v>50719</c:v>
                </c:pt>
                <c:pt idx="3">
                  <c:v>65207</c:v>
                </c:pt>
                <c:pt idx="4">
                  <c:v>90961</c:v>
                </c:pt>
                <c:pt idx="5">
                  <c:v>89129</c:v>
                </c:pt>
                <c:pt idx="6">
                  <c:v>89686</c:v>
                </c:pt>
                <c:pt idx="7">
                  <c:v>99674</c:v>
                </c:pt>
              </c:numCache>
            </c:numRef>
          </c:val>
        </c:ser>
        <c:ser>
          <c:idx val="2"/>
          <c:order val="2"/>
          <c:tx>
            <c:strRef>
              <c:f>List1!$D$1</c:f>
              <c:strCache>
                <c:ptCount val="1"/>
                <c:pt idx="0">
                  <c:v>ČR</c:v>
                </c:pt>
              </c:strCache>
            </c:strRef>
          </c:tx>
          <c:spPr>
            <a:ln w="28575">
              <a:solidFill>
                <a:srgbClr val="B3A2C7"/>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982</c:v>
                </c:pt>
                <c:pt idx="1">
                  <c:v>1192</c:v>
                </c:pt>
                <c:pt idx="2">
                  <c:v>1469</c:v>
                </c:pt>
                <c:pt idx="3">
                  <c:v>1276</c:v>
                </c:pt>
                <c:pt idx="4">
                  <c:v>1361</c:v>
                </c:pt>
                <c:pt idx="5">
                  <c:v>575</c:v>
                </c:pt>
                <c:pt idx="6">
                  <c:v>2312</c:v>
                </c:pt>
                <c:pt idx="7">
                  <c:v>190</c:v>
                </c:pt>
              </c:numCache>
            </c:numRef>
          </c:val>
        </c:ser>
        <c:marker val="1"/>
        <c:axId val="121422976"/>
        <c:axId val="121424512"/>
      </c:lineChart>
      <c:catAx>
        <c:axId val="121422976"/>
        <c:scaling>
          <c:orientation val="minMax"/>
        </c:scaling>
        <c:axPos val="b"/>
        <c:numFmt formatCode="General" sourceLinked="1"/>
        <c:tickLblPos val="nextTo"/>
        <c:crossAx val="121424512"/>
        <c:crosses val="autoZero"/>
        <c:auto val="1"/>
        <c:lblAlgn val="ctr"/>
        <c:lblOffset val="100"/>
      </c:catAx>
      <c:valAx>
        <c:axId val="121424512"/>
        <c:scaling>
          <c:orientation val="minMax"/>
          <c:max val="100000"/>
        </c:scaling>
        <c:axPos val="l"/>
        <c:majorGridlines/>
        <c:numFmt formatCode="General" sourceLinked="1"/>
        <c:tickLblPos val="nextTo"/>
        <c:crossAx val="121422976"/>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tx>
            <c:strRef>
              <c:f>List1!$B$1</c:f>
              <c:strCache>
                <c:ptCount val="1"/>
                <c:pt idx="0">
                  <c:v>VK</c:v>
                </c:pt>
              </c:strCache>
            </c:strRef>
          </c:tx>
          <c:spPr>
            <a:ln>
              <a:solidFill>
                <a:schemeClr val="tx2">
                  <a:lumMod val="40000"/>
                  <a:lumOff val="60000"/>
                </a:schemeClr>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4714</c:v>
                </c:pt>
                <c:pt idx="1">
                  <c:v>6176</c:v>
                </c:pt>
                <c:pt idx="2">
                  <c:v>2885</c:v>
                </c:pt>
                <c:pt idx="3">
                  <c:v>7092</c:v>
                </c:pt>
                <c:pt idx="4">
                  <c:v>19955</c:v>
                </c:pt>
                <c:pt idx="5">
                  <c:v>10906</c:v>
                </c:pt>
                <c:pt idx="6">
                  <c:v>8471</c:v>
                </c:pt>
                <c:pt idx="7">
                  <c:v>20352</c:v>
                </c:pt>
              </c:numCache>
            </c:numRef>
          </c:val>
        </c:ser>
        <c:ser>
          <c:idx val="1"/>
          <c:order val="1"/>
          <c:tx>
            <c:strRef>
              <c:f>List1!$C$1</c:f>
              <c:strCache>
                <c:ptCount val="1"/>
                <c:pt idx="0">
                  <c:v>CZ</c:v>
                </c:pt>
              </c:strCache>
            </c:strRef>
          </c:tx>
          <c:spPr>
            <a:ln>
              <a:solidFill>
                <a:srgbClr val="8064A2">
                  <a:lumMod val="60000"/>
                  <a:lumOff val="40000"/>
                </a:srgbClr>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64410</c:v>
                </c:pt>
                <c:pt idx="1">
                  <c:v>71308</c:v>
                </c:pt>
                <c:pt idx="2">
                  <c:v>64394</c:v>
                </c:pt>
                <c:pt idx="3">
                  <c:v>63468</c:v>
                </c:pt>
                <c:pt idx="4">
                  <c:v>85527</c:v>
                </c:pt>
                <c:pt idx="5">
                  <c:v>88407</c:v>
                </c:pt>
                <c:pt idx="6">
                  <c:v>92667</c:v>
                </c:pt>
                <c:pt idx="7">
                  <c:v>92358</c:v>
                </c:pt>
              </c:numCache>
            </c:numRef>
          </c:val>
        </c:ser>
        <c:ser>
          <c:idx val="2"/>
          <c:order val="2"/>
          <c:tx>
            <c:strRef>
              <c:f>List1!$D$1</c:f>
              <c:strCache>
                <c:ptCount val="1"/>
                <c:pt idx="0">
                  <c:v>ČR</c:v>
                </c:pt>
              </c:strCache>
            </c:strRef>
          </c:tx>
          <c:spPr>
            <a:ln>
              <a:solidFill>
                <a:srgbClr val="92D050"/>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94</c:v>
                </c:pt>
                <c:pt idx="1">
                  <c:v>367</c:v>
                </c:pt>
                <c:pt idx="2">
                  <c:v>1114</c:v>
                </c:pt>
                <c:pt idx="3">
                  <c:v>738</c:v>
                </c:pt>
                <c:pt idx="4">
                  <c:v>87</c:v>
                </c:pt>
                <c:pt idx="5">
                  <c:v>48</c:v>
                </c:pt>
                <c:pt idx="6">
                  <c:v>29</c:v>
                </c:pt>
                <c:pt idx="7">
                  <c:v>2256</c:v>
                </c:pt>
              </c:numCache>
            </c:numRef>
          </c:val>
        </c:ser>
        <c:marker val="1"/>
        <c:axId val="121437568"/>
        <c:axId val="121775232"/>
      </c:lineChart>
      <c:catAx>
        <c:axId val="121437568"/>
        <c:scaling>
          <c:orientation val="minMax"/>
        </c:scaling>
        <c:axPos val="b"/>
        <c:numFmt formatCode="General" sourceLinked="1"/>
        <c:tickLblPos val="nextTo"/>
        <c:crossAx val="121775232"/>
        <c:crosses val="autoZero"/>
        <c:auto val="1"/>
        <c:lblAlgn val="ctr"/>
        <c:lblOffset val="100"/>
      </c:catAx>
      <c:valAx>
        <c:axId val="121775232"/>
        <c:scaling>
          <c:orientation val="minMax"/>
        </c:scaling>
        <c:axPos val="l"/>
        <c:majorGridlines/>
        <c:numFmt formatCode="General" sourceLinked="1"/>
        <c:tickLblPos val="nextTo"/>
        <c:crossAx val="121437568"/>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col"/>
        <c:grouping val="percentStacked"/>
        <c:ser>
          <c:idx val="0"/>
          <c:order val="0"/>
          <c:tx>
            <c:strRef>
              <c:f>List1!$B$1</c:f>
              <c:strCache>
                <c:ptCount val="1"/>
                <c:pt idx="0">
                  <c:v>DM</c:v>
                </c:pt>
              </c:strCache>
            </c:strRef>
          </c:tx>
          <c:spPr>
            <a:solidFill>
              <a:schemeClr val="accent4">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15631</c:v>
                </c:pt>
                <c:pt idx="1">
                  <c:v>15294</c:v>
                </c:pt>
                <c:pt idx="2">
                  <c:v>16205</c:v>
                </c:pt>
                <c:pt idx="3">
                  <c:v>4815</c:v>
                </c:pt>
                <c:pt idx="4">
                  <c:v>13247</c:v>
                </c:pt>
                <c:pt idx="5">
                  <c:v>9657</c:v>
                </c:pt>
                <c:pt idx="6">
                  <c:v>9169</c:v>
                </c:pt>
                <c:pt idx="7">
                  <c:v>15102</c:v>
                </c:pt>
              </c:numCache>
            </c:numRef>
          </c:val>
        </c:ser>
        <c:ser>
          <c:idx val="1"/>
          <c:order val="1"/>
          <c:tx>
            <c:strRef>
              <c:f>List1!$C$1</c:f>
              <c:strCache>
                <c:ptCount val="1"/>
                <c:pt idx="0">
                  <c:v>OA</c:v>
                </c:pt>
              </c:strCache>
            </c:strRef>
          </c:tx>
          <c:spPr>
            <a:solidFill>
              <a:schemeClr val="tx2">
                <a:lumMod val="40000"/>
                <a:lumOff val="6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52605</c:v>
                </c:pt>
                <c:pt idx="1">
                  <c:v>61365</c:v>
                </c:pt>
                <c:pt idx="2">
                  <c:v>50719</c:v>
                </c:pt>
                <c:pt idx="3">
                  <c:v>65207</c:v>
                </c:pt>
                <c:pt idx="4">
                  <c:v>90961</c:v>
                </c:pt>
                <c:pt idx="5">
                  <c:v>89129</c:v>
                </c:pt>
                <c:pt idx="6">
                  <c:v>89686</c:v>
                </c:pt>
                <c:pt idx="7">
                  <c:v>99674</c:v>
                </c:pt>
              </c:numCache>
            </c:numRef>
          </c:val>
        </c:ser>
        <c:ser>
          <c:idx val="2"/>
          <c:order val="2"/>
          <c:tx>
            <c:strRef>
              <c:f>List1!$D$1</c:f>
              <c:strCache>
                <c:ptCount val="1"/>
                <c:pt idx="0">
                  <c:v>ČR</c:v>
                </c:pt>
              </c:strCache>
            </c:strRef>
          </c:tx>
          <c:spPr>
            <a:solidFill>
              <a:srgbClr val="66FF33"/>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982</c:v>
                </c:pt>
                <c:pt idx="1">
                  <c:v>1192</c:v>
                </c:pt>
                <c:pt idx="2">
                  <c:v>1469</c:v>
                </c:pt>
                <c:pt idx="3">
                  <c:v>1276</c:v>
                </c:pt>
                <c:pt idx="4">
                  <c:v>1361</c:v>
                </c:pt>
                <c:pt idx="5">
                  <c:v>575</c:v>
                </c:pt>
                <c:pt idx="6">
                  <c:v>2312</c:v>
                </c:pt>
                <c:pt idx="7">
                  <c:v>190</c:v>
                </c:pt>
              </c:numCache>
            </c:numRef>
          </c:val>
        </c:ser>
        <c:overlap val="100"/>
        <c:axId val="121636736"/>
        <c:axId val="121638272"/>
      </c:barChart>
      <c:catAx>
        <c:axId val="121636736"/>
        <c:scaling>
          <c:orientation val="minMax"/>
        </c:scaling>
        <c:axPos val="b"/>
        <c:numFmt formatCode="General" sourceLinked="1"/>
        <c:tickLblPos val="nextTo"/>
        <c:crossAx val="121638272"/>
        <c:crosses val="autoZero"/>
        <c:auto val="1"/>
        <c:lblAlgn val="ctr"/>
        <c:lblOffset val="100"/>
      </c:catAx>
      <c:valAx>
        <c:axId val="121638272"/>
        <c:scaling>
          <c:orientation val="minMax"/>
        </c:scaling>
        <c:axPos val="l"/>
        <c:majorGridlines/>
        <c:numFmt formatCode="0%" sourceLinked="1"/>
        <c:tickLblPos val="nextTo"/>
        <c:crossAx val="121636736"/>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col"/>
        <c:grouping val="percentStacked"/>
        <c:ser>
          <c:idx val="0"/>
          <c:order val="0"/>
          <c:tx>
            <c:strRef>
              <c:f>List1!$B$1</c:f>
              <c:strCache>
                <c:ptCount val="1"/>
                <c:pt idx="0">
                  <c:v>DNM</c:v>
                </c:pt>
              </c:strCache>
            </c:strRef>
          </c:tx>
          <c:spPr>
            <a:solidFill>
              <a:srgbClr val="66FF33"/>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0</c:v>
                </c:pt>
                <c:pt idx="1">
                  <c:v>0</c:v>
                </c:pt>
                <c:pt idx="2">
                  <c:v>277</c:v>
                </c:pt>
                <c:pt idx="3">
                  <c:v>523</c:v>
                </c:pt>
                <c:pt idx="4">
                  <c:v>553</c:v>
                </c:pt>
                <c:pt idx="5">
                  <c:v>386</c:v>
                </c:pt>
                <c:pt idx="6">
                  <c:v>247</c:v>
                </c:pt>
                <c:pt idx="7">
                  <c:v>58</c:v>
                </c:pt>
              </c:numCache>
            </c:numRef>
          </c:val>
        </c:ser>
        <c:ser>
          <c:idx val="1"/>
          <c:order val="1"/>
          <c:tx>
            <c:strRef>
              <c:f>List1!$C$1</c:f>
              <c:strCache>
                <c:ptCount val="1"/>
                <c:pt idx="0">
                  <c:v>DHM</c:v>
                </c:pt>
              </c:strCache>
            </c:strRef>
          </c:tx>
          <c:spPr>
            <a:solidFill>
              <a:schemeClr val="tx2">
                <a:lumMod val="40000"/>
                <a:lumOff val="6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15518</c:v>
                </c:pt>
                <c:pt idx="1">
                  <c:v>15181</c:v>
                </c:pt>
                <c:pt idx="2">
                  <c:v>15928</c:v>
                </c:pt>
                <c:pt idx="3">
                  <c:v>2266</c:v>
                </c:pt>
                <c:pt idx="4">
                  <c:v>6323</c:v>
                </c:pt>
                <c:pt idx="5">
                  <c:v>9271</c:v>
                </c:pt>
                <c:pt idx="6">
                  <c:v>8922</c:v>
                </c:pt>
                <c:pt idx="7">
                  <c:v>7044</c:v>
                </c:pt>
              </c:numCache>
            </c:numRef>
          </c:val>
        </c:ser>
        <c:ser>
          <c:idx val="2"/>
          <c:order val="2"/>
          <c:tx>
            <c:strRef>
              <c:f>List1!$D$1</c:f>
              <c:strCache>
                <c:ptCount val="1"/>
                <c:pt idx="0">
                  <c:v>DFM</c:v>
                </c:pt>
              </c:strCache>
            </c:strRef>
          </c:tx>
          <c:spPr>
            <a:solidFill>
              <a:schemeClr val="accent4">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113</c:v>
                </c:pt>
                <c:pt idx="1">
                  <c:v>113</c:v>
                </c:pt>
                <c:pt idx="2">
                  <c:v>0</c:v>
                </c:pt>
                <c:pt idx="3">
                  <c:v>2026</c:v>
                </c:pt>
                <c:pt idx="4">
                  <c:v>6371</c:v>
                </c:pt>
                <c:pt idx="5">
                  <c:v>0</c:v>
                </c:pt>
                <c:pt idx="6">
                  <c:v>0</c:v>
                </c:pt>
                <c:pt idx="7">
                  <c:v>8000</c:v>
                </c:pt>
              </c:numCache>
            </c:numRef>
          </c:val>
        </c:ser>
        <c:overlap val="100"/>
        <c:axId val="121659776"/>
        <c:axId val="121661312"/>
      </c:barChart>
      <c:catAx>
        <c:axId val="121659776"/>
        <c:scaling>
          <c:orientation val="minMax"/>
        </c:scaling>
        <c:axPos val="b"/>
        <c:numFmt formatCode="General" sourceLinked="1"/>
        <c:tickLblPos val="nextTo"/>
        <c:crossAx val="121661312"/>
        <c:crosses val="autoZero"/>
        <c:auto val="1"/>
        <c:lblAlgn val="ctr"/>
        <c:lblOffset val="100"/>
      </c:catAx>
      <c:valAx>
        <c:axId val="121661312"/>
        <c:scaling>
          <c:orientation val="minMax"/>
        </c:scaling>
        <c:axPos val="l"/>
        <c:majorGridlines/>
        <c:numFmt formatCode="0%" sourceLinked="1"/>
        <c:tickLblPos val="nextTo"/>
        <c:crossAx val="121659776"/>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col"/>
        <c:grouping val="percentStacked"/>
        <c:ser>
          <c:idx val="0"/>
          <c:order val="0"/>
          <c:tx>
            <c:strRef>
              <c:f>List1!$B$1</c:f>
              <c:strCache>
                <c:ptCount val="1"/>
                <c:pt idx="0">
                  <c:v>Zásoby</c:v>
                </c:pt>
              </c:strCache>
            </c:strRef>
          </c:tx>
          <c:spPr>
            <a:solidFill>
              <a:schemeClr val="tx2">
                <a:lumMod val="40000"/>
                <a:lumOff val="60000"/>
              </a:schemeClr>
            </a:solidFill>
            <a:ln>
              <a:solidFill>
                <a:prstClr val="black"/>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30119</c:v>
                </c:pt>
                <c:pt idx="1">
                  <c:v>35346</c:v>
                </c:pt>
                <c:pt idx="2">
                  <c:v>32987</c:v>
                </c:pt>
                <c:pt idx="3">
                  <c:v>38365</c:v>
                </c:pt>
                <c:pt idx="4">
                  <c:v>43815</c:v>
                </c:pt>
                <c:pt idx="5">
                  <c:v>40682</c:v>
                </c:pt>
                <c:pt idx="6">
                  <c:v>47098</c:v>
                </c:pt>
                <c:pt idx="7">
                  <c:v>51899</c:v>
                </c:pt>
              </c:numCache>
            </c:numRef>
          </c:val>
        </c:ser>
        <c:ser>
          <c:idx val="1"/>
          <c:order val="1"/>
          <c:tx>
            <c:strRef>
              <c:f>List1!$C$1</c:f>
              <c:strCache>
                <c:ptCount val="1"/>
                <c:pt idx="0">
                  <c:v>Dl. pohl</c:v>
                </c:pt>
              </c:strCache>
            </c:strRef>
          </c:tx>
          <c:spPr>
            <a:solidFill>
              <a:srgbClr val="66FF33"/>
            </a:solidFill>
            <a:ln>
              <a:solidFill>
                <a:prstClr val="black"/>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0</c:v>
                </c:pt>
                <c:pt idx="1">
                  <c:v>0</c:v>
                </c:pt>
                <c:pt idx="2">
                  <c:v>3060</c:v>
                </c:pt>
                <c:pt idx="3">
                  <c:v>0</c:v>
                </c:pt>
                <c:pt idx="4">
                  <c:v>888</c:v>
                </c:pt>
                <c:pt idx="5">
                  <c:v>169</c:v>
                </c:pt>
                <c:pt idx="6">
                  <c:v>415</c:v>
                </c:pt>
                <c:pt idx="7">
                  <c:v>41</c:v>
                </c:pt>
              </c:numCache>
            </c:numRef>
          </c:val>
        </c:ser>
        <c:ser>
          <c:idx val="2"/>
          <c:order val="2"/>
          <c:tx>
            <c:strRef>
              <c:f>List1!$D$1</c:f>
              <c:strCache>
                <c:ptCount val="1"/>
                <c:pt idx="0">
                  <c:v>Kr. pohl</c:v>
                </c:pt>
              </c:strCache>
            </c:strRef>
          </c:tx>
          <c:spPr>
            <a:solidFill>
              <a:schemeClr val="accent4">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21855</c:v>
                </c:pt>
                <c:pt idx="1">
                  <c:v>25271</c:v>
                </c:pt>
                <c:pt idx="2">
                  <c:v>11134</c:v>
                </c:pt>
                <c:pt idx="3">
                  <c:v>18337</c:v>
                </c:pt>
                <c:pt idx="4">
                  <c:v>28799</c:v>
                </c:pt>
                <c:pt idx="5">
                  <c:v>19579</c:v>
                </c:pt>
                <c:pt idx="6">
                  <c:v>19419</c:v>
                </c:pt>
                <c:pt idx="7">
                  <c:v>25185</c:v>
                </c:pt>
              </c:numCache>
            </c:numRef>
          </c:val>
        </c:ser>
        <c:ser>
          <c:idx val="3"/>
          <c:order val="3"/>
          <c:tx>
            <c:strRef>
              <c:f>List1!$E$1</c:f>
              <c:strCache>
                <c:ptCount val="1"/>
                <c:pt idx="0">
                  <c:v>Kr.fin.maj.</c:v>
                </c:pt>
              </c:strCache>
            </c:strRef>
          </c:tx>
          <c:spPr>
            <a:solidFill>
              <a:schemeClr val="tx2">
                <a:lumMod val="60000"/>
                <a:lumOff val="40000"/>
              </a:schemeClr>
            </a:solidFill>
            <a:ln>
              <a:solidFill>
                <a:prstClr val="black"/>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List1!$E$2:$E$9</c:f>
              <c:numCache>
                <c:formatCode>General</c:formatCode>
                <c:ptCount val="8"/>
                <c:pt idx="0">
                  <c:v>631</c:v>
                </c:pt>
                <c:pt idx="1">
                  <c:v>748</c:v>
                </c:pt>
                <c:pt idx="2">
                  <c:v>3538</c:v>
                </c:pt>
                <c:pt idx="3">
                  <c:v>8505</c:v>
                </c:pt>
                <c:pt idx="4">
                  <c:v>17459</c:v>
                </c:pt>
                <c:pt idx="5">
                  <c:v>28699</c:v>
                </c:pt>
                <c:pt idx="6">
                  <c:v>22754</c:v>
                </c:pt>
                <c:pt idx="7">
                  <c:v>22549</c:v>
                </c:pt>
              </c:numCache>
            </c:numRef>
          </c:val>
        </c:ser>
        <c:overlap val="100"/>
        <c:axId val="121691520"/>
        <c:axId val="121738368"/>
      </c:barChart>
      <c:catAx>
        <c:axId val="121691520"/>
        <c:scaling>
          <c:orientation val="minMax"/>
        </c:scaling>
        <c:axPos val="b"/>
        <c:numFmt formatCode="General" sourceLinked="1"/>
        <c:tickLblPos val="nextTo"/>
        <c:crossAx val="121738368"/>
        <c:crosses val="autoZero"/>
        <c:auto val="1"/>
        <c:lblAlgn val="ctr"/>
        <c:lblOffset val="100"/>
      </c:catAx>
      <c:valAx>
        <c:axId val="121738368"/>
        <c:scaling>
          <c:orientation val="minMax"/>
        </c:scaling>
        <c:axPos val="l"/>
        <c:majorGridlines/>
        <c:numFmt formatCode="0%" sourceLinked="1"/>
        <c:tickLblPos val="nextTo"/>
        <c:crossAx val="121691520"/>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col"/>
        <c:grouping val="percentStacked"/>
        <c:ser>
          <c:idx val="0"/>
          <c:order val="0"/>
          <c:tx>
            <c:strRef>
              <c:f>List1!$B$1</c:f>
              <c:strCache>
                <c:ptCount val="1"/>
                <c:pt idx="0">
                  <c:v>VK</c:v>
                </c:pt>
              </c:strCache>
            </c:strRef>
          </c:tx>
          <c:spPr>
            <a:solidFill>
              <a:schemeClr val="accent4">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4714</c:v>
                </c:pt>
                <c:pt idx="1">
                  <c:v>6176</c:v>
                </c:pt>
                <c:pt idx="2">
                  <c:v>2885</c:v>
                </c:pt>
                <c:pt idx="3">
                  <c:v>7092</c:v>
                </c:pt>
                <c:pt idx="4">
                  <c:v>19955</c:v>
                </c:pt>
                <c:pt idx="5">
                  <c:v>10906</c:v>
                </c:pt>
                <c:pt idx="6">
                  <c:v>8471</c:v>
                </c:pt>
                <c:pt idx="7">
                  <c:v>20352</c:v>
                </c:pt>
              </c:numCache>
            </c:numRef>
          </c:val>
        </c:ser>
        <c:ser>
          <c:idx val="1"/>
          <c:order val="1"/>
          <c:tx>
            <c:strRef>
              <c:f>List1!$C$1</c:f>
              <c:strCache>
                <c:ptCount val="1"/>
                <c:pt idx="0">
                  <c:v>CZ</c:v>
                </c:pt>
              </c:strCache>
            </c:strRef>
          </c:tx>
          <c:spPr>
            <a:solidFill>
              <a:schemeClr val="tx2">
                <a:lumMod val="40000"/>
                <a:lumOff val="6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64410</c:v>
                </c:pt>
                <c:pt idx="1">
                  <c:v>71308</c:v>
                </c:pt>
                <c:pt idx="2">
                  <c:v>64394</c:v>
                </c:pt>
                <c:pt idx="3">
                  <c:v>63468</c:v>
                </c:pt>
                <c:pt idx="4">
                  <c:v>85527</c:v>
                </c:pt>
                <c:pt idx="5">
                  <c:v>88407</c:v>
                </c:pt>
                <c:pt idx="6">
                  <c:v>92667</c:v>
                </c:pt>
                <c:pt idx="7">
                  <c:v>92358</c:v>
                </c:pt>
              </c:numCache>
            </c:numRef>
          </c:val>
        </c:ser>
        <c:ser>
          <c:idx val="2"/>
          <c:order val="2"/>
          <c:tx>
            <c:strRef>
              <c:f>List1!$D$1</c:f>
              <c:strCache>
                <c:ptCount val="1"/>
                <c:pt idx="0">
                  <c:v>ČR</c:v>
                </c:pt>
              </c:strCache>
            </c:strRef>
          </c:tx>
          <c:spPr>
            <a:solidFill>
              <a:srgbClr val="66FF33"/>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94</c:v>
                </c:pt>
                <c:pt idx="1">
                  <c:v>367</c:v>
                </c:pt>
                <c:pt idx="2">
                  <c:v>1114</c:v>
                </c:pt>
                <c:pt idx="3">
                  <c:v>738</c:v>
                </c:pt>
                <c:pt idx="4">
                  <c:v>87</c:v>
                </c:pt>
                <c:pt idx="5">
                  <c:v>48</c:v>
                </c:pt>
                <c:pt idx="6">
                  <c:v>29</c:v>
                </c:pt>
                <c:pt idx="7">
                  <c:v>2256</c:v>
                </c:pt>
              </c:numCache>
            </c:numRef>
          </c:val>
        </c:ser>
        <c:overlap val="100"/>
        <c:axId val="122038144"/>
        <c:axId val="122039680"/>
      </c:barChart>
      <c:catAx>
        <c:axId val="122038144"/>
        <c:scaling>
          <c:orientation val="minMax"/>
        </c:scaling>
        <c:axPos val="b"/>
        <c:numFmt formatCode="General" sourceLinked="1"/>
        <c:tickLblPos val="nextTo"/>
        <c:crossAx val="122039680"/>
        <c:crosses val="autoZero"/>
        <c:auto val="1"/>
        <c:lblAlgn val="ctr"/>
        <c:lblOffset val="100"/>
      </c:catAx>
      <c:valAx>
        <c:axId val="122039680"/>
        <c:scaling>
          <c:orientation val="minMax"/>
        </c:scaling>
        <c:axPos val="l"/>
        <c:majorGridlines/>
        <c:numFmt formatCode="0%" sourceLinked="1"/>
        <c:tickLblPos val="nextTo"/>
        <c:crossAx val="122038144"/>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col"/>
        <c:grouping val="percentStacked"/>
        <c:ser>
          <c:idx val="0"/>
          <c:order val="0"/>
          <c:tx>
            <c:strRef>
              <c:f>List1!$B$1</c:f>
              <c:strCache>
                <c:ptCount val="1"/>
                <c:pt idx="0">
                  <c:v>ZK</c:v>
                </c:pt>
              </c:strCache>
            </c:strRef>
          </c:tx>
          <c:spPr>
            <a:solidFill>
              <a:schemeClr val="tx2">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100</c:v>
                </c:pt>
                <c:pt idx="1">
                  <c:v>100</c:v>
                </c:pt>
                <c:pt idx="2">
                  <c:v>5000</c:v>
                </c:pt>
                <c:pt idx="3">
                  <c:v>5000</c:v>
                </c:pt>
                <c:pt idx="4">
                  <c:v>5000</c:v>
                </c:pt>
                <c:pt idx="5">
                  <c:v>5000</c:v>
                </c:pt>
                <c:pt idx="6">
                  <c:v>5000</c:v>
                </c:pt>
                <c:pt idx="7">
                  <c:v>5000</c:v>
                </c:pt>
              </c:numCache>
            </c:numRef>
          </c:val>
        </c:ser>
        <c:ser>
          <c:idx val="1"/>
          <c:order val="1"/>
          <c:tx>
            <c:strRef>
              <c:f>List1!$C$1</c:f>
              <c:strCache>
                <c:ptCount val="1"/>
                <c:pt idx="0">
                  <c:v>KF</c:v>
                </c:pt>
              </c:strCache>
            </c:strRef>
          </c:tx>
          <c:spPr>
            <a:solidFill>
              <a:srgbClr val="FF7C80"/>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0</c:v>
                </c:pt>
                <c:pt idx="1">
                  <c:v>0</c:v>
                </c:pt>
                <c:pt idx="2">
                  <c:v>-113</c:v>
                </c:pt>
                <c:pt idx="3">
                  <c:v>-4327</c:v>
                </c:pt>
                <c:pt idx="4">
                  <c:v>0</c:v>
                </c:pt>
                <c:pt idx="5">
                  <c:v>0</c:v>
                </c:pt>
                <c:pt idx="6">
                  <c:v>0</c:v>
                </c:pt>
                <c:pt idx="7">
                  <c:v>0</c:v>
                </c:pt>
              </c:numCache>
            </c:numRef>
          </c:val>
        </c:ser>
        <c:ser>
          <c:idx val="2"/>
          <c:order val="2"/>
          <c:tx>
            <c:strRef>
              <c:f>List1!$D$1</c:f>
              <c:strCache>
                <c:ptCount val="1"/>
                <c:pt idx="0">
                  <c:v>RF</c:v>
                </c:pt>
              </c:strCache>
            </c:strRef>
          </c:tx>
          <c:spPr>
            <a:solidFill>
              <a:srgbClr val="66FF33"/>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64</c:v>
                </c:pt>
                <c:pt idx="1">
                  <c:v>10</c:v>
                </c:pt>
                <c:pt idx="2">
                  <c:v>86</c:v>
                </c:pt>
                <c:pt idx="3">
                  <c:v>86</c:v>
                </c:pt>
                <c:pt idx="4">
                  <c:v>250</c:v>
                </c:pt>
                <c:pt idx="5">
                  <c:v>250</c:v>
                </c:pt>
                <c:pt idx="6">
                  <c:v>250</c:v>
                </c:pt>
                <c:pt idx="7">
                  <c:v>500</c:v>
                </c:pt>
              </c:numCache>
            </c:numRef>
          </c:val>
        </c:ser>
        <c:ser>
          <c:idx val="3"/>
          <c:order val="3"/>
          <c:tx>
            <c:strRef>
              <c:f>List1!$E$1</c:f>
              <c:strCache>
                <c:ptCount val="1"/>
                <c:pt idx="0">
                  <c:v>VH ml</c:v>
                </c:pt>
              </c:strCache>
            </c:strRef>
          </c:tx>
          <c:spPr>
            <a:solidFill>
              <a:schemeClr val="tx2">
                <a:lumMod val="40000"/>
                <a:lumOff val="6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List1!$E$2:$E$9</c:f>
              <c:numCache>
                <c:formatCode>General</c:formatCode>
                <c:ptCount val="8"/>
                <c:pt idx="0">
                  <c:v>3918</c:v>
                </c:pt>
                <c:pt idx="1">
                  <c:v>4550</c:v>
                </c:pt>
                <c:pt idx="2">
                  <c:v>5991</c:v>
                </c:pt>
                <c:pt idx="3">
                  <c:v>-2088</c:v>
                </c:pt>
                <c:pt idx="4">
                  <c:v>6169</c:v>
                </c:pt>
                <c:pt idx="5">
                  <c:v>14706</c:v>
                </c:pt>
                <c:pt idx="6">
                  <c:v>0</c:v>
                </c:pt>
                <c:pt idx="7">
                  <c:v>2972</c:v>
                </c:pt>
              </c:numCache>
            </c:numRef>
          </c:val>
        </c:ser>
        <c:ser>
          <c:idx val="4"/>
          <c:order val="4"/>
          <c:tx>
            <c:strRef>
              <c:f>List1!$F$1</c:f>
              <c:strCache>
                <c:ptCount val="1"/>
                <c:pt idx="0">
                  <c:v>VH bo</c:v>
                </c:pt>
              </c:strCache>
            </c:strRef>
          </c:tx>
          <c:spPr>
            <a:solidFill>
              <a:schemeClr val="accent4">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List1!$F$2:$F$9</c:f>
              <c:numCache>
                <c:formatCode>General</c:formatCode>
                <c:ptCount val="8"/>
                <c:pt idx="0">
                  <c:v>632</c:v>
                </c:pt>
                <c:pt idx="1">
                  <c:v>1516</c:v>
                </c:pt>
                <c:pt idx="2">
                  <c:v>-8079</c:v>
                </c:pt>
                <c:pt idx="3">
                  <c:v>8421</c:v>
                </c:pt>
                <c:pt idx="4">
                  <c:v>8536</c:v>
                </c:pt>
                <c:pt idx="5">
                  <c:v>-9050</c:v>
                </c:pt>
                <c:pt idx="6">
                  <c:v>3221</c:v>
                </c:pt>
                <c:pt idx="7">
                  <c:v>11880</c:v>
                </c:pt>
              </c:numCache>
            </c:numRef>
          </c:val>
        </c:ser>
        <c:overlap val="100"/>
        <c:axId val="122066816"/>
        <c:axId val="122068352"/>
      </c:barChart>
      <c:catAx>
        <c:axId val="122066816"/>
        <c:scaling>
          <c:orientation val="minMax"/>
        </c:scaling>
        <c:axPos val="b"/>
        <c:numFmt formatCode="General" sourceLinked="1"/>
        <c:tickLblPos val="nextTo"/>
        <c:crossAx val="122068352"/>
        <c:crosses val="autoZero"/>
        <c:auto val="1"/>
        <c:lblAlgn val="ctr"/>
        <c:lblOffset val="100"/>
      </c:catAx>
      <c:valAx>
        <c:axId val="122068352"/>
        <c:scaling>
          <c:orientation val="minMax"/>
        </c:scaling>
        <c:axPos val="l"/>
        <c:majorGridlines/>
        <c:numFmt formatCode="0%" sourceLinked="1"/>
        <c:tickLblPos val="nextTo"/>
        <c:crossAx val="122066816"/>
        <c:crosses val="autoZero"/>
        <c:crossBetween val="between"/>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cs-CZ"/>
  <c:chart>
    <c:plotArea>
      <c:layout/>
      <c:barChart>
        <c:barDir val="col"/>
        <c:grouping val="percentStacked"/>
        <c:ser>
          <c:idx val="0"/>
          <c:order val="0"/>
          <c:tx>
            <c:strRef>
              <c:f>List1!$B$1</c:f>
              <c:strCache>
                <c:ptCount val="1"/>
                <c:pt idx="0">
                  <c:v>Rezervy</c:v>
                </c:pt>
              </c:strCache>
            </c:strRef>
          </c:tx>
          <c:spPr>
            <a:solidFill>
              <a:srgbClr val="66FF33"/>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0</c:v>
                </c:pt>
                <c:pt idx="1">
                  <c:v>0</c:v>
                </c:pt>
                <c:pt idx="2">
                  <c:v>4189</c:v>
                </c:pt>
                <c:pt idx="3">
                  <c:v>6082</c:v>
                </c:pt>
                <c:pt idx="4">
                  <c:v>3978</c:v>
                </c:pt>
                <c:pt idx="5">
                  <c:v>8300</c:v>
                </c:pt>
                <c:pt idx="6">
                  <c:v>7697</c:v>
                </c:pt>
                <c:pt idx="7">
                  <c:v>955</c:v>
                </c:pt>
              </c:numCache>
            </c:numRef>
          </c:val>
        </c:ser>
        <c:ser>
          <c:idx val="1"/>
          <c:order val="1"/>
          <c:tx>
            <c:strRef>
              <c:f>List1!$C$1</c:f>
              <c:strCache>
                <c:ptCount val="1"/>
                <c:pt idx="0">
                  <c:v>Dl. Záv.</c:v>
                </c:pt>
              </c:strCache>
            </c:strRef>
          </c:tx>
          <c:spPr>
            <a:solidFill>
              <a:schemeClr val="accent4">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382</c:v>
                </c:pt>
                <c:pt idx="1">
                  <c:v>26817</c:v>
                </c:pt>
                <c:pt idx="2">
                  <c:v>21092</c:v>
                </c:pt>
                <c:pt idx="3">
                  <c:v>24663</c:v>
                </c:pt>
                <c:pt idx="4">
                  <c:v>22126</c:v>
                </c:pt>
                <c:pt idx="5">
                  <c:v>22923</c:v>
                </c:pt>
                <c:pt idx="6">
                  <c:v>39011</c:v>
                </c:pt>
                <c:pt idx="7">
                  <c:v>32825</c:v>
                </c:pt>
              </c:numCache>
            </c:numRef>
          </c:val>
        </c:ser>
        <c:ser>
          <c:idx val="2"/>
          <c:order val="2"/>
          <c:tx>
            <c:strRef>
              <c:f>List1!$D$1</c:f>
              <c:strCache>
                <c:ptCount val="1"/>
                <c:pt idx="0">
                  <c:v>Kr. záv</c:v>
                </c:pt>
              </c:strCache>
            </c:strRef>
          </c:tx>
          <c:spPr>
            <a:solidFill>
              <a:schemeClr val="tx2">
                <a:lumMod val="40000"/>
                <a:lumOff val="6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52028</c:v>
                </c:pt>
                <c:pt idx="1">
                  <c:v>32907</c:v>
                </c:pt>
                <c:pt idx="2">
                  <c:v>28238</c:v>
                </c:pt>
                <c:pt idx="3">
                  <c:v>32723</c:v>
                </c:pt>
                <c:pt idx="4">
                  <c:v>59423</c:v>
                </c:pt>
                <c:pt idx="5">
                  <c:v>57184</c:v>
                </c:pt>
                <c:pt idx="6">
                  <c:v>45959</c:v>
                </c:pt>
                <c:pt idx="7">
                  <c:v>49943</c:v>
                </c:pt>
              </c:numCache>
            </c:numRef>
          </c:val>
        </c:ser>
        <c:ser>
          <c:idx val="3"/>
          <c:order val="3"/>
          <c:tx>
            <c:strRef>
              <c:f>List1!$E$1</c:f>
              <c:strCache>
                <c:ptCount val="1"/>
                <c:pt idx="0">
                  <c:v>Bank. Úvěry</c:v>
                </c:pt>
              </c:strCache>
            </c:strRef>
          </c:tx>
          <c:spPr>
            <a:solidFill>
              <a:schemeClr val="tx2">
                <a:lumMod val="60000"/>
                <a:lumOff val="40000"/>
              </a:schemeClr>
            </a:solidFill>
            <a:ln>
              <a:solidFill>
                <a:schemeClr val="tx1"/>
              </a:solidFill>
            </a:ln>
          </c:spP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List1!$E$2:$E$9</c:f>
              <c:numCache>
                <c:formatCode>General</c:formatCode>
                <c:ptCount val="8"/>
                <c:pt idx="0">
                  <c:v>12000</c:v>
                </c:pt>
                <c:pt idx="1">
                  <c:v>11584</c:v>
                </c:pt>
                <c:pt idx="2">
                  <c:v>10875</c:v>
                </c:pt>
                <c:pt idx="3">
                  <c:v>0</c:v>
                </c:pt>
                <c:pt idx="4">
                  <c:v>0</c:v>
                </c:pt>
                <c:pt idx="5">
                  <c:v>0</c:v>
                </c:pt>
                <c:pt idx="6">
                  <c:v>0</c:v>
                </c:pt>
                <c:pt idx="7">
                  <c:v>8635</c:v>
                </c:pt>
              </c:numCache>
            </c:numRef>
          </c:val>
        </c:ser>
        <c:overlap val="100"/>
        <c:axId val="121758848"/>
        <c:axId val="121760384"/>
      </c:barChart>
      <c:catAx>
        <c:axId val="121758848"/>
        <c:scaling>
          <c:orientation val="minMax"/>
        </c:scaling>
        <c:axPos val="b"/>
        <c:numFmt formatCode="General" sourceLinked="1"/>
        <c:tickLblPos val="nextTo"/>
        <c:crossAx val="121760384"/>
        <c:crosses val="autoZero"/>
        <c:auto val="1"/>
        <c:lblAlgn val="ctr"/>
        <c:lblOffset val="100"/>
      </c:catAx>
      <c:valAx>
        <c:axId val="121760384"/>
        <c:scaling>
          <c:orientation val="minMax"/>
        </c:scaling>
        <c:axPos val="l"/>
        <c:majorGridlines/>
        <c:numFmt formatCode="0%" sourceLinked="1"/>
        <c:tickLblPos val="nextTo"/>
        <c:crossAx val="121758848"/>
        <c:crosses val="autoZero"/>
        <c:crossBetween val="between"/>
      </c:valAx>
    </c:plotArea>
    <c:legend>
      <c:legendPos val="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tx>
            <c:strRef>
              <c:f>List1!$B$1</c:f>
              <c:strCache>
                <c:ptCount val="1"/>
                <c:pt idx="0">
                  <c:v>Celkový</c:v>
                </c:pt>
              </c:strCache>
            </c:strRef>
          </c:tx>
          <c:spPr>
            <a:ln>
              <a:solidFill>
                <a:schemeClr val="tx2">
                  <a:lumMod val="75000"/>
                </a:schemeClr>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632</c:v>
                </c:pt>
                <c:pt idx="1">
                  <c:v>1516</c:v>
                </c:pt>
                <c:pt idx="2">
                  <c:v>-8079</c:v>
                </c:pt>
                <c:pt idx="3">
                  <c:v>8421</c:v>
                </c:pt>
                <c:pt idx="4" formatCode="#,##0">
                  <c:v>8536</c:v>
                </c:pt>
                <c:pt idx="5" formatCode="#,##0">
                  <c:v>-9050</c:v>
                </c:pt>
                <c:pt idx="6">
                  <c:v>3221</c:v>
                </c:pt>
                <c:pt idx="7">
                  <c:v>11880</c:v>
                </c:pt>
              </c:numCache>
            </c:numRef>
          </c:val>
        </c:ser>
        <c:ser>
          <c:idx val="1"/>
          <c:order val="1"/>
          <c:tx>
            <c:strRef>
              <c:f>List1!$C$1</c:f>
              <c:strCache>
                <c:ptCount val="1"/>
                <c:pt idx="0">
                  <c:v>Finanční</c:v>
                </c:pt>
              </c:strCache>
            </c:strRef>
          </c:tx>
          <c:spPr>
            <a:ln>
              <a:solidFill>
                <a:schemeClr val="accent4">
                  <a:lumMod val="60000"/>
                  <a:lumOff val="40000"/>
                </a:schemeClr>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-1270</c:v>
                </c:pt>
                <c:pt idx="1">
                  <c:v>-532</c:v>
                </c:pt>
                <c:pt idx="2">
                  <c:v>-25</c:v>
                </c:pt>
                <c:pt idx="3">
                  <c:v>-1414</c:v>
                </c:pt>
                <c:pt idx="4">
                  <c:v>-1726</c:v>
                </c:pt>
                <c:pt idx="5">
                  <c:v>-9906</c:v>
                </c:pt>
                <c:pt idx="6">
                  <c:v>-3327</c:v>
                </c:pt>
                <c:pt idx="7">
                  <c:v>-2585</c:v>
                </c:pt>
              </c:numCache>
            </c:numRef>
          </c:val>
        </c:ser>
        <c:ser>
          <c:idx val="2"/>
          <c:order val="2"/>
          <c:tx>
            <c:strRef>
              <c:f>List1!$D$1</c:f>
              <c:strCache>
                <c:ptCount val="1"/>
                <c:pt idx="0">
                  <c:v>Provozní</c:v>
                </c:pt>
              </c:strCache>
            </c:strRef>
          </c:tx>
          <c:spPr>
            <a:ln>
              <a:solidFill>
                <a:schemeClr val="tx2">
                  <a:lumMod val="60000"/>
                  <a:lumOff val="40000"/>
                </a:schemeClr>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1246</c:v>
                </c:pt>
                <c:pt idx="1">
                  <c:v>5511</c:v>
                </c:pt>
                <c:pt idx="2">
                  <c:v>-6865</c:v>
                </c:pt>
                <c:pt idx="3">
                  <c:v>12832</c:v>
                </c:pt>
                <c:pt idx="4">
                  <c:v>13462</c:v>
                </c:pt>
                <c:pt idx="5">
                  <c:v>7954</c:v>
                </c:pt>
                <c:pt idx="6">
                  <c:v>7488</c:v>
                </c:pt>
                <c:pt idx="7">
                  <c:v>17689</c:v>
                </c:pt>
              </c:numCache>
            </c:numRef>
          </c:val>
        </c:ser>
        <c:ser>
          <c:idx val="3"/>
          <c:order val="3"/>
          <c:tx>
            <c:strRef>
              <c:f>List1!$E$1</c:f>
              <c:strCache>
                <c:ptCount val="1"/>
                <c:pt idx="0">
                  <c:v>Mimořádný</c:v>
                </c:pt>
              </c:strCache>
            </c:strRef>
          </c:tx>
          <c:spPr>
            <a:ln>
              <a:solidFill>
                <a:srgbClr val="92D050"/>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List1!$E$2:$E$9</c:f>
              <c:numCache>
                <c:formatCode>General</c:formatCode>
                <c:ptCount val="8"/>
                <c:pt idx="0">
                  <c:v>656</c:v>
                </c:pt>
                <c:pt idx="1">
                  <c:v>-1904</c:v>
                </c:pt>
                <c:pt idx="2">
                  <c:v>0</c:v>
                </c:pt>
                <c:pt idx="3">
                  <c:v>0</c:v>
                </c:pt>
                <c:pt idx="4">
                  <c:v>0</c:v>
                </c:pt>
                <c:pt idx="5">
                  <c:v>-5227</c:v>
                </c:pt>
                <c:pt idx="6">
                  <c:v>0</c:v>
                </c:pt>
                <c:pt idx="7">
                  <c:v>0</c:v>
                </c:pt>
              </c:numCache>
            </c:numRef>
          </c:val>
        </c:ser>
        <c:marker val="1"/>
        <c:axId val="122184064"/>
        <c:axId val="122185600"/>
      </c:lineChart>
      <c:catAx>
        <c:axId val="122184064"/>
        <c:scaling>
          <c:orientation val="minMax"/>
        </c:scaling>
        <c:axPos val="b"/>
        <c:numFmt formatCode="General" sourceLinked="1"/>
        <c:tickLblPos val="nextTo"/>
        <c:crossAx val="122185600"/>
        <c:crosses val="autoZero"/>
        <c:auto val="1"/>
        <c:lblAlgn val="ctr"/>
        <c:lblOffset val="100"/>
      </c:catAx>
      <c:valAx>
        <c:axId val="122185600"/>
        <c:scaling>
          <c:orientation val="minMax"/>
          <c:max val="18000"/>
          <c:min val="-10000"/>
        </c:scaling>
        <c:axPos val="l"/>
        <c:majorGridlines/>
        <c:numFmt formatCode="General" sourceLinked="1"/>
        <c:tickLblPos val="nextTo"/>
        <c:crossAx val="122184064"/>
        <c:crosses val="autoZero"/>
        <c:crossBetween val="between"/>
      </c:valAx>
    </c:plotArea>
    <c:legend>
      <c:legendPos val="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tx>
            <c:strRef>
              <c:f>List1!$B$1</c:f>
              <c:strCache>
                <c:ptCount val="1"/>
                <c:pt idx="0">
                  <c:v>Zásob</c:v>
                </c:pt>
              </c:strCache>
            </c:strRef>
          </c:tx>
          <c:spPr>
            <a:ln>
              <a:solidFill>
                <a:srgbClr val="92D050"/>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56.63</c:v>
                </c:pt>
                <c:pt idx="1">
                  <c:v>72.319999999999993</c:v>
                </c:pt>
                <c:pt idx="2">
                  <c:v>71.09</c:v>
                </c:pt>
                <c:pt idx="3">
                  <c:v>65.179999999999978</c:v>
                </c:pt>
                <c:pt idx="4">
                  <c:v>62.83</c:v>
                </c:pt>
                <c:pt idx="5">
                  <c:v>58</c:v>
                </c:pt>
                <c:pt idx="6">
                  <c:v>60.93</c:v>
                </c:pt>
                <c:pt idx="7">
                  <c:v>66.649999999999991</c:v>
                </c:pt>
              </c:numCache>
            </c:numRef>
          </c:val>
        </c:ser>
        <c:ser>
          <c:idx val="1"/>
          <c:order val="1"/>
          <c:tx>
            <c:strRef>
              <c:f>List1!$C$1</c:f>
              <c:strCache>
                <c:ptCount val="1"/>
                <c:pt idx="0">
                  <c:v>Pohledávek</c:v>
                </c:pt>
              </c:strCache>
            </c:strRef>
          </c:tx>
          <c:spPr>
            <a:ln>
              <a:solidFill>
                <a:schemeClr val="tx2">
                  <a:lumMod val="60000"/>
                  <a:lumOff val="40000"/>
                </a:schemeClr>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56.9</c:v>
                </c:pt>
                <c:pt idx="1">
                  <c:v>51.71</c:v>
                </c:pt>
                <c:pt idx="2">
                  <c:v>24</c:v>
                </c:pt>
                <c:pt idx="3">
                  <c:v>31.14</c:v>
                </c:pt>
                <c:pt idx="4">
                  <c:v>41.3</c:v>
                </c:pt>
                <c:pt idx="5">
                  <c:v>27.91</c:v>
                </c:pt>
                <c:pt idx="6">
                  <c:v>25.12</c:v>
                </c:pt>
                <c:pt idx="7">
                  <c:v>32.340000000000003</c:v>
                </c:pt>
              </c:numCache>
            </c:numRef>
          </c:val>
        </c:ser>
        <c:ser>
          <c:idx val="2"/>
          <c:order val="2"/>
          <c:tx>
            <c:strRef>
              <c:f>List1!$D$1</c:f>
              <c:strCache>
                <c:ptCount val="1"/>
                <c:pt idx="0">
                  <c:v>Závazků</c:v>
                </c:pt>
              </c:strCache>
            </c:strRef>
          </c:tx>
          <c:spPr>
            <a:ln>
              <a:solidFill>
                <a:schemeClr val="accent4">
                  <a:lumMod val="60000"/>
                  <a:lumOff val="40000"/>
                </a:schemeClr>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138.44999999999999</c:v>
                </c:pt>
                <c:pt idx="1">
                  <c:v>67.33</c:v>
                </c:pt>
                <c:pt idx="2">
                  <c:v>60.86</c:v>
                </c:pt>
                <c:pt idx="3">
                  <c:v>55.59</c:v>
                </c:pt>
                <c:pt idx="4">
                  <c:v>85.210000000000022</c:v>
                </c:pt>
                <c:pt idx="5">
                  <c:v>81.52</c:v>
                </c:pt>
                <c:pt idx="6">
                  <c:v>59.46</c:v>
                </c:pt>
                <c:pt idx="7">
                  <c:v>64.14</c:v>
                </c:pt>
              </c:numCache>
            </c:numRef>
          </c:val>
        </c:ser>
        <c:marker val="1"/>
        <c:axId val="121825920"/>
        <c:axId val="122024320"/>
      </c:lineChart>
      <c:catAx>
        <c:axId val="121825920"/>
        <c:scaling>
          <c:orientation val="minMax"/>
        </c:scaling>
        <c:axPos val="b"/>
        <c:numFmt formatCode="General" sourceLinked="1"/>
        <c:tickLblPos val="nextTo"/>
        <c:crossAx val="122024320"/>
        <c:crosses val="autoZero"/>
        <c:auto val="1"/>
        <c:lblAlgn val="ctr"/>
        <c:lblOffset val="100"/>
      </c:catAx>
      <c:valAx>
        <c:axId val="122024320"/>
        <c:scaling>
          <c:orientation val="minMax"/>
        </c:scaling>
        <c:axPos val="l"/>
        <c:majorGridlines/>
        <c:numFmt formatCode="General" sourceLinked="1"/>
        <c:tickLblPos val="nextTo"/>
        <c:crossAx val="121825920"/>
        <c:crosses val="autoZero"/>
        <c:crossBetween val="between"/>
      </c:valAx>
    </c:plotArea>
    <c:legend>
      <c:legendPos val="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tx>
            <c:strRef>
              <c:f>List1!$B$1</c:f>
              <c:strCache>
                <c:ptCount val="1"/>
                <c:pt idx="0">
                  <c:v>Běžná</c:v>
                </c:pt>
              </c:strCache>
            </c:strRef>
          </c:tx>
          <c:spPr>
            <a:ln>
              <a:solidFill>
                <a:srgbClr val="8EB4E3"/>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List1!$B$2:$B$9</c:f>
              <c:numCache>
                <c:formatCode>General</c:formatCode>
                <c:ptCount val="8"/>
                <c:pt idx="0">
                  <c:v>1.01</c:v>
                </c:pt>
                <c:pt idx="1">
                  <c:v>1.87</c:v>
                </c:pt>
                <c:pt idx="2">
                  <c:v>1.8</c:v>
                </c:pt>
                <c:pt idx="3">
                  <c:v>1.9900000000000133</c:v>
                </c:pt>
                <c:pt idx="4">
                  <c:v>1.53</c:v>
                </c:pt>
                <c:pt idx="5">
                  <c:v>1.56</c:v>
                </c:pt>
                <c:pt idx="6">
                  <c:v>1.9500000000000119</c:v>
                </c:pt>
                <c:pt idx="7">
                  <c:v>2</c:v>
                </c:pt>
              </c:numCache>
            </c:numRef>
          </c:val>
        </c:ser>
        <c:ser>
          <c:idx val="1"/>
          <c:order val="1"/>
          <c:tx>
            <c:strRef>
              <c:f>List1!$C$1</c:f>
              <c:strCache>
                <c:ptCount val="1"/>
                <c:pt idx="0">
                  <c:v>Pohotová</c:v>
                </c:pt>
              </c:strCache>
            </c:strRef>
          </c:tx>
          <c:spPr>
            <a:ln>
              <a:solidFill>
                <a:srgbClr val="B3A2C7"/>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List1!$C$2:$C$9</c:f>
              <c:numCache>
                <c:formatCode>General</c:formatCode>
                <c:ptCount val="8"/>
                <c:pt idx="0">
                  <c:v>0.43000000000000038</c:v>
                </c:pt>
                <c:pt idx="1">
                  <c:v>0.79</c:v>
                </c:pt>
                <c:pt idx="2">
                  <c:v>0.52</c:v>
                </c:pt>
                <c:pt idx="3">
                  <c:v>0.82000000000000062</c:v>
                </c:pt>
                <c:pt idx="4">
                  <c:v>0.78</c:v>
                </c:pt>
                <c:pt idx="5">
                  <c:v>0.84000000000000064</c:v>
                </c:pt>
                <c:pt idx="6">
                  <c:v>0.92</c:v>
                </c:pt>
                <c:pt idx="7">
                  <c:v>0.96000000000000063</c:v>
                </c:pt>
              </c:numCache>
            </c:numRef>
          </c:val>
        </c:ser>
        <c:ser>
          <c:idx val="2"/>
          <c:order val="2"/>
          <c:tx>
            <c:strRef>
              <c:f>List1!$D$1</c:f>
              <c:strCache>
                <c:ptCount val="1"/>
                <c:pt idx="0">
                  <c:v>Peněžní</c:v>
                </c:pt>
              </c:strCache>
            </c:strRef>
          </c:tx>
          <c:spPr>
            <a:ln>
              <a:solidFill>
                <a:srgbClr val="92D050"/>
              </a:solidFill>
            </a:ln>
          </c:spPr>
          <c:marker>
            <c:symbol val="none"/>
          </c:marker>
          <c:cat>
            <c:numRef>
              <c:f>List1!$A$2:$A$9</c:f>
              <c:numCache>
                <c:formatCode>General</c:formatCode>
                <c:ptCount val="8"/>
                <c:pt idx="0">
                  <c:v>2003</c:v>
                </c:pt>
                <c:pt idx="1">
                  <c:v>2004</c:v>
                </c:pt>
                <c:pt idx="2">
                  <c:v>2005</c:v>
                </c:pt>
                <c:pt idx="3">
                  <c:v>2006</c:v>
                </c:pt>
                <c:pt idx="4">
                  <c:v>2007</c:v>
                </c:pt>
                <c:pt idx="5">
                  <c:v>2008</c:v>
                </c:pt>
                <c:pt idx="6">
                  <c:v>2009</c:v>
                </c:pt>
                <c:pt idx="7">
                  <c:v>2010</c:v>
                </c:pt>
              </c:numCache>
            </c:numRef>
          </c:cat>
          <c:val>
            <c:numRef>
              <c:f>List1!$D$2:$D$9</c:f>
              <c:numCache>
                <c:formatCode>General</c:formatCode>
                <c:ptCount val="8"/>
                <c:pt idx="0">
                  <c:v>1.0000000000000005E-2</c:v>
                </c:pt>
                <c:pt idx="1">
                  <c:v>2.0000000000000011E-2</c:v>
                </c:pt>
                <c:pt idx="2">
                  <c:v>0.13</c:v>
                </c:pt>
                <c:pt idx="3">
                  <c:v>0.26</c:v>
                </c:pt>
                <c:pt idx="4">
                  <c:v>0.29000000000000031</c:v>
                </c:pt>
                <c:pt idx="5">
                  <c:v>0.5</c:v>
                </c:pt>
                <c:pt idx="6">
                  <c:v>0.5</c:v>
                </c:pt>
                <c:pt idx="7">
                  <c:v>0.45</c:v>
                </c:pt>
              </c:numCache>
            </c:numRef>
          </c:val>
        </c:ser>
        <c:marker val="1"/>
        <c:axId val="122172544"/>
        <c:axId val="122174080"/>
      </c:lineChart>
      <c:catAx>
        <c:axId val="122172544"/>
        <c:scaling>
          <c:orientation val="minMax"/>
        </c:scaling>
        <c:axPos val="b"/>
        <c:numFmt formatCode="General" sourceLinked="1"/>
        <c:tickLblPos val="nextTo"/>
        <c:crossAx val="122174080"/>
        <c:crosses val="autoZero"/>
        <c:auto val="1"/>
        <c:lblAlgn val="ctr"/>
        <c:lblOffset val="100"/>
      </c:catAx>
      <c:valAx>
        <c:axId val="122174080"/>
        <c:scaling>
          <c:orientation val="minMax"/>
        </c:scaling>
        <c:axPos val="l"/>
        <c:majorGridlines/>
        <c:numFmt formatCode="General" sourceLinked="1"/>
        <c:tickLblPos val="nextTo"/>
        <c:crossAx val="122172544"/>
        <c:crosses val="autoZero"/>
        <c:crossBetween val="between"/>
      </c:valAx>
    </c:plotArea>
    <c:legend>
      <c:legendPos val="r"/>
    </c:legend>
    <c:plotVisOnly val="1"/>
  </c:chart>
  <c:externalData r:id="rId1"/>
</c:chartSpac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Kov95</b:Tag>
    <b:SourceType>Book</b:SourceType>
    <b:Guid>{2846E8BE-362F-4119-8574-475A844F9F0F}</b:Guid>
    <b:LCID>0</b:LCID>
    <b:Author>
      <b:Author>
        <b:NameList>
          <b:Person>
            <b:Last>Kovanicová</b:Last>
            <b:First>Dana</b:First>
          </b:Person>
          <b:Person>
            <b:Last>Kovanic</b:Last>
            <b:First>Pavel</b:First>
          </b:Person>
        </b:NameList>
      </b:Author>
    </b:Author>
    <b:Title>Poklady skryté v účetnictví</b:Title>
    <b:Year>1995</b:Year>
    <b:City>Praha</b:City>
    <b:Publisher>Polygon</b:Publisher>
    <b:RefOrder>1</b:RefOrder>
  </b:Source>
</b:Sources>
</file>

<file path=customXml/itemProps1.xml><?xml version="1.0" encoding="utf-8"?>
<ds:datastoreItem xmlns:ds="http://schemas.openxmlformats.org/officeDocument/2006/customXml" ds:itemID="{8805D02F-20B7-4294-8478-CDA72A5DA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53</Pages>
  <Words>13424</Words>
  <Characters>79205</Characters>
  <Application>Microsoft Office Word</Application>
  <DocSecurity>0</DocSecurity>
  <Lines>660</Lines>
  <Paragraphs>184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Finanční měření konkurenceschopnosti podniku</vt:lpstr>
      <vt:lpstr>Finanční měření konkurenceschopnosti podniku</vt:lpstr>
    </vt:vector>
  </TitlesOfParts>
  <Company>Hewlett-Packard</Company>
  <LinksUpToDate>false</LinksUpToDate>
  <CharactersWithSpaces>92445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Finanční měření konkurenceschopnosti podniku</dc:title>
  <dc:creator>Michal Boháč</dc:creator>
  <cp:lastModifiedBy>HP</cp:lastModifiedBy>
  <cp:revision>120</cp:revision>
  <dcterms:created xsi:type="dcterms:W3CDTF">2012-03-12T00:59:00Z</dcterms:created>
  <dcterms:modified xsi:type="dcterms:W3CDTF">2012-05-16T15:52:00Z</dcterms:modified>
</cp:coreProperties>
</file>