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C9485C" w14:textId="77777777" w:rsidR="00105E47" w:rsidRDefault="00105E47" w:rsidP="00105E47">
      <w:pPr>
        <w:jc w:val="center"/>
        <w:rPr>
          <w:b/>
          <w:sz w:val="44"/>
          <w:szCs w:val="44"/>
        </w:rPr>
      </w:pPr>
      <w:r>
        <w:rPr>
          <w:b/>
          <w:sz w:val="44"/>
          <w:szCs w:val="44"/>
        </w:rPr>
        <w:t>MASARYKOVA UNIVERZITA</w:t>
      </w:r>
    </w:p>
    <w:p w14:paraId="12E9A739" w14:textId="77777777" w:rsidR="00105E47" w:rsidRDefault="00105E47" w:rsidP="00105E47">
      <w:pPr>
        <w:jc w:val="center"/>
        <w:rPr>
          <w:b/>
          <w:sz w:val="44"/>
          <w:szCs w:val="44"/>
        </w:rPr>
      </w:pPr>
      <w:r>
        <w:rPr>
          <w:b/>
          <w:sz w:val="44"/>
          <w:szCs w:val="44"/>
        </w:rPr>
        <w:t>FAKULTA SOCIÁLNÍCH STUDIÍ</w:t>
      </w:r>
    </w:p>
    <w:p w14:paraId="28C0F938" w14:textId="77777777" w:rsidR="00105E47" w:rsidRDefault="00105E47" w:rsidP="00105E47">
      <w:pPr>
        <w:jc w:val="center"/>
        <w:rPr>
          <w:b/>
          <w:sz w:val="44"/>
          <w:szCs w:val="44"/>
        </w:rPr>
      </w:pPr>
      <w:r>
        <w:rPr>
          <w:b/>
          <w:sz w:val="44"/>
          <w:szCs w:val="44"/>
        </w:rPr>
        <w:t>KATEDRA POLITOLOGIE</w:t>
      </w:r>
    </w:p>
    <w:p w14:paraId="0E25A613" w14:textId="77777777" w:rsidR="00105E47" w:rsidRDefault="00105E47" w:rsidP="00105E47">
      <w:pPr>
        <w:jc w:val="center"/>
      </w:pPr>
    </w:p>
    <w:p w14:paraId="5560DA61" w14:textId="6BD551F4" w:rsidR="00105E47" w:rsidRDefault="00105E47" w:rsidP="00105E47">
      <w:pPr>
        <w:jc w:val="center"/>
      </w:pPr>
      <w:r>
        <w:rPr>
          <w:noProof/>
          <w:lang w:val="en-US"/>
        </w:rPr>
        <w:drawing>
          <wp:inline distT="0" distB="0" distL="0" distR="0" wp14:anchorId="0FB17B06" wp14:editId="04988FE7">
            <wp:extent cx="1005840" cy="1005840"/>
            <wp:effectExtent l="0" t="0" r="3810" b="381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5840" cy="1005840"/>
                    </a:xfrm>
                    <a:prstGeom prst="rect">
                      <a:avLst/>
                    </a:prstGeom>
                    <a:solidFill>
                      <a:srgbClr val="FFFFFF"/>
                    </a:solidFill>
                    <a:ln>
                      <a:noFill/>
                    </a:ln>
                  </pic:spPr>
                </pic:pic>
              </a:graphicData>
            </a:graphic>
          </wp:inline>
        </w:drawing>
      </w:r>
    </w:p>
    <w:p w14:paraId="7FA68CE8" w14:textId="77777777" w:rsidR="00105E47" w:rsidRDefault="00105E47" w:rsidP="00105E47">
      <w:pPr>
        <w:jc w:val="center"/>
      </w:pPr>
    </w:p>
    <w:p w14:paraId="1F152E24" w14:textId="40C1F043" w:rsidR="00105E47" w:rsidRDefault="00105E47" w:rsidP="00105E47"/>
    <w:p w14:paraId="0A97E64F" w14:textId="77777777" w:rsidR="00105E47" w:rsidRDefault="00105E47" w:rsidP="00105E47">
      <w:pPr>
        <w:jc w:val="center"/>
      </w:pPr>
    </w:p>
    <w:p w14:paraId="006B2644" w14:textId="77777777" w:rsidR="00105E47" w:rsidRDefault="00105E47" w:rsidP="00105E47">
      <w:pPr>
        <w:jc w:val="center"/>
      </w:pPr>
    </w:p>
    <w:p w14:paraId="2934444C" w14:textId="022BF6CE" w:rsidR="00105E47" w:rsidRDefault="00105E47" w:rsidP="00105E47">
      <w:pPr>
        <w:jc w:val="center"/>
        <w:rPr>
          <w:sz w:val="28"/>
          <w:szCs w:val="28"/>
        </w:rPr>
      </w:pPr>
      <w:r>
        <w:rPr>
          <w:sz w:val="28"/>
          <w:szCs w:val="28"/>
        </w:rPr>
        <w:t>Příčiny konfliktu mezi indickou vládou a hnutím nakšalitů</w:t>
      </w:r>
    </w:p>
    <w:p w14:paraId="210C84A7" w14:textId="6B0B3D1C" w:rsidR="00105E47" w:rsidRDefault="00105E47" w:rsidP="00105E47">
      <w:pPr>
        <w:jc w:val="center"/>
        <w:rPr>
          <w:sz w:val="28"/>
          <w:szCs w:val="28"/>
        </w:rPr>
      </w:pPr>
      <w:r>
        <w:rPr>
          <w:sz w:val="28"/>
          <w:szCs w:val="28"/>
        </w:rPr>
        <w:t>Bakalářská práce</w:t>
      </w:r>
    </w:p>
    <w:p w14:paraId="7849CE19" w14:textId="77777777" w:rsidR="00105E47" w:rsidRDefault="00105E47" w:rsidP="00105E47">
      <w:pPr>
        <w:jc w:val="center"/>
      </w:pPr>
    </w:p>
    <w:p w14:paraId="42748BF5" w14:textId="376FFC93" w:rsidR="00105E47" w:rsidRDefault="00105E47" w:rsidP="00105E47">
      <w:pPr>
        <w:jc w:val="center"/>
        <w:rPr>
          <w:sz w:val="32"/>
          <w:szCs w:val="32"/>
        </w:rPr>
      </w:pPr>
      <w:r>
        <w:rPr>
          <w:sz w:val="32"/>
          <w:szCs w:val="32"/>
        </w:rPr>
        <w:t>Petr Fena</w:t>
      </w:r>
    </w:p>
    <w:p w14:paraId="0C2A0369" w14:textId="77777777" w:rsidR="00105E47" w:rsidRDefault="00105E47" w:rsidP="00105E47"/>
    <w:p w14:paraId="58B84884" w14:textId="6BA7DFFA" w:rsidR="00105E47" w:rsidRDefault="00105E47" w:rsidP="00105E47"/>
    <w:p w14:paraId="22485AEF" w14:textId="77777777" w:rsidR="00105E47" w:rsidRDefault="00105E47" w:rsidP="00105E47"/>
    <w:p w14:paraId="30C2E37A" w14:textId="77777777" w:rsidR="00105E47" w:rsidRDefault="00105E47" w:rsidP="00105E47"/>
    <w:p w14:paraId="3F9D7E1C" w14:textId="77777777" w:rsidR="00105E47" w:rsidRDefault="00105E47" w:rsidP="00105E47"/>
    <w:p w14:paraId="17FBDA41" w14:textId="450B61C6" w:rsidR="00105E47" w:rsidRDefault="00105E47" w:rsidP="00105E47">
      <w:pPr>
        <w:rPr>
          <w:sz w:val="28"/>
          <w:szCs w:val="28"/>
        </w:rPr>
      </w:pPr>
      <w:r>
        <w:rPr>
          <w:b/>
          <w:sz w:val="28"/>
          <w:szCs w:val="28"/>
        </w:rPr>
        <w:t xml:space="preserve">Vedoucí práce: </w:t>
      </w:r>
      <w:r w:rsidRPr="00105E47">
        <w:rPr>
          <w:sz w:val="28"/>
          <w:szCs w:val="28"/>
        </w:rPr>
        <w:t>Mgr. Tomáš Šmíd, Ph.D.</w:t>
      </w:r>
    </w:p>
    <w:p w14:paraId="33F0C089" w14:textId="33CDDF9F" w:rsidR="00105E47" w:rsidRDefault="00105E47" w:rsidP="00105E47">
      <w:pPr>
        <w:rPr>
          <w:sz w:val="28"/>
          <w:szCs w:val="28"/>
        </w:rPr>
      </w:pPr>
      <w:r>
        <w:rPr>
          <w:b/>
          <w:sz w:val="28"/>
          <w:szCs w:val="28"/>
        </w:rPr>
        <w:t>UČO:</w:t>
      </w:r>
      <w:r>
        <w:rPr>
          <w:sz w:val="28"/>
          <w:szCs w:val="28"/>
        </w:rPr>
        <w:t xml:space="preserve"> 423196</w:t>
      </w:r>
    </w:p>
    <w:p w14:paraId="36172834" w14:textId="5B82F536" w:rsidR="00105E47" w:rsidRDefault="00105E47" w:rsidP="00105E47">
      <w:pPr>
        <w:rPr>
          <w:sz w:val="28"/>
          <w:szCs w:val="28"/>
        </w:rPr>
      </w:pPr>
      <w:r>
        <w:rPr>
          <w:b/>
          <w:sz w:val="28"/>
          <w:szCs w:val="28"/>
        </w:rPr>
        <w:t xml:space="preserve">Obor: </w:t>
      </w:r>
      <w:r>
        <w:rPr>
          <w:sz w:val="28"/>
          <w:szCs w:val="28"/>
        </w:rPr>
        <w:t>Politologie -</w:t>
      </w:r>
      <w:r>
        <w:rPr>
          <w:b/>
          <w:sz w:val="28"/>
          <w:szCs w:val="28"/>
        </w:rPr>
        <w:t xml:space="preserve"> </w:t>
      </w:r>
      <w:r>
        <w:rPr>
          <w:sz w:val="28"/>
          <w:szCs w:val="28"/>
        </w:rPr>
        <w:t>Bezpečnostní a strategická studia</w:t>
      </w:r>
    </w:p>
    <w:p w14:paraId="316E23F7" w14:textId="4DE25142" w:rsidR="00105E47" w:rsidRDefault="00105E47" w:rsidP="00105E47">
      <w:pPr>
        <w:rPr>
          <w:sz w:val="28"/>
          <w:szCs w:val="28"/>
        </w:rPr>
      </w:pPr>
      <w:r>
        <w:rPr>
          <w:b/>
          <w:sz w:val="28"/>
          <w:szCs w:val="28"/>
        </w:rPr>
        <w:t xml:space="preserve">Imatrikulační ročník: </w:t>
      </w:r>
      <w:r>
        <w:rPr>
          <w:sz w:val="28"/>
          <w:szCs w:val="28"/>
        </w:rPr>
        <w:t>2013</w:t>
      </w:r>
    </w:p>
    <w:p w14:paraId="696682BC" w14:textId="77777777" w:rsidR="00105E47" w:rsidRDefault="00105E47" w:rsidP="00105E47"/>
    <w:p w14:paraId="46F9976B" w14:textId="66A0295D" w:rsidR="0068021E" w:rsidRPr="0068021E" w:rsidRDefault="00841EA3" w:rsidP="0068021E">
      <w:pPr>
        <w:spacing w:line="360" w:lineRule="auto"/>
        <w:jc w:val="right"/>
        <w:rPr>
          <w:b/>
          <w:bCs/>
          <w:sz w:val="28"/>
          <w:szCs w:val="28"/>
        </w:rPr>
      </w:pPr>
      <w:r>
        <w:rPr>
          <w:b/>
          <w:bCs/>
          <w:sz w:val="28"/>
          <w:szCs w:val="28"/>
        </w:rPr>
        <w:t>Brno, 2017</w:t>
      </w:r>
      <w:r w:rsidR="0068021E">
        <w:rPr>
          <w:rFonts w:ascii="Times New Roman" w:hAnsi="Times New Roman" w:cs="Times New Roman"/>
          <w:b/>
          <w:sz w:val="24"/>
          <w:szCs w:val="24"/>
        </w:rPr>
        <w:br w:type="page"/>
      </w:r>
    </w:p>
    <w:p w14:paraId="013FCA7A" w14:textId="77777777" w:rsidR="0068021E" w:rsidRPr="0068021E" w:rsidRDefault="0068021E" w:rsidP="0068021E">
      <w:pPr>
        <w:spacing w:line="360" w:lineRule="auto"/>
        <w:rPr>
          <w:rFonts w:ascii="Times New Roman" w:hAnsi="Times New Roman" w:cs="Times New Roman"/>
          <w:b/>
          <w:sz w:val="24"/>
          <w:szCs w:val="24"/>
        </w:rPr>
      </w:pPr>
    </w:p>
    <w:p w14:paraId="07476A9D" w14:textId="77777777" w:rsidR="0068021E" w:rsidRPr="0068021E" w:rsidRDefault="0068021E" w:rsidP="0068021E">
      <w:pPr>
        <w:spacing w:line="360" w:lineRule="auto"/>
        <w:rPr>
          <w:rFonts w:ascii="Times New Roman" w:hAnsi="Times New Roman" w:cs="Times New Roman"/>
          <w:b/>
        </w:rPr>
      </w:pPr>
    </w:p>
    <w:p w14:paraId="59D1B6AB" w14:textId="77777777" w:rsidR="0068021E" w:rsidRPr="0068021E" w:rsidRDefault="0068021E" w:rsidP="0068021E">
      <w:pPr>
        <w:spacing w:line="360" w:lineRule="auto"/>
        <w:rPr>
          <w:rFonts w:ascii="Times New Roman" w:hAnsi="Times New Roman" w:cs="Times New Roman"/>
          <w:b/>
        </w:rPr>
      </w:pPr>
    </w:p>
    <w:p w14:paraId="5D5994D9" w14:textId="77777777" w:rsidR="0068021E" w:rsidRPr="0068021E" w:rsidRDefault="0068021E" w:rsidP="0068021E">
      <w:pPr>
        <w:spacing w:line="360" w:lineRule="auto"/>
        <w:rPr>
          <w:rFonts w:ascii="Times New Roman" w:hAnsi="Times New Roman" w:cs="Times New Roman"/>
          <w:b/>
        </w:rPr>
      </w:pPr>
    </w:p>
    <w:p w14:paraId="50B03F5E" w14:textId="77777777" w:rsidR="0068021E" w:rsidRPr="0068021E" w:rsidRDefault="0068021E" w:rsidP="0068021E">
      <w:pPr>
        <w:spacing w:line="360" w:lineRule="auto"/>
        <w:rPr>
          <w:rFonts w:ascii="Times New Roman" w:hAnsi="Times New Roman" w:cs="Times New Roman"/>
          <w:b/>
        </w:rPr>
      </w:pPr>
    </w:p>
    <w:p w14:paraId="147BE0A1" w14:textId="77777777" w:rsidR="0068021E" w:rsidRPr="0068021E" w:rsidRDefault="0068021E" w:rsidP="0068021E">
      <w:pPr>
        <w:spacing w:line="360" w:lineRule="auto"/>
        <w:rPr>
          <w:rFonts w:ascii="Times New Roman" w:hAnsi="Times New Roman" w:cs="Times New Roman"/>
          <w:b/>
        </w:rPr>
      </w:pPr>
    </w:p>
    <w:p w14:paraId="6F652E0B" w14:textId="77777777" w:rsidR="0068021E" w:rsidRPr="0068021E" w:rsidRDefault="0068021E" w:rsidP="0068021E">
      <w:pPr>
        <w:spacing w:line="360" w:lineRule="auto"/>
        <w:rPr>
          <w:rFonts w:ascii="Times New Roman" w:hAnsi="Times New Roman" w:cs="Times New Roman"/>
          <w:b/>
        </w:rPr>
      </w:pPr>
    </w:p>
    <w:p w14:paraId="17A4469F" w14:textId="77777777" w:rsidR="0068021E" w:rsidRPr="0068021E" w:rsidRDefault="0068021E" w:rsidP="0068021E">
      <w:pPr>
        <w:spacing w:line="360" w:lineRule="auto"/>
        <w:rPr>
          <w:rFonts w:ascii="Times New Roman" w:hAnsi="Times New Roman" w:cs="Times New Roman"/>
          <w:b/>
        </w:rPr>
      </w:pPr>
    </w:p>
    <w:p w14:paraId="14360786" w14:textId="77777777" w:rsidR="0068021E" w:rsidRPr="0068021E" w:rsidRDefault="0068021E" w:rsidP="0068021E">
      <w:pPr>
        <w:spacing w:line="360" w:lineRule="auto"/>
        <w:rPr>
          <w:rFonts w:ascii="Times New Roman" w:hAnsi="Times New Roman" w:cs="Times New Roman"/>
          <w:b/>
        </w:rPr>
      </w:pPr>
    </w:p>
    <w:p w14:paraId="77CB5746" w14:textId="77777777" w:rsidR="0068021E" w:rsidRPr="0068021E" w:rsidRDefault="0068021E" w:rsidP="0068021E">
      <w:pPr>
        <w:spacing w:line="360" w:lineRule="auto"/>
        <w:rPr>
          <w:rFonts w:ascii="Times New Roman" w:hAnsi="Times New Roman" w:cs="Times New Roman"/>
          <w:b/>
        </w:rPr>
      </w:pPr>
    </w:p>
    <w:p w14:paraId="4EE01017" w14:textId="77777777" w:rsidR="0068021E" w:rsidRPr="0068021E" w:rsidRDefault="0068021E" w:rsidP="0068021E">
      <w:pPr>
        <w:spacing w:line="360" w:lineRule="auto"/>
        <w:rPr>
          <w:rFonts w:ascii="Times New Roman" w:hAnsi="Times New Roman" w:cs="Times New Roman"/>
          <w:b/>
        </w:rPr>
      </w:pPr>
    </w:p>
    <w:p w14:paraId="04D61F58" w14:textId="77777777" w:rsidR="0068021E" w:rsidRPr="0068021E" w:rsidRDefault="0068021E" w:rsidP="0068021E">
      <w:pPr>
        <w:spacing w:line="360" w:lineRule="auto"/>
        <w:rPr>
          <w:rFonts w:ascii="Times New Roman" w:hAnsi="Times New Roman" w:cs="Times New Roman"/>
          <w:b/>
        </w:rPr>
      </w:pPr>
    </w:p>
    <w:p w14:paraId="257D3668" w14:textId="77777777" w:rsidR="0068021E" w:rsidRPr="0068021E" w:rsidRDefault="0068021E" w:rsidP="0068021E">
      <w:pPr>
        <w:spacing w:line="360" w:lineRule="auto"/>
        <w:rPr>
          <w:rFonts w:ascii="Times New Roman" w:hAnsi="Times New Roman" w:cs="Times New Roman"/>
          <w:b/>
        </w:rPr>
      </w:pPr>
    </w:p>
    <w:p w14:paraId="4F9CF98A" w14:textId="77777777" w:rsidR="0068021E" w:rsidRPr="0068021E" w:rsidRDefault="0068021E" w:rsidP="0068021E">
      <w:pPr>
        <w:spacing w:line="360" w:lineRule="auto"/>
        <w:rPr>
          <w:rFonts w:ascii="Times New Roman" w:hAnsi="Times New Roman" w:cs="Times New Roman"/>
          <w:b/>
        </w:rPr>
      </w:pPr>
    </w:p>
    <w:p w14:paraId="541E0118" w14:textId="77777777" w:rsidR="0068021E" w:rsidRPr="0068021E" w:rsidRDefault="0068021E" w:rsidP="0068021E">
      <w:pPr>
        <w:spacing w:line="360" w:lineRule="auto"/>
        <w:rPr>
          <w:rFonts w:ascii="Times New Roman" w:hAnsi="Times New Roman" w:cs="Times New Roman"/>
          <w:b/>
        </w:rPr>
      </w:pPr>
    </w:p>
    <w:p w14:paraId="1E1CC705" w14:textId="77777777" w:rsidR="0068021E" w:rsidRPr="0068021E" w:rsidRDefault="0068021E" w:rsidP="0068021E">
      <w:pPr>
        <w:spacing w:line="360" w:lineRule="auto"/>
        <w:rPr>
          <w:rFonts w:ascii="Times New Roman" w:hAnsi="Times New Roman" w:cs="Times New Roman"/>
          <w:b/>
        </w:rPr>
      </w:pPr>
    </w:p>
    <w:p w14:paraId="510BC15D" w14:textId="77777777" w:rsidR="0068021E" w:rsidRPr="0068021E" w:rsidRDefault="0068021E" w:rsidP="0068021E">
      <w:pPr>
        <w:spacing w:line="360" w:lineRule="auto"/>
        <w:rPr>
          <w:rFonts w:ascii="Times New Roman" w:hAnsi="Times New Roman" w:cs="Times New Roman"/>
          <w:b/>
        </w:rPr>
      </w:pPr>
    </w:p>
    <w:p w14:paraId="4B05EF9D" w14:textId="77777777" w:rsidR="0068021E" w:rsidRPr="0068021E" w:rsidRDefault="0068021E" w:rsidP="0068021E">
      <w:pPr>
        <w:spacing w:line="360" w:lineRule="auto"/>
        <w:rPr>
          <w:rFonts w:ascii="Times New Roman" w:hAnsi="Times New Roman" w:cs="Times New Roman"/>
          <w:b/>
        </w:rPr>
      </w:pPr>
    </w:p>
    <w:p w14:paraId="6C3B52F0" w14:textId="7032C700" w:rsidR="0068021E" w:rsidRPr="0068021E" w:rsidRDefault="0068021E" w:rsidP="0068021E">
      <w:pPr>
        <w:spacing w:line="360" w:lineRule="auto"/>
        <w:rPr>
          <w:rFonts w:ascii="Times New Roman" w:hAnsi="Times New Roman" w:cs="Times New Roman"/>
          <w:b/>
        </w:rPr>
      </w:pPr>
      <w:r w:rsidRPr="0068021E">
        <w:rPr>
          <w:rFonts w:ascii="Times New Roman" w:hAnsi="Times New Roman" w:cs="Times New Roman"/>
          <w:b/>
        </w:rPr>
        <w:t>Prohlášení</w:t>
      </w:r>
    </w:p>
    <w:p w14:paraId="3AE9A3B8" w14:textId="2E75C3DB" w:rsidR="0068021E" w:rsidRPr="0068021E" w:rsidRDefault="0068021E" w:rsidP="0068021E">
      <w:pPr>
        <w:spacing w:line="360" w:lineRule="auto"/>
        <w:jc w:val="both"/>
        <w:rPr>
          <w:rFonts w:ascii="Times New Roman" w:hAnsi="Times New Roman" w:cs="Times New Roman"/>
        </w:rPr>
      </w:pPr>
      <w:r w:rsidRPr="0068021E">
        <w:rPr>
          <w:rFonts w:ascii="Times New Roman" w:hAnsi="Times New Roman" w:cs="Times New Roman"/>
        </w:rPr>
        <w:t xml:space="preserve">Prohlašuji, že jsem tuto bakalářskou práci vypracoval samostatně pod vedením Mgr. Tomáše Šmída, Ph.D. a na základě zdrojů uvedených v seznamu. </w:t>
      </w:r>
    </w:p>
    <w:p w14:paraId="303A9E4A" w14:textId="77777777" w:rsidR="0068021E" w:rsidRPr="0068021E" w:rsidRDefault="0068021E" w:rsidP="0068021E">
      <w:pPr>
        <w:spacing w:line="360" w:lineRule="auto"/>
        <w:rPr>
          <w:rFonts w:ascii="Times New Roman" w:hAnsi="Times New Roman" w:cs="Times New Roman"/>
        </w:rPr>
      </w:pPr>
    </w:p>
    <w:p w14:paraId="53D74B8E" w14:textId="77777777" w:rsidR="0068021E" w:rsidRPr="0068021E" w:rsidRDefault="0068021E" w:rsidP="0068021E">
      <w:pPr>
        <w:spacing w:line="360" w:lineRule="auto"/>
        <w:rPr>
          <w:rFonts w:ascii="Times New Roman" w:hAnsi="Times New Roman" w:cs="Times New Roman"/>
        </w:rPr>
      </w:pPr>
    </w:p>
    <w:p w14:paraId="057A7C27" w14:textId="064D48BF" w:rsidR="0068021E" w:rsidRPr="0068021E" w:rsidRDefault="0068021E" w:rsidP="0068021E">
      <w:pPr>
        <w:spacing w:line="360" w:lineRule="auto"/>
        <w:jc w:val="right"/>
        <w:rPr>
          <w:rFonts w:ascii="Times New Roman" w:hAnsi="Times New Roman" w:cs="Times New Roman"/>
          <w:b/>
        </w:rPr>
      </w:pPr>
      <w:r w:rsidRPr="0068021E">
        <w:rPr>
          <w:rFonts w:ascii="Times New Roman" w:hAnsi="Times New Roman" w:cs="Times New Roman"/>
        </w:rPr>
        <w:t>V Brně dne 3.1. 2017</w:t>
      </w:r>
      <w:r w:rsidRPr="0068021E">
        <w:rPr>
          <w:rFonts w:ascii="Times New Roman" w:hAnsi="Times New Roman" w:cs="Times New Roman"/>
        </w:rPr>
        <w:tab/>
      </w:r>
      <w:r w:rsidRPr="0068021E">
        <w:rPr>
          <w:rFonts w:ascii="Times New Roman" w:hAnsi="Times New Roman" w:cs="Times New Roman"/>
        </w:rPr>
        <w:tab/>
      </w:r>
      <w:r w:rsidRPr="0068021E">
        <w:rPr>
          <w:rFonts w:ascii="Times New Roman" w:hAnsi="Times New Roman" w:cs="Times New Roman"/>
        </w:rPr>
        <w:tab/>
      </w:r>
      <w:r w:rsidRPr="0068021E">
        <w:rPr>
          <w:rFonts w:ascii="Times New Roman" w:hAnsi="Times New Roman" w:cs="Times New Roman"/>
        </w:rPr>
        <w:tab/>
      </w:r>
      <w:r w:rsidRPr="0068021E">
        <w:rPr>
          <w:rFonts w:ascii="Times New Roman" w:hAnsi="Times New Roman" w:cs="Times New Roman"/>
        </w:rPr>
        <w:tab/>
      </w:r>
      <w:r w:rsidRPr="0068021E">
        <w:rPr>
          <w:rFonts w:ascii="Times New Roman" w:hAnsi="Times New Roman" w:cs="Times New Roman"/>
        </w:rPr>
        <w:tab/>
      </w:r>
      <w:r w:rsidRPr="0068021E">
        <w:rPr>
          <w:rFonts w:ascii="Times New Roman" w:hAnsi="Times New Roman" w:cs="Times New Roman"/>
        </w:rPr>
        <w:tab/>
      </w:r>
      <w:r w:rsidR="002E2007">
        <w:rPr>
          <w:rFonts w:ascii="Times New Roman" w:hAnsi="Times New Roman" w:cs="Times New Roman"/>
        </w:rPr>
        <w:t>………………………….</w:t>
      </w:r>
      <w:r w:rsidRPr="0068021E">
        <w:rPr>
          <w:rFonts w:ascii="Times New Roman" w:hAnsi="Times New Roman" w:cs="Times New Roman"/>
        </w:rPr>
        <w:tab/>
      </w:r>
      <w:r w:rsidRPr="0068021E">
        <w:rPr>
          <w:rFonts w:ascii="Times New Roman" w:hAnsi="Times New Roman" w:cs="Times New Roman"/>
        </w:rPr>
        <w:tab/>
        <w:t>Petr Fena</w:t>
      </w:r>
    </w:p>
    <w:p w14:paraId="561485FA" w14:textId="77777777" w:rsidR="0068021E" w:rsidRPr="0068021E" w:rsidRDefault="0068021E">
      <w:pPr>
        <w:rPr>
          <w:rFonts w:ascii="Times New Roman" w:hAnsi="Times New Roman" w:cs="Times New Roman"/>
          <w:b/>
          <w:sz w:val="24"/>
          <w:szCs w:val="24"/>
        </w:rPr>
      </w:pPr>
    </w:p>
    <w:p w14:paraId="295FB90A" w14:textId="77777777" w:rsidR="0068021E" w:rsidRPr="0068021E" w:rsidRDefault="0068021E">
      <w:pPr>
        <w:rPr>
          <w:rFonts w:ascii="Times New Roman" w:hAnsi="Times New Roman" w:cs="Times New Roman"/>
          <w:b/>
          <w:sz w:val="24"/>
          <w:szCs w:val="24"/>
        </w:rPr>
      </w:pPr>
    </w:p>
    <w:p w14:paraId="584A8FD2" w14:textId="77777777" w:rsidR="0068021E" w:rsidRPr="0068021E" w:rsidRDefault="0068021E">
      <w:pPr>
        <w:rPr>
          <w:rFonts w:ascii="Times New Roman" w:hAnsi="Times New Roman" w:cs="Times New Roman"/>
          <w:b/>
          <w:sz w:val="24"/>
          <w:szCs w:val="24"/>
        </w:rPr>
      </w:pPr>
    </w:p>
    <w:p w14:paraId="3F7C474D" w14:textId="77777777" w:rsidR="0068021E" w:rsidRPr="0068021E" w:rsidRDefault="0068021E">
      <w:pPr>
        <w:rPr>
          <w:rFonts w:ascii="Times New Roman" w:hAnsi="Times New Roman" w:cs="Times New Roman"/>
          <w:b/>
          <w:sz w:val="24"/>
          <w:szCs w:val="24"/>
        </w:rPr>
      </w:pPr>
    </w:p>
    <w:p w14:paraId="1DC830E9" w14:textId="77777777" w:rsidR="0068021E" w:rsidRPr="0068021E" w:rsidRDefault="0068021E">
      <w:pPr>
        <w:rPr>
          <w:rFonts w:ascii="Times New Roman" w:hAnsi="Times New Roman" w:cs="Times New Roman"/>
          <w:b/>
          <w:sz w:val="24"/>
          <w:szCs w:val="24"/>
        </w:rPr>
      </w:pPr>
    </w:p>
    <w:p w14:paraId="24092F9E" w14:textId="77777777" w:rsidR="0068021E" w:rsidRPr="0068021E" w:rsidRDefault="0068021E">
      <w:pPr>
        <w:rPr>
          <w:rFonts w:ascii="Times New Roman" w:hAnsi="Times New Roman" w:cs="Times New Roman"/>
          <w:b/>
          <w:sz w:val="24"/>
          <w:szCs w:val="24"/>
        </w:rPr>
      </w:pPr>
    </w:p>
    <w:p w14:paraId="0F747321" w14:textId="77777777" w:rsidR="0068021E" w:rsidRPr="0068021E" w:rsidRDefault="0068021E">
      <w:pPr>
        <w:rPr>
          <w:rFonts w:ascii="Times New Roman" w:hAnsi="Times New Roman" w:cs="Times New Roman"/>
          <w:b/>
          <w:sz w:val="24"/>
          <w:szCs w:val="24"/>
        </w:rPr>
      </w:pPr>
    </w:p>
    <w:p w14:paraId="1ECD932B" w14:textId="77777777" w:rsidR="0068021E" w:rsidRPr="0068021E" w:rsidRDefault="0068021E">
      <w:pPr>
        <w:rPr>
          <w:rFonts w:ascii="Times New Roman" w:hAnsi="Times New Roman" w:cs="Times New Roman"/>
          <w:b/>
          <w:sz w:val="24"/>
          <w:szCs w:val="24"/>
        </w:rPr>
      </w:pPr>
    </w:p>
    <w:p w14:paraId="4F938953" w14:textId="77777777" w:rsidR="0068021E" w:rsidRPr="0068021E" w:rsidRDefault="0068021E">
      <w:pPr>
        <w:rPr>
          <w:rFonts w:ascii="Times New Roman" w:hAnsi="Times New Roman" w:cs="Times New Roman"/>
          <w:b/>
          <w:sz w:val="24"/>
          <w:szCs w:val="24"/>
        </w:rPr>
      </w:pPr>
    </w:p>
    <w:p w14:paraId="6A081189" w14:textId="77777777" w:rsidR="0068021E" w:rsidRPr="0068021E" w:rsidRDefault="0068021E">
      <w:pPr>
        <w:rPr>
          <w:rFonts w:ascii="Times New Roman" w:hAnsi="Times New Roman" w:cs="Times New Roman"/>
          <w:b/>
          <w:sz w:val="24"/>
          <w:szCs w:val="24"/>
        </w:rPr>
      </w:pPr>
    </w:p>
    <w:p w14:paraId="5295B38C" w14:textId="77777777" w:rsidR="0068021E" w:rsidRPr="0068021E" w:rsidRDefault="0068021E">
      <w:pPr>
        <w:rPr>
          <w:rFonts w:ascii="Times New Roman" w:hAnsi="Times New Roman" w:cs="Times New Roman"/>
          <w:b/>
          <w:sz w:val="24"/>
          <w:szCs w:val="24"/>
        </w:rPr>
      </w:pPr>
    </w:p>
    <w:p w14:paraId="5415E896" w14:textId="77777777" w:rsidR="0068021E" w:rsidRPr="0068021E" w:rsidRDefault="0068021E">
      <w:pPr>
        <w:rPr>
          <w:rFonts w:ascii="Times New Roman" w:hAnsi="Times New Roman" w:cs="Times New Roman"/>
          <w:b/>
          <w:sz w:val="24"/>
          <w:szCs w:val="24"/>
        </w:rPr>
      </w:pPr>
    </w:p>
    <w:p w14:paraId="67889D74" w14:textId="77777777" w:rsidR="0068021E" w:rsidRPr="0068021E" w:rsidRDefault="0068021E">
      <w:pPr>
        <w:rPr>
          <w:rFonts w:ascii="Times New Roman" w:hAnsi="Times New Roman" w:cs="Times New Roman"/>
          <w:b/>
          <w:sz w:val="24"/>
          <w:szCs w:val="24"/>
        </w:rPr>
      </w:pPr>
    </w:p>
    <w:p w14:paraId="7F0D589B" w14:textId="77777777" w:rsidR="0068021E" w:rsidRPr="0068021E" w:rsidRDefault="0068021E">
      <w:pPr>
        <w:rPr>
          <w:rFonts w:ascii="Times New Roman" w:hAnsi="Times New Roman" w:cs="Times New Roman"/>
          <w:b/>
          <w:sz w:val="24"/>
          <w:szCs w:val="24"/>
        </w:rPr>
      </w:pPr>
    </w:p>
    <w:p w14:paraId="3E0D40F9" w14:textId="77777777" w:rsidR="0068021E" w:rsidRPr="0068021E" w:rsidRDefault="0068021E">
      <w:pPr>
        <w:rPr>
          <w:rFonts w:ascii="Times New Roman" w:hAnsi="Times New Roman" w:cs="Times New Roman"/>
          <w:b/>
          <w:sz w:val="24"/>
          <w:szCs w:val="24"/>
        </w:rPr>
      </w:pPr>
    </w:p>
    <w:p w14:paraId="1D82644E" w14:textId="77777777" w:rsidR="0068021E" w:rsidRPr="0068021E" w:rsidRDefault="0068021E">
      <w:pPr>
        <w:rPr>
          <w:rFonts w:ascii="Times New Roman" w:hAnsi="Times New Roman" w:cs="Times New Roman"/>
          <w:b/>
          <w:sz w:val="24"/>
          <w:szCs w:val="24"/>
        </w:rPr>
      </w:pPr>
    </w:p>
    <w:p w14:paraId="2E4EC1A1" w14:textId="77777777" w:rsidR="0068021E" w:rsidRPr="0068021E" w:rsidRDefault="0068021E">
      <w:pPr>
        <w:rPr>
          <w:rFonts w:ascii="Times New Roman" w:hAnsi="Times New Roman" w:cs="Times New Roman"/>
          <w:b/>
          <w:sz w:val="24"/>
          <w:szCs w:val="24"/>
        </w:rPr>
      </w:pPr>
    </w:p>
    <w:p w14:paraId="1E67074C" w14:textId="77777777" w:rsidR="0068021E" w:rsidRPr="0068021E" w:rsidRDefault="0068021E">
      <w:pPr>
        <w:rPr>
          <w:rFonts w:ascii="Times New Roman" w:hAnsi="Times New Roman" w:cs="Times New Roman"/>
          <w:b/>
          <w:sz w:val="24"/>
          <w:szCs w:val="24"/>
        </w:rPr>
      </w:pPr>
    </w:p>
    <w:p w14:paraId="718F9EDC" w14:textId="77777777" w:rsidR="0068021E" w:rsidRPr="0068021E" w:rsidRDefault="0068021E">
      <w:pPr>
        <w:rPr>
          <w:rFonts w:ascii="Times New Roman" w:hAnsi="Times New Roman" w:cs="Times New Roman"/>
          <w:b/>
          <w:sz w:val="24"/>
          <w:szCs w:val="24"/>
        </w:rPr>
      </w:pPr>
    </w:p>
    <w:p w14:paraId="2DCE5D3A" w14:textId="77777777" w:rsidR="0068021E" w:rsidRPr="0068021E" w:rsidRDefault="0068021E">
      <w:pPr>
        <w:rPr>
          <w:rFonts w:ascii="Times New Roman" w:hAnsi="Times New Roman" w:cs="Times New Roman"/>
          <w:b/>
          <w:sz w:val="24"/>
          <w:szCs w:val="24"/>
        </w:rPr>
      </w:pPr>
    </w:p>
    <w:p w14:paraId="60DB44EC" w14:textId="77777777" w:rsidR="0068021E" w:rsidRPr="0068021E" w:rsidRDefault="0068021E">
      <w:pPr>
        <w:rPr>
          <w:rFonts w:ascii="Times New Roman" w:hAnsi="Times New Roman" w:cs="Times New Roman"/>
          <w:b/>
          <w:sz w:val="24"/>
          <w:szCs w:val="24"/>
        </w:rPr>
      </w:pPr>
    </w:p>
    <w:p w14:paraId="3B817A6D" w14:textId="77777777" w:rsidR="0068021E" w:rsidRPr="0068021E" w:rsidRDefault="0068021E">
      <w:pPr>
        <w:rPr>
          <w:rFonts w:ascii="Times New Roman" w:hAnsi="Times New Roman" w:cs="Times New Roman"/>
          <w:b/>
          <w:sz w:val="24"/>
          <w:szCs w:val="24"/>
        </w:rPr>
      </w:pPr>
    </w:p>
    <w:p w14:paraId="71426B1B" w14:textId="77777777" w:rsidR="0068021E" w:rsidRPr="0068021E" w:rsidRDefault="0068021E">
      <w:pPr>
        <w:rPr>
          <w:rFonts w:ascii="Times New Roman" w:hAnsi="Times New Roman" w:cs="Times New Roman"/>
          <w:b/>
          <w:sz w:val="24"/>
          <w:szCs w:val="24"/>
        </w:rPr>
      </w:pPr>
    </w:p>
    <w:p w14:paraId="41349A65" w14:textId="77777777" w:rsidR="0068021E" w:rsidRPr="0068021E" w:rsidRDefault="0068021E">
      <w:pPr>
        <w:rPr>
          <w:rFonts w:ascii="Times New Roman" w:hAnsi="Times New Roman" w:cs="Times New Roman"/>
          <w:b/>
          <w:sz w:val="24"/>
          <w:szCs w:val="24"/>
        </w:rPr>
      </w:pPr>
    </w:p>
    <w:p w14:paraId="1A13E65E" w14:textId="77777777" w:rsidR="0068021E" w:rsidRDefault="0068021E">
      <w:pPr>
        <w:rPr>
          <w:rFonts w:ascii="Times New Roman" w:hAnsi="Times New Roman" w:cs="Times New Roman"/>
          <w:b/>
          <w:sz w:val="24"/>
          <w:szCs w:val="24"/>
        </w:rPr>
      </w:pPr>
    </w:p>
    <w:p w14:paraId="04BE15DB" w14:textId="77777777" w:rsidR="00E04E6B" w:rsidRDefault="00E04E6B">
      <w:pPr>
        <w:rPr>
          <w:rFonts w:ascii="Times New Roman" w:hAnsi="Times New Roman" w:cs="Times New Roman"/>
          <w:b/>
          <w:sz w:val="24"/>
          <w:szCs w:val="24"/>
        </w:rPr>
      </w:pPr>
    </w:p>
    <w:p w14:paraId="0B591C26" w14:textId="77777777" w:rsidR="00E04E6B" w:rsidRPr="0068021E" w:rsidRDefault="00E04E6B">
      <w:pPr>
        <w:rPr>
          <w:rFonts w:ascii="Times New Roman" w:hAnsi="Times New Roman" w:cs="Times New Roman"/>
          <w:b/>
          <w:sz w:val="24"/>
          <w:szCs w:val="24"/>
        </w:rPr>
      </w:pPr>
    </w:p>
    <w:p w14:paraId="56EFFD2E" w14:textId="77777777" w:rsidR="0068021E" w:rsidRPr="0068021E" w:rsidRDefault="0068021E">
      <w:pPr>
        <w:rPr>
          <w:rFonts w:ascii="Times New Roman" w:hAnsi="Times New Roman" w:cs="Times New Roman"/>
          <w:b/>
          <w:sz w:val="24"/>
          <w:szCs w:val="24"/>
        </w:rPr>
      </w:pPr>
    </w:p>
    <w:p w14:paraId="15703E9A" w14:textId="77777777" w:rsidR="0068021E" w:rsidRPr="0068021E" w:rsidRDefault="0068021E" w:rsidP="0068021E">
      <w:pPr>
        <w:spacing w:line="360" w:lineRule="auto"/>
        <w:rPr>
          <w:rStyle w:val="Strong"/>
          <w:rFonts w:ascii="Times New Roman" w:hAnsi="Times New Roman" w:cs="Times New Roman"/>
        </w:rPr>
      </w:pPr>
      <w:r w:rsidRPr="0068021E">
        <w:rPr>
          <w:rStyle w:val="Strong"/>
          <w:rFonts w:ascii="Times New Roman" w:hAnsi="Times New Roman" w:cs="Times New Roman"/>
        </w:rPr>
        <w:t>Poděkování</w:t>
      </w:r>
    </w:p>
    <w:p w14:paraId="4FD0B9AF" w14:textId="32122793" w:rsidR="0068021E" w:rsidRPr="0068021E" w:rsidRDefault="0068021E" w:rsidP="0068021E">
      <w:pPr>
        <w:rPr>
          <w:rFonts w:ascii="Times New Roman" w:hAnsi="Times New Roman" w:cs="Times New Roman"/>
          <w:b/>
          <w:sz w:val="24"/>
          <w:szCs w:val="24"/>
        </w:rPr>
      </w:pPr>
      <w:r w:rsidRPr="0068021E">
        <w:rPr>
          <w:rFonts w:ascii="Times New Roman" w:hAnsi="Times New Roman" w:cs="Times New Roman"/>
        </w:rPr>
        <w:t>Rád bych poděkoval Mgr. Tomáši Šmídovi, Ph. D. za vedení práce a cenné rady. Dále pak své rodině za podporu během studia.</w:t>
      </w:r>
    </w:p>
    <w:p w14:paraId="01716B58" w14:textId="0C61D214" w:rsidR="0068021E" w:rsidRDefault="0068021E">
      <w:pPr>
        <w:rPr>
          <w:rFonts w:ascii="Times New Roman" w:hAnsi="Times New Roman" w:cs="Times New Roman"/>
          <w:b/>
          <w:sz w:val="24"/>
          <w:szCs w:val="24"/>
        </w:rPr>
      </w:pPr>
    </w:p>
    <w:p w14:paraId="1FC50729" w14:textId="22984B98" w:rsidR="003574D6" w:rsidRDefault="003574D6">
      <w:pPr>
        <w:rPr>
          <w:rFonts w:ascii="Times New Roman" w:hAnsi="Times New Roman" w:cs="Times New Roman"/>
          <w:b/>
          <w:sz w:val="24"/>
          <w:szCs w:val="24"/>
        </w:rPr>
      </w:pPr>
    </w:p>
    <w:p w14:paraId="6BE61276" w14:textId="77777777" w:rsidR="003574D6" w:rsidRPr="005C6350" w:rsidRDefault="003574D6" w:rsidP="003574D6">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Anotace</w:t>
      </w:r>
    </w:p>
    <w:p w14:paraId="745F17F3" w14:textId="77777777" w:rsidR="003574D6" w:rsidRDefault="003574D6" w:rsidP="003574D6">
      <w:pPr>
        <w:spacing w:line="360" w:lineRule="auto"/>
        <w:jc w:val="both"/>
        <w:rPr>
          <w:rFonts w:ascii="Times New Roman" w:hAnsi="Times New Roman" w:cs="Times New Roman"/>
          <w:sz w:val="24"/>
          <w:szCs w:val="24"/>
        </w:rPr>
      </w:pPr>
      <w:r w:rsidRPr="005C6350">
        <w:rPr>
          <w:rFonts w:ascii="Times New Roman" w:hAnsi="Times New Roman" w:cs="Times New Roman"/>
          <w:sz w:val="24"/>
          <w:szCs w:val="24"/>
        </w:rPr>
        <w:t>Tato bakalářská práce nese název „Příčiny konfliktu mezi indickou vládou a hnutím nakšalitů“. Problém, který nakšalitské hnutí pro indický stát znamená, existuje již od konce 60. let 20. století. Tato práce se zaměřuje na identifikaci příčin působení nakšalitského komunistického hnutí. Nejprve je vysvětlen původ a kontext komunistických hnutí. Následující část se věnuje nejdůležitějším příčinám, a sice hlubokým socioekonomickým rozdílům ve společnosti a etnické rozdílnosti v regionu. Oba tyto aspekty se významnou měrou podílely na formování a existenci hnutí nakšalitů.</w:t>
      </w:r>
    </w:p>
    <w:p w14:paraId="7F26B272" w14:textId="77777777" w:rsidR="003574D6" w:rsidRPr="005C6350" w:rsidRDefault="003574D6" w:rsidP="003574D6">
      <w:pPr>
        <w:spacing w:line="360" w:lineRule="auto"/>
        <w:jc w:val="both"/>
        <w:rPr>
          <w:rFonts w:ascii="Times New Roman" w:hAnsi="Times New Roman" w:cs="Times New Roman"/>
          <w:sz w:val="24"/>
          <w:szCs w:val="24"/>
        </w:rPr>
      </w:pPr>
    </w:p>
    <w:p w14:paraId="0A98B248" w14:textId="77777777" w:rsidR="003574D6" w:rsidRPr="005C6350" w:rsidRDefault="003574D6" w:rsidP="003574D6">
      <w:pPr>
        <w:spacing w:line="360" w:lineRule="auto"/>
        <w:jc w:val="both"/>
        <w:rPr>
          <w:rFonts w:ascii="Times New Roman" w:hAnsi="Times New Roman" w:cs="Times New Roman"/>
          <w:sz w:val="24"/>
          <w:szCs w:val="24"/>
        </w:rPr>
      </w:pPr>
      <w:r w:rsidRPr="005C6350">
        <w:rPr>
          <w:rFonts w:ascii="Times New Roman" w:hAnsi="Times New Roman" w:cs="Times New Roman"/>
          <w:b/>
          <w:sz w:val="24"/>
          <w:szCs w:val="24"/>
        </w:rPr>
        <w:t>Klíčová slova</w:t>
      </w:r>
      <w:r>
        <w:rPr>
          <w:rFonts w:ascii="Times New Roman" w:hAnsi="Times New Roman" w:cs="Times New Roman"/>
          <w:sz w:val="24"/>
          <w:szCs w:val="24"/>
        </w:rPr>
        <w:t>: Indická vláda, Indie, příčiny, hnutí nakšalitů, maoismus</w:t>
      </w:r>
    </w:p>
    <w:p w14:paraId="1EFC392B" w14:textId="77777777" w:rsidR="003574D6" w:rsidRPr="005C6350" w:rsidRDefault="003574D6" w:rsidP="003574D6">
      <w:pPr>
        <w:spacing w:line="360" w:lineRule="auto"/>
        <w:jc w:val="both"/>
        <w:rPr>
          <w:rFonts w:ascii="Times New Roman" w:hAnsi="Times New Roman" w:cs="Times New Roman"/>
          <w:sz w:val="24"/>
          <w:szCs w:val="24"/>
        </w:rPr>
      </w:pPr>
    </w:p>
    <w:p w14:paraId="4D29E543" w14:textId="77777777" w:rsidR="003574D6" w:rsidRPr="005C6350" w:rsidRDefault="003574D6" w:rsidP="003574D6">
      <w:pPr>
        <w:spacing w:line="360" w:lineRule="auto"/>
        <w:jc w:val="both"/>
        <w:rPr>
          <w:rFonts w:ascii="Times New Roman" w:hAnsi="Times New Roman" w:cs="Times New Roman"/>
          <w:sz w:val="24"/>
          <w:szCs w:val="24"/>
        </w:rPr>
      </w:pPr>
    </w:p>
    <w:p w14:paraId="5B4D0F7C" w14:textId="77777777" w:rsidR="003574D6" w:rsidRPr="005C6350" w:rsidRDefault="003574D6" w:rsidP="003574D6">
      <w:pPr>
        <w:spacing w:line="360" w:lineRule="auto"/>
        <w:jc w:val="both"/>
        <w:rPr>
          <w:rFonts w:ascii="Times New Roman" w:hAnsi="Times New Roman" w:cs="Times New Roman"/>
          <w:b/>
          <w:sz w:val="24"/>
          <w:szCs w:val="24"/>
        </w:rPr>
      </w:pPr>
      <w:r w:rsidRPr="005C6350">
        <w:rPr>
          <w:rFonts w:ascii="Times New Roman" w:hAnsi="Times New Roman" w:cs="Times New Roman"/>
          <w:b/>
          <w:sz w:val="24"/>
          <w:szCs w:val="24"/>
        </w:rPr>
        <w:t>Abstract</w:t>
      </w:r>
    </w:p>
    <w:p w14:paraId="3657E136" w14:textId="3A2F4E0E" w:rsidR="003574D6" w:rsidRDefault="00EB3A73" w:rsidP="00357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cs-CZ"/>
        </w:rPr>
      </w:pPr>
      <w:r>
        <w:rPr>
          <w:rFonts w:ascii="Times New Roman" w:hAnsi="Times New Roman" w:cs="Times New Roman"/>
          <w:color w:val="000000"/>
          <w:sz w:val="24"/>
          <w:szCs w:val="24"/>
          <w:shd w:val="clear" w:color="auto" w:fill="F7FFFF"/>
        </w:rPr>
        <w:t>This t</w:t>
      </w:r>
      <w:r w:rsidR="003574D6" w:rsidRPr="005C6350">
        <w:rPr>
          <w:rFonts w:ascii="Times New Roman" w:hAnsi="Times New Roman" w:cs="Times New Roman"/>
          <w:color w:val="000000"/>
          <w:sz w:val="24"/>
          <w:szCs w:val="24"/>
          <w:shd w:val="clear" w:color="auto" w:fill="F7FFFF"/>
        </w:rPr>
        <w:t xml:space="preserve">hesis is called „Causes of conflict between Indian government and Naxalite movement“. The problem of the Naxalite movement has been existing in India since late 1960s. This work focuses on analysis of causes of the Naxalite movement. </w:t>
      </w:r>
      <w:r w:rsidR="003574D6" w:rsidRPr="00E45B66">
        <w:rPr>
          <w:rFonts w:ascii="Times New Roman" w:eastAsia="Times New Roman" w:hAnsi="Times New Roman" w:cs="Times New Roman"/>
          <w:color w:val="000000"/>
          <w:sz w:val="24"/>
          <w:szCs w:val="24"/>
          <w:lang w:eastAsia="cs-CZ"/>
        </w:rPr>
        <w:t>Fristly, there is explanation of origin of the communist movement. The following</w:t>
      </w:r>
      <w:r w:rsidR="003574D6">
        <w:rPr>
          <w:rFonts w:ascii="Times New Roman" w:eastAsia="Times New Roman" w:hAnsi="Times New Roman" w:cs="Times New Roman"/>
          <w:color w:val="000000"/>
          <w:sz w:val="24"/>
          <w:szCs w:val="24"/>
          <w:lang w:eastAsia="cs-CZ"/>
        </w:rPr>
        <w:t xml:space="preserve"> </w:t>
      </w:r>
      <w:r w:rsidR="003574D6" w:rsidRPr="00E45B66">
        <w:rPr>
          <w:rFonts w:ascii="Times New Roman" w:eastAsia="Times New Roman" w:hAnsi="Times New Roman" w:cs="Times New Roman"/>
          <w:color w:val="000000"/>
          <w:sz w:val="24"/>
          <w:szCs w:val="24"/>
          <w:lang w:eastAsia="cs-CZ"/>
        </w:rPr>
        <w:t>chapters deal with socioeconomic differences and ethnic divergency in the region.</w:t>
      </w:r>
      <w:r w:rsidR="003574D6" w:rsidRPr="005C6350">
        <w:rPr>
          <w:rFonts w:ascii="Times New Roman" w:eastAsia="Times New Roman" w:hAnsi="Times New Roman" w:cs="Times New Roman"/>
          <w:color w:val="000000"/>
          <w:sz w:val="24"/>
          <w:szCs w:val="24"/>
          <w:lang w:eastAsia="cs-CZ"/>
        </w:rPr>
        <w:t xml:space="preserve"> </w:t>
      </w:r>
      <w:r w:rsidR="003574D6" w:rsidRPr="00E45B66">
        <w:rPr>
          <w:rFonts w:ascii="Times New Roman" w:eastAsia="Times New Roman" w:hAnsi="Times New Roman" w:cs="Times New Roman"/>
          <w:color w:val="000000"/>
          <w:sz w:val="24"/>
          <w:szCs w:val="24"/>
          <w:lang w:eastAsia="cs-CZ"/>
        </w:rPr>
        <w:t>Both aspects have</w:t>
      </w:r>
      <w:r w:rsidR="003574D6">
        <w:rPr>
          <w:rFonts w:ascii="Times New Roman" w:eastAsia="Times New Roman" w:hAnsi="Times New Roman" w:cs="Times New Roman"/>
          <w:color w:val="000000"/>
          <w:sz w:val="24"/>
          <w:szCs w:val="24"/>
          <w:lang w:eastAsia="cs-CZ"/>
        </w:rPr>
        <w:t xml:space="preserve"> </w:t>
      </w:r>
      <w:r w:rsidR="003574D6" w:rsidRPr="00E45B66">
        <w:rPr>
          <w:rFonts w:ascii="Times New Roman" w:eastAsia="Times New Roman" w:hAnsi="Times New Roman" w:cs="Times New Roman"/>
          <w:color w:val="000000"/>
          <w:sz w:val="24"/>
          <w:szCs w:val="24"/>
          <w:lang w:eastAsia="cs-CZ"/>
        </w:rPr>
        <w:t>great influence on the formation and existence of Naxalite movement.</w:t>
      </w:r>
    </w:p>
    <w:p w14:paraId="6467B44C" w14:textId="77777777" w:rsidR="003574D6" w:rsidRDefault="003574D6" w:rsidP="00357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cs-CZ"/>
        </w:rPr>
      </w:pPr>
    </w:p>
    <w:p w14:paraId="797CC616" w14:textId="77777777" w:rsidR="003574D6" w:rsidRPr="005C6350" w:rsidRDefault="003574D6" w:rsidP="003574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000000"/>
          <w:sz w:val="24"/>
          <w:szCs w:val="24"/>
          <w:lang w:eastAsia="cs-CZ"/>
        </w:rPr>
      </w:pPr>
      <w:r w:rsidRPr="005C6350">
        <w:rPr>
          <w:rFonts w:ascii="Times New Roman" w:eastAsia="Times New Roman" w:hAnsi="Times New Roman" w:cs="Times New Roman"/>
          <w:b/>
          <w:color w:val="000000"/>
          <w:sz w:val="24"/>
          <w:szCs w:val="24"/>
          <w:lang w:eastAsia="cs-CZ"/>
        </w:rPr>
        <w:t>Key words:</w:t>
      </w:r>
      <w:r>
        <w:rPr>
          <w:rFonts w:ascii="Times New Roman" w:eastAsia="Times New Roman" w:hAnsi="Times New Roman" w:cs="Times New Roman"/>
          <w:b/>
          <w:color w:val="000000"/>
          <w:sz w:val="24"/>
          <w:szCs w:val="24"/>
          <w:lang w:eastAsia="cs-CZ"/>
        </w:rPr>
        <w:t xml:space="preserve"> </w:t>
      </w:r>
      <w:r w:rsidRPr="00992F7A">
        <w:rPr>
          <w:rFonts w:ascii="Times New Roman" w:eastAsia="Times New Roman" w:hAnsi="Times New Roman" w:cs="Times New Roman"/>
          <w:color w:val="000000"/>
          <w:sz w:val="24"/>
          <w:szCs w:val="24"/>
          <w:lang w:eastAsia="cs-CZ"/>
        </w:rPr>
        <w:t>Indian government, India, Naxalite movement, causes, maoism</w:t>
      </w:r>
    </w:p>
    <w:p w14:paraId="42C82B36" w14:textId="77777777" w:rsidR="003574D6" w:rsidRDefault="003574D6" w:rsidP="003574D6">
      <w:pPr>
        <w:pStyle w:val="Heading2"/>
        <w:spacing w:before="0"/>
        <w:rPr>
          <w:rFonts w:ascii="Arial" w:hAnsi="Arial" w:cs="Arial"/>
          <w:color w:val="000000"/>
          <w:sz w:val="19"/>
          <w:szCs w:val="19"/>
          <w:shd w:val="clear" w:color="auto" w:fill="F7FFFF"/>
        </w:rPr>
      </w:pPr>
    </w:p>
    <w:p w14:paraId="142E7BC7" w14:textId="77777777" w:rsidR="003574D6" w:rsidRDefault="003574D6" w:rsidP="003574D6">
      <w:pPr>
        <w:pStyle w:val="Heading2"/>
        <w:spacing w:before="0"/>
        <w:rPr>
          <w:rFonts w:ascii="Arial" w:hAnsi="Arial" w:cs="Arial"/>
          <w:color w:val="000000"/>
          <w:sz w:val="19"/>
          <w:szCs w:val="19"/>
          <w:shd w:val="clear" w:color="auto" w:fill="F7FFFF"/>
        </w:rPr>
      </w:pPr>
    </w:p>
    <w:p w14:paraId="4798D9C3" w14:textId="7D6C31F7" w:rsidR="003574D6" w:rsidRDefault="003574D6">
      <w:pPr>
        <w:rPr>
          <w:rFonts w:ascii="Times New Roman" w:hAnsi="Times New Roman" w:cs="Times New Roman"/>
          <w:b/>
          <w:sz w:val="24"/>
          <w:szCs w:val="24"/>
        </w:rPr>
      </w:pPr>
    </w:p>
    <w:p w14:paraId="3AC5B98E" w14:textId="457090B0" w:rsidR="003574D6" w:rsidRDefault="003574D6">
      <w:pPr>
        <w:rPr>
          <w:rFonts w:ascii="Times New Roman" w:hAnsi="Times New Roman" w:cs="Times New Roman"/>
          <w:b/>
          <w:sz w:val="24"/>
          <w:szCs w:val="24"/>
        </w:rPr>
      </w:pPr>
    </w:p>
    <w:p w14:paraId="0A6B95FE" w14:textId="0F1DBD02" w:rsidR="003574D6" w:rsidRDefault="003574D6">
      <w:pPr>
        <w:rPr>
          <w:rFonts w:ascii="Times New Roman" w:hAnsi="Times New Roman" w:cs="Times New Roman"/>
          <w:b/>
          <w:sz w:val="24"/>
          <w:szCs w:val="24"/>
        </w:rPr>
      </w:pPr>
    </w:p>
    <w:p w14:paraId="02E8A323" w14:textId="0D83DCD8" w:rsidR="003574D6" w:rsidRDefault="003574D6">
      <w:pPr>
        <w:rPr>
          <w:rFonts w:ascii="Times New Roman" w:hAnsi="Times New Roman" w:cs="Times New Roman"/>
          <w:b/>
          <w:sz w:val="24"/>
          <w:szCs w:val="24"/>
        </w:rPr>
      </w:pPr>
    </w:p>
    <w:p w14:paraId="16BBF8DA" w14:textId="77777777" w:rsidR="003574D6" w:rsidRDefault="003574D6">
      <w:pPr>
        <w:rPr>
          <w:rFonts w:ascii="Times New Roman" w:hAnsi="Times New Roman" w:cs="Times New Roman"/>
          <w:b/>
          <w:sz w:val="24"/>
          <w:szCs w:val="24"/>
        </w:rPr>
      </w:pPr>
    </w:p>
    <w:p w14:paraId="7D84FE27" w14:textId="77777777" w:rsidR="0068021E" w:rsidRDefault="0068021E">
      <w:pPr>
        <w:rPr>
          <w:rFonts w:ascii="Times New Roman" w:hAnsi="Times New Roman" w:cs="Times New Roman"/>
          <w:b/>
          <w:sz w:val="24"/>
          <w:szCs w:val="24"/>
        </w:rPr>
      </w:pPr>
    </w:p>
    <w:sdt>
      <w:sdtPr>
        <w:rPr>
          <w:rFonts w:asciiTheme="minorHAnsi" w:eastAsiaTheme="minorHAnsi" w:hAnsiTheme="minorHAnsi" w:cstheme="minorBidi"/>
          <w:b w:val="0"/>
          <w:bCs w:val="0"/>
          <w:color w:val="auto"/>
          <w:sz w:val="22"/>
          <w:szCs w:val="22"/>
          <w:lang w:val="cs-CZ"/>
        </w:rPr>
        <w:id w:val="-1622526959"/>
        <w:docPartObj>
          <w:docPartGallery w:val="Table of Contents"/>
          <w:docPartUnique/>
        </w:docPartObj>
      </w:sdtPr>
      <w:sdtEndPr>
        <w:rPr>
          <w:noProof/>
        </w:rPr>
      </w:sdtEndPr>
      <w:sdtContent>
        <w:p w14:paraId="4ADF6710" w14:textId="118102D8" w:rsidR="00657BE9" w:rsidRPr="00D408A9" w:rsidRDefault="00D408A9">
          <w:pPr>
            <w:pStyle w:val="TOCHeading"/>
            <w:rPr>
              <w:color w:val="auto"/>
            </w:rPr>
          </w:pPr>
          <w:r w:rsidRPr="00D408A9">
            <w:rPr>
              <w:color w:val="auto"/>
            </w:rPr>
            <w:t>Obsah</w:t>
          </w:r>
        </w:p>
        <w:p w14:paraId="5E622159" w14:textId="01BE1471" w:rsidR="002E2007" w:rsidRDefault="00657BE9">
          <w:pPr>
            <w:pStyle w:val="TOC1"/>
            <w:tabs>
              <w:tab w:val="right" w:leader="dot" w:pos="9062"/>
            </w:tabs>
            <w:rPr>
              <w:rFonts w:eastAsiaTheme="minorEastAsia"/>
              <w:b w:val="0"/>
              <w:noProof/>
              <w:sz w:val="22"/>
              <w:szCs w:val="22"/>
              <w:lang w:eastAsia="cs-CZ"/>
            </w:rPr>
          </w:pPr>
          <w:r>
            <w:rPr>
              <w:b w:val="0"/>
            </w:rPr>
            <w:fldChar w:fldCharType="begin"/>
          </w:r>
          <w:r>
            <w:instrText xml:space="preserve"> TOC \o "1-3" \h \z \u </w:instrText>
          </w:r>
          <w:r>
            <w:rPr>
              <w:b w:val="0"/>
            </w:rPr>
            <w:fldChar w:fldCharType="separate"/>
          </w:r>
          <w:hyperlink w:anchor="_Toc471296009" w:history="1">
            <w:r w:rsidR="002E2007" w:rsidRPr="00CE1F31">
              <w:rPr>
                <w:rStyle w:val="Hyperlink"/>
                <w:noProof/>
              </w:rPr>
              <w:t>1. Úvod</w:t>
            </w:r>
            <w:r w:rsidR="002E2007">
              <w:rPr>
                <w:noProof/>
                <w:webHidden/>
              </w:rPr>
              <w:tab/>
            </w:r>
            <w:r w:rsidR="002E2007">
              <w:rPr>
                <w:noProof/>
                <w:webHidden/>
              </w:rPr>
              <w:fldChar w:fldCharType="begin"/>
            </w:r>
            <w:r w:rsidR="002E2007">
              <w:rPr>
                <w:noProof/>
                <w:webHidden/>
              </w:rPr>
              <w:instrText xml:space="preserve"> PAGEREF _Toc471296009 \h </w:instrText>
            </w:r>
            <w:r w:rsidR="002E2007">
              <w:rPr>
                <w:noProof/>
                <w:webHidden/>
              </w:rPr>
            </w:r>
            <w:r w:rsidR="002E2007">
              <w:rPr>
                <w:noProof/>
                <w:webHidden/>
              </w:rPr>
              <w:fldChar w:fldCharType="separate"/>
            </w:r>
            <w:r w:rsidR="00861420">
              <w:rPr>
                <w:noProof/>
                <w:webHidden/>
              </w:rPr>
              <w:t>6</w:t>
            </w:r>
            <w:r w:rsidR="002E2007">
              <w:rPr>
                <w:noProof/>
                <w:webHidden/>
              </w:rPr>
              <w:fldChar w:fldCharType="end"/>
            </w:r>
          </w:hyperlink>
        </w:p>
        <w:p w14:paraId="75A640B9" w14:textId="601C46BA" w:rsidR="002E2007" w:rsidRDefault="00861420">
          <w:pPr>
            <w:pStyle w:val="TOC1"/>
            <w:tabs>
              <w:tab w:val="right" w:leader="dot" w:pos="9062"/>
            </w:tabs>
            <w:rPr>
              <w:rFonts w:eastAsiaTheme="minorEastAsia"/>
              <w:b w:val="0"/>
              <w:noProof/>
              <w:sz w:val="22"/>
              <w:szCs w:val="22"/>
              <w:lang w:eastAsia="cs-CZ"/>
            </w:rPr>
          </w:pPr>
          <w:hyperlink w:anchor="_Toc471296010" w:history="1">
            <w:r w:rsidR="002E2007" w:rsidRPr="00CE1F31">
              <w:rPr>
                <w:rStyle w:val="Hyperlink"/>
                <w:noProof/>
              </w:rPr>
              <w:t>1.2 Cíle práce</w:t>
            </w:r>
            <w:r w:rsidR="002E2007">
              <w:rPr>
                <w:noProof/>
                <w:webHidden/>
              </w:rPr>
              <w:tab/>
            </w:r>
            <w:r w:rsidR="002E2007">
              <w:rPr>
                <w:noProof/>
                <w:webHidden/>
              </w:rPr>
              <w:fldChar w:fldCharType="begin"/>
            </w:r>
            <w:r w:rsidR="002E2007">
              <w:rPr>
                <w:noProof/>
                <w:webHidden/>
              </w:rPr>
              <w:instrText xml:space="preserve"> PAGEREF _Toc471296010 \h </w:instrText>
            </w:r>
            <w:r w:rsidR="002E2007">
              <w:rPr>
                <w:noProof/>
                <w:webHidden/>
              </w:rPr>
            </w:r>
            <w:r w:rsidR="002E2007">
              <w:rPr>
                <w:noProof/>
                <w:webHidden/>
              </w:rPr>
              <w:fldChar w:fldCharType="separate"/>
            </w:r>
            <w:r>
              <w:rPr>
                <w:noProof/>
                <w:webHidden/>
              </w:rPr>
              <w:t>6</w:t>
            </w:r>
            <w:r w:rsidR="002E2007">
              <w:rPr>
                <w:noProof/>
                <w:webHidden/>
              </w:rPr>
              <w:fldChar w:fldCharType="end"/>
            </w:r>
          </w:hyperlink>
        </w:p>
        <w:p w14:paraId="060E00E8" w14:textId="74DADF8E" w:rsidR="002E2007" w:rsidRDefault="00861420">
          <w:pPr>
            <w:pStyle w:val="TOC1"/>
            <w:tabs>
              <w:tab w:val="right" w:leader="dot" w:pos="9062"/>
            </w:tabs>
            <w:rPr>
              <w:rFonts w:eastAsiaTheme="minorEastAsia"/>
              <w:b w:val="0"/>
              <w:noProof/>
              <w:sz w:val="22"/>
              <w:szCs w:val="22"/>
              <w:lang w:eastAsia="cs-CZ"/>
            </w:rPr>
          </w:pPr>
          <w:hyperlink w:anchor="_Toc471296011" w:history="1">
            <w:r w:rsidR="002E2007" w:rsidRPr="00CE1F31">
              <w:rPr>
                <w:rStyle w:val="Hyperlink"/>
                <w:noProof/>
              </w:rPr>
              <w:t>1.3 Teoretická východiska pro výzkum příčin konfliktů</w:t>
            </w:r>
            <w:r w:rsidR="002E2007">
              <w:rPr>
                <w:noProof/>
                <w:webHidden/>
              </w:rPr>
              <w:tab/>
            </w:r>
            <w:r w:rsidR="002E2007">
              <w:rPr>
                <w:noProof/>
                <w:webHidden/>
              </w:rPr>
              <w:fldChar w:fldCharType="begin"/>
            </w:r>
            <w:r w:rsidR="002E2007">
              <w:rPr>
                <w:noProof/>
                <w:webHidden/>
              </w:rPr>
              <w:instrText xml:space="preserve"> PAGEREF _Toc471296011 \h </w:instrText>
            </w:r>
            <w:r w:rsidR="002E2007">
              <w:rPr>
                <w:noProof/>
                <w:webHidden/>
              </w:rPr>
            </w:r>
            <w:r w:rsidR="002E2007">
              <w:rPr>
                <w:noProof/>
                <w:webHidden/>
              </w:rPr>
              <w:fldChar w:fldCharType="separate"/>
            </w:r>
            <w:r>
              <w:rPr>
                <w:noProof/>
                <w:webHidden/>
              </w:rPr>
              <w:t>6</w:t>
            </w:r>
            <w:r w:rsidR="002E2007">
              <w:rPr>
                <w:noProof/>
                <w:webHidden/>
              </w:rPr>
              <w:fldChar w:fldCharType="end"/>
            </w:r>
          </w:hyperlink>
        </w:p>
        <w:p w14:paraId="624575F5" w14:textId="0AA08FD0" w:rsidR="002E2007" w:rsidRDefault="00861420">
          <w:pPr>
            <w:pStyle w:val="TOC1"/>
            <w:tabs>
              <w:tab w:val="right" w:leader="dot" w:pos="9062"/>
            </w:tabs>
            <w:rPr>
              <w:rFonts w:eastAsiaTheme="minorEastAsia"/>
              <w:b w:val="0"/>
              <w:noProof/>
              <w:sz w:val="22"/>
              <w:szCs w:val="22"/>
              <w:lang w:eastAsia="cs-CZ"/>
            </w:rPr>
          </w:pPr>
          <w:hyperlink w:anchor="_Toc471296012" w:history="1">
            <w:r w:rsidR="002E2007" w:rsidRPr="00CE1F31">
              <w:rPr>
                <w:rStyle w:val="Hyperlink"/>
                <w:noProof/>
              </w:rPr>
              <w:t>1.4 Konflikt v bezpečnostních studiích a jeho výzkum</w:t>
            </w:r>
            <w:r w:rsidR="002E2007">
              <w:rPr>
                <w:noProof/>
                <w:webHidden/>
              </w:rPr>
              <w:tab/>
            </w:r>
            <w:r w:rsidR="002E2007">
              <w:rPr>
                <w:noProof/>
                <w:webHidden/>
              </w:rPr>
              <w:fldChar w:fldCharType="begin"/>
            </w:r>
            <w:r w:rsidR="002E2007">
              <w:rPr>
                <w:noProof/>
                <w:webHidden/>
              </w:rPr>
              <w:instrText xml:space="preserve"> PAGEREF _Toc471296012 \h </w:instrText>
            </w:r>
            <w:r w:rsidR="002E2007">
              <w:rPr>
                <w:noProof/>
                <w:webHidden/>
              </w:rPr>
            </w:r>
            <w:r w:rsidR="002E2007">
              <w:rPr>
                <w:noProof/>
                <w:webHidden/>
              </w:rPr>
              <w:fldChar w:fldCharType="separate"/>
            </w:r>
            <w:r>
              <w:rPr>
                <w:noProof/>
                <w:webHidden/>
              </w:rPr>
              <w:t>7</w:t>
            </w:r>
            <w:r w:rsidR="002E2007">
              <w:rPr>
                <w:noProof/>
                <w:webHidden/>
              </w:rPr>
              <w:fldChar w:fldCharType="end"/>
            </w:r>
          </w:hyperlink>
        </w:p>
        <w:p w14:paraId="1DCB2241" w14:textId="66E23D47" w:rsidR="002E2007" w:rsidRDefault="00861420">
          <w:pPr>
            <w:pStyle w:val="TOC1"/>
            <w:tabs>
              <w:tab w:val="right" w:leader="dot" w:pos="9062"/>
            </w:tabs>
            <w:rPr>
              <w:rFonts w:eastAsiaTheme="minorEastAsia"/>
              <w:b w:val="0"/>
              <w:noProof/>
              <w:sz w:val="22"/>
              <w:szCs w:val="22"/>
              <w:lang w:eastAsia="cs-CZ"/>
            </w:rPr>
          </w:pPr>
          <w:hyperlink w:anchor="_Toc471296013" w:history="1">
            <w:r w:rsidR="002E2007" w:rsidRPr="00CE1F31">
              <w:rPr>
                <w:rStyle w:val="Hyperlink"/>
                <w:noProof/>
              </w:rPr>
              <w:t>2. Hnutí nakšalitů</w:t>
            </w:r>
            <w:r w:rsidR="002E2007">
              <w:rPr>
                <w:noProof/>
                <w:webHidden/>
              </w:rPr>
              <w:tab/>
            </w:r>
            <w:r w:rsidR="002E2007">
              <w:rPr>
                <w:noProof/>
                <w:webHidden/>
              </w:rPr>
              <w:fldChar w:fldCharType="begin"/>
            </w:r>
            <w:r w:rsidR="002E2007">
              <w:rPr>
                <w:noProof/>
                <w:webHidden/>
              </w:rPr>
              <w:instrText xml:space="preserve"> PAGEREF _Toc471296013 \h </w:instrText>
            </w:r>
            <w:r w:rsidR="002E2007">
              <w:rPr>
                <w:noProof/>
                <w:webHidden/>
              </w:rPr>
            </w:r>
            <w:r w:rsidR="002E2007">
              <w:rPr>
                <w:noProof/>
                <w:webHidden/>
              </w:rPr>
              <w:fldChar w:fldCharType="separate"/>
            </w:r>
            <w:r>
              <w:rPr>
                <w:noProof/>
                <w:webHidden/>
              </w:rPr>
              <w:t>9</w:t>
            </w:r>
            <w:r w:rsidR="002E2007">
              <w:rPr>
                <w:noProof/>
                <w:webHidden/>
              </w:rPr>
              <w:fldChar w:fldCharType="end"/>
            </w:r>
          </w:hyperlink>
        </w:p>
        <w:p w14:paraId="14EDE0D2" w14:textId="78099921" w:rsidR="002E2007" w:rsidRDefault="00861420">
          <w:pPr>
            <w:pStyle w:val="TOC1"/>
            <w:tabs>
              <w:tab w:val="right" w:leader="dot" w:pos="9062"/>
            </w:tabs>
            <w:rPr>
              <w:rFonts w:eastAsiaTheme="minorEastAsia"/>
              <w:b w:val="0"/>
              <w:noProof/>
              <w:sz w:val="22"/>
              <w:szCs w:val="22"/>
              <w:lang w:eastAsia="cs-CZ"/>
            </w:rPr>
          </w:pPr>
          <w:hyperlink w:anchor="_Toc471296014" w:history="1">
            <w:r w:rsidR="002E2007" w:rsidRPr="00CE1F31">
              <w:rPr>
                <w:rStyle w:val="Hyperlink"/>
                <w:noProof/>
              </w:rPr>
              <w:t>2.1 Maoistická interpretace nakšalitské vzpoury</w:t>
            </w:r>
            <w:r w:rsidR="002E2007">
              <w:rPr>
                <w:noProof/>
                <w:webHidden/>
              </w:rPr>
              <w:tab/>
            </w:r>
            <w:r w:rsidR="002E2007">
              <w:rPr>
                <w:noProof/>
                <w:webHidden/>
              </w:rPr>
              <w:fldChar w:fldCharType="begin"/>
            </w:r>
            <w:r w:rsidR="002E2007">
              <w:rPr>
                <w:noProof/>
                <w:webHidden/>
              </w:rPr>
              <w:instrText xml:space="preserve"> PAGEREF _Toc471296014 \h </w:instrText>
            </w:r>
            <w:r w:rsidR="002E2007">
              <w:rPr>
                <w:noProof/>
                <w:webHidden/>
              </w:rPr>
            </w:r>
            <w:r w:rsidR="002E2007">
              <w:rPr>
                <w:noProof/>
                <w:webHidden/>
              </w:rPr>
              <w:fldChar w:fldCharType="separate"/>
            </w:r>
            <w:r>
              <w:rPr>
                <w:noProof/>
                <w:webHidden/>
              </w:rPr>
              <w:t>9</w:t>
            </w:r>
            <w:r w:rsidR="002E2007">
              <w:rPr>
                <w:noProof/>
                <w:webHidden/>
              </w:rPr>
              <w:fldChar w:fldCharType="end"/>
            </w:r>
          </w:hyperlink>
        </w:p>
        <w:p w14:paraId="04D69D87" w14:textId="01345F69" w:rsidR="002E2007" w:rsidRDefault="00861420">
          <w:pPr>
            <w:pStyle w:val="TOC1"/>
            <w:tabs>
              <w:tab w:val="right" w:leader="dot" w:pos="9062"/>
            </w:tabs>
            <w:rPr>
              <w:rFonts w:eastAsiaTheme="minorEastAsia"/>
              <w:b w:val="0"/>
              <w:noProof/>
              <w:sz w:val="22"/>
              <w:szCs w:val="22"/>
              <w:lang w:eastAsia="cs-CZ"/>
            </w:rPr>
          </w:pPr>
          <w:hyperlink w:anchor="_Toc471296015" w:history="1">
            <w:r w:rsidR="002E2007" w:rsidRPr="00CE1F31">
              <w:rPr>
                <w:rStyle w:val="Hyperlink"/>
                <w:noProof/>
              </w:rPr>
              <w:t>2.2 Maoistický způsob boje</w:t>
            </w:r>
            <w:r w:rsidR="002E2007">
              <w:rPr>
                <w:noProof/>
                <w:webHidden/>
              </w:rPr>
              <w:tab/>
            </w:r>
            <w:r w:rsidR="002E2007">
              <w:rPr>
                <w:noProof/>
                <w:webHidden/>
              </w:rPr>
              <w:fldChar w:fldCharType="begin"/>
            </w:r>
            <w:r w:rsidR="002E2007">
              <w:rPr>
                <w:noProof/>
                <w:webHidden/>
              </w:rPr>
              <w:instrText xml:space="preserve"> PAGEREF _Toc471296015 \h </w:instrText>
            </w:r>
            <w:r w:rsidR="002E2007">
              <w:rPr>
                <w:noProof/>
                <w:webHidden/>
              </w:rPr>
            </w:r>
            <w:r w:rsidR="002E2007">
              <w:rPr>
                <w:noProof/>
                <w:webHidden/>
              </w:rPr>
              <w:fldChar w:fldCharType="separate"/>
            </w:r>
            <w:r>
              <w:rPr>
                <w:noProof/>
                <w:webHidden/>
              </w:rPr>
              <w:t>10</w:t>
            </w:r>
            <w:r w:rsidR="002E2007">
              <w:rPr>
                <w:noProof/>
                <w:webHidden/>
              </w:rPr>
              <w:fldChar w:fldCharType="end"/>
            </w:r>
          </w:hyperlink>
        </w:p>
        <w:p w14:paraId="3865F13A" w14:textId="521712B4" w:rsidR="002E2007" w:rsidRDefault="00861420">
          <w:pPr>
            <w:pStyle w:val="TOC1"/>
            <w:tabs>
              <w:tab w:val="right" w:leader="dot" w:pos="9062"/>
            </w:tabs>
            <w:rPr>
              <w:rFonts w:eastAsiaTheme="minorEastAsia"/>
              <w:b w:val="0"/>
              <w:noProof/>
              <w:sz w:val="22"/>
              <w:szCs w:val="22"/>
              <w:lang w:eastAsia="cs-CZ"/>
            </w:rPr>
          </w:pPr>
          <w:hyperlink w:anchor="_Toc471296016" w:history="1">
            <w:r w:rsidR="002E2007" w:rsidRPr="00CE1F31">
              <w:rPr>
                <w:rStyle w:val="Hyperlink"/>
                <w:noProof/>
              </w:rPr>
              <w:t>2.3 Role komunistické strany v přechodu do socialismu</w:t>
            </w:r>
            <w:r w:rsidR="002E2007">
              <w:rPr>
                <w:noProof/>
                <w:webHidden/>
              </w:rPr>
              <w:tab/>
            </w:r>
            <w:r w:rsidR="002E2007">
              <w:rPr>
                <w:noProof/>
                <w:webHidden/>
              </w:rPr>
              <w:fldChar w:fldCharType="begin"/>
            </w:r>
            <w:r w:rsidR="002E2007">
              <w:rPr>
                <w:noProof/>
                <w:webHidden/>
              </w:rPr>
              <w:instrText xml:space="preserve"> PAGEREF _Toc471296016 \h </w:instrText>
            </w:r>
            <w:r w:rsidR="002E2007">
              <w:rPr>
                <w:noProof/>
                <w:webHidden/>
              </w:rPr>
            </w:r>
            <w:r w:rsidR="002E2007">
              <w:rPr>
                <w:noProof/>
                <w:webHidden/>
              </w:rPr>
              <w:fldChar w:fldCharType="separate"/>
            </w:r>
            <w:r>
              <w:rPr>
                <w:noProof/>
                <w:webHidden/>
              </w:rPr>
              <w:t>11</w:t>
            </w:r>
            <w:r w:rsidR="002E2007">
              <w:rPr>
                <w:noProof/>
                <w:webHidden/>
              </w:rPr>
              <w:fldChar w:fldCharType="end"/>
            </w:r>
          </w:hyperlink>
        </w:p>
        <w:p w14:paraId="39E405DA" w14:textId="39613611" w:rsidR="002E2007" w:rsidRDefault="00861420">
          <w:pPr>
            <w:pStyle w:val="TOC1"/>
            <w:tabs>
              <w:tab w:val="right" w:leader="dot" w:pos="9062"/>
            </w:tabs>
            <w:rPr>
              <w:rFonts w:eastAsiaTheme="minorEastAsia"/>
              <w:b w:val="0"/>
              <w:noProof/>
              <w:sz w:val="22"/>
              <w:szCs w:val="22"/>
              <w:lang w:eastAsia="cs-CZ"/>
            </w:rPr>
          </w:pPr>
          <w:hyperlink w:anchor="_Toc471296017" w:history="1">
            <w:r w:rsidR="002E2007" w:rsidRPr="00CE1F31">
              <w:rPr>
                <w:rStyle w:val="Hyperlink"/>
                <w:noProof/>
              </w:rPr>
              <w:t>2.4 Indický komunismus a zahraničí</w:t>
            </w:r>
            <w:r w:rsidR="002E2007">
              <w:rPr>
                <w:noProof/>
                <w:webHidden/>
              </w:rPr>
              <w:tab/>
            </w:r>
            <w:r w:rsidR="002E2007">
              <w:rPr>
                <w:noProof/>
                <w:webHidden/>
              </w:rPr>
              <w:fldChar w:fldCharType="begin"/>
            </w:r>
            <w:r w:rsidR="002E2007">
              <w:rPr>
                <w:noProof/>
                <w:webHidden/>
              </w:rPr>
              <w:instrText xml:space="preserve"> PAGEREF _Toc471296017 \h </w:instrText>
            </w:r>
            <w:r w:rsidR="002E2007">
              <w:rPr>
                <w:noProof/>
                <w:webHidden/>
              </w:rPr>
            </w:r>
            <w:r w:rsidR="002E2007">
              <w:rPr>
                <w:noProof/>
                <w:webHidden/>
              </w:rPr>
              <w:fldChar w:fldCharType="separate"/>
            </w:r>
            <w:r>
              <w:rPr>
                <w:noProof/>
                <w:webHidden/>
              </w:rPr>
              <w:t>12</w:t>
            </w:r>
            <w:r w:rsidR="002E2007">
              <w:rPr>
                <w:noProof/>
                <w:webHidden/>
              </w:rPr>
              <w:fldChar w:fldCharType="end"/>
            </w:r>
          </w:hyperlink>
        </w:p>
        <w:p w14:paraId="7BC1567B" w14:textId="1DD4F538" w:rsidR="002E2007" w:rsidRDefault="00861420">
          <w:pPr>
            <w:pStyle w:val="TOC1"/>
            <w:tabs>
              <w:tab w:val="right" w:leader="dot" w:pos="9062"/>
            </w:tabs>
            <w:rPr>
              <w:rFonts w:eastAsiaTheme="minorEastAsia"/>
              <w:b w:val="0"/>
              <w:noProof/>
              <w:sz w:val="22"/>
              <w:szCs w:val="22"/>
              <w:lang w:eastAsia="cs-CZ"/>
            </w:rPr>
          </w:pPr>
          <w:hyperlink w:anchor="_Toc471296018" w:history="1">
            <w:r w:rsidR="002E2007" w:rsidRPr="00CE1F31">
              <w:rPr>
                <w:rStyle w:val="Hyperlink"/>
                <w:noProof/>
              </w:rPr>
              <w:t>2.5 Vývoj komunistických hnutí v Indii</w:t>
            </w:r>
            <w:r w:rsidR="002E2007">
              <w:rPr>
                <w:noProof/>
                <w:webHidden/>
              </w:rPr>
              <w:tab/>
            </w:r>
            <w:r w:rsidR="002E2007">
              <w:rPr>
                <w:noProof/>
                <w:webHidden/>
              </w:rPr>
              <w:fldChar w:fldCharType="begin"/>
            </w:r>
            <w:r w:rsidR="002E2007">
              <w:rPr>
                <w:noProof/>
                <w:webHidden/>
              </w:rPr>
              <w:instrText xml:space="preserve"> PAGEREF _Toc471296018 \h </w:instrText>
            </w:r>
            <w:r w:rsidR="002E2007">
              <w:rPr>
                <w:noProof/>
                <w:webHidden/>
              </w:rPr>
            </w:r>
            <w:r w:rsidR="002E2007">
              <w:rPr>
                <w:noProof/>
                <w:webHidden/>
              </w:rPr>
              <w:fldChar w:fldCharType="separate"/>
            </w:r>
            <w:r>
              <w:rPr>
                <w:noProof/>
                <w:webHidden/>
              </w:rPr>
              <w:t>14</w:t>
            </w:r>
            <w:r w:rsidR="002E2007">
              <w:rPr>
                <w:noProof/>
                <w:webHidden/>
              </w:rPr>
              <w:fldChar w:fldCharType="end"/>
            </w:r>
          </w:hyperlink>
        </w:p>
        <w:p w14:paraId="431FA82A" w14:textId="193E493A" w:rsidR="002E2007" w:rsidRDefault="00861420">
          <w:pPr>
            <w:pStyle w:val="TOC1"/>
            <w:tabs>
              <w:tab w:val="right" w:leader="dot" w:pos="9062"/>
            </w:tabs>
            <w:rPr>
              <w:rFonts w:eastAsiaTheme="minorEastAsia"/>
              <w:b w:val="0"/>
              <w:noProof/>
              <w:sz w:val="22"/>
              <w:szCs w:val="22"/>
              <w:lang w:eastAsia="cs-CZ"/>
            </w:rPr>
          </w:pPr>
          <w:hyperlink w:anchor="_Toc471296019" w:history="1">
            <w:r w:rsidR="002E2007" w:rsidRPr="00CE1F31">
              <w:rPr>
                <w:rStyle w:val="Hyperlink"/>
                <w:noProof/>
              </w:rPr>
              <w:t>2.5.1 Příčiny a podmínky telenganského povstání</w:t>
            </w:r>
            <w:r w:rsidR="002E2007">
              <w:rPr>
                <w:noProof/>
                <w:webHidden/>
              </w:rPr>
              <w:tab/>
            </w:r>
            <w:r w:rsidR="002E2007">
              <w:rPr>
                <w:noProof/>
                <w:webHidden/>
              </w:rPr>
              <w:fldChar w:fldCharType="begin"/>
            </w:r>
            <w:r w:rsidR="002E2007">
              <w:rPr>
                <w:noProof/>
                <w:webHidden/>
              </w:rPr>
              <w:instrText xml:space="preserve"> PAGEREF _Toc471296019 \h </w:instrText>
            </w:r>
            <w:r w:rsidR="002E2007">
              <w:rPr>
                <w:noProof/>
                <w:webHidden/>
              </w:rPr>
            </w:r>
            <w:r w:rsidR="002E2007">
              <w:rPr>
                <w:noProof/>
                <w:webHidden/>
              </w:rPr>
              <w:fldChar w:fldCharType="separate"/>
            </w:r>
            <w:r>
              <w:rPr>
                <w:noProof/>
                <w:webHidden/>
              </w:rPr>
              <w:t>15</w:t>
            </w:r>
            <w:r w:rsidR="002E2007">
              <w:rPr>
                <w:noProof/>
                <w:webHidden/>
              </w:rPr>
              <w:fldChar w:fldCharType="end"/>
            </w:r>
          </w:hyperlink>
        </w:p>
        <w:p w14:paraId="30833A49" w14:textId="490F4682" w:rsidR="002E2007" w:rsidRDefault="00861420">
          <w:pPr>
            <w:pStyle w:val="TOC1"/>
            <w:tabs>
              <w:tab w:val="right" w:leader="dot" w:pos="9062"/>
            </w:tabs>
            <w:rPr>
              <w:rFonts w:eastAsiaTheme="minorEastAsia"/>
              <w:b w:val="0"/>
              <w:noProof/>
              <w:sz w:val="22"/>
              <w:szCs w:val="22"/>
              <w:lang w:eastAsia="cs-CZ"/>
            </w:rPr>
          </w:pPr>
          <w:hyperlink w:anchor="_Toc471296020" w:history="1">
            <w:r w:rsidR="002E2007" w:rsidRPr="00CE1F31">
              <w:rPr>
                <w:rStyle w:val="Hyperlink"/>
                <w:noProof/>
              </w:rPr>
              <w:t>2.5.2 Konec telenganského povstání</w:t>
            </w:r>
            <w:r w:rsidR="002E2007">
              <w:rPr>
                <w:noProof/>
                <w:webHidden/>
              </w:rPr>
              <w:tab/>
            </w:r>
            <w:r w:rsidR="002E2007">
              <w:rPr>
                <w:noProof/>
                <w:webHidden/>
              </w:rPr>
              <w:fldChar w:fldCharType="begin"/>
            </w:r>
            <w:r w:rsidR="002E2007">
              <w:rPr>
                <w:noProof/>
                <w:webHidden/>
              </w:rPr>
              <w:instrText xml:space="preserve"> PAGEREF _Toc471296020 \h </w:instrText>
            </w:r>
            <w:r w:rsidR="002E2007">
              <w:rPr>
                <w:noProof/>
                <w:webHidden/>
              </w:rPr>
            </w:r>
            <w:r w:rsidR="002E2007">
              <w:rPr>
                <w:noProof/>
                <w:webHidden/>
              </w:rPr>
              <w:fldChar w:fldCharType="separate"/>
            </w:r>
            <w:r>
              <w:rPr>
                <w:noProof/>
                <w:webHidden/>
              </w:rPr>
              <w:t>16</w:t>
            </w:r>
            <w:r w:rsidR="002E2007">
              <w:rPr>
                <w:noProof/>
                <w:webHidden/>
              </w:rPr>
              <w:fldChar w:fldCharType="end"/>
            </w:r>
          </w:hyperlink>
        </w:p>
        <w:p w14:paraId="355FD2FE" w14:textId="538E535F" w:rsidR="002E2007" w:rsidRDefault="00861420">
          <w:pPr>
            <w:pStyle w:val="TOC1"/>
            <w:tabs>
              <w:tab w:val="right" w:leader="dot" w:pos="9062"/>
            </w:tabs>
            <w:rPr>
              <w:rFonts w:eastAsiaTheme="minorEastAsia"/>
              <w:b w:val="0"/>
              <w:noProof/>
              <w:sz w:val="22"/>
              <w:szCs w:val="22"/>
              <w:lang w:eastAsia="cs-CZ"/>
            </w:rPr>
          </w:pPr>
          <w:hyperlink w:anchor="_Toc471296021" w:history="1">
            <w:r w:rsidR="002E2007" w:rsidRPr="00CE1F31">
              <w:rPr>
                <w:rStyle w:val="Hyperlink"/>
                <w:noProof/>
              </w:rPr>
              <w:t>2.5.3 Povstalecké aktivity nakšalitů</w:t>
            </w:r>
            <w:r w:rsidR="002E2007">
              <w:rPr>
                <w:noProof/>
                <w:webHidden/>
              </w:rPr>
              <w:tab/>
            </w:r>
            <w:r w:rsidR="002E2007">
              <w:rPr>
                <w:noProof/>
                <w:webHidden/>
              </w:rPr>
              <w:fldChar w:fldCharType="begin"/>
            </w:r>
            <w:r w:rsidR="002E2007">
              <w:rPr>
                <w:noProof/>
                <w:webHidden/>
              </w:rPr>
              <w:instrText xml:space="preserve"> PAGEREF _Toc471296021 \h </w:instrText>
            </w:r>
            <w:r w:rsidR="002E2007">
              <w:rPr>
                <w:noProof/>
                <w:webHidden/>
              </w:rPr>
            </w:r>
            <w:r w:rsidR="002E2007">
              <w:rPr>
                <w:noProof/>
                <w:webHidden/>
              </w:rPr>
              <w:fldChar w:fldCharType="separate"/>
            </w:r>
            <w:r>
              <w:rPr>
                <w:noProof/>
                <w:webHidden/>
              </w:rPr>
              <w:t>17</w:t>
            </w:r>
            <w:r w:rsidR="002E2007">
              <w:rPr>
                <w:noProof/>
                <w:webHidden/>
              </w:rPr>
              <w:fldChar w:fldCharType="end"/>
            </w:r>
          </w:hyperlink>
        </w:p>
        <w:p w14:paraId="382E3743" w14:textId="2B7182FF" w:rsidR="002E2007" w:rsidRDefault="00861420">
          <w:pPr>
            <w:pStyle w:val="TOC1"/>
            <w:tabs>
              <w:tab w:val="right" w:leader="dot" w:pos="9062"/>
            </w:tabs>
            <w:rPr>
              <w:rFonts w:eastAsiaTheme="minorEastAsia"/>
              <w:b w:val="0"/>
              <w:noProof/>
              <w:sz w:val="22"/>
              <w:szCs w:val="22"/>
              <w:lang w:eastAsia="cs-CZ"/>
            </w:rPr>
          </w:pPr>
          <w:hyperlink w:anchor="_Toc471296022" w:history="1">
            <w:r w:rsidR="002E2007" w:rsidRPr="00CE1F31">
              <w:rPr>
                <w:rStyle w:val="Hyperlink"/>
                <w:noProof/>
              </w:rPr>
              <w:t>2.5.4 Změna povstalecké strategie nakšalitů</w:t>
            </w:r>
            <w:r w:rsidR="002E2007">
              <w:rPr>
                <w:noProof/>
                <w:webHidden/>
              </w:rPr>
              <w:tab/>
            </w:r>
            <w:r w:rsidR="002E2007">
              <w:rPr>
                <w:noProof/>
                <w:webHidden/>
              </w:rPr>
              <w:fldChar w:fldCharType="begin"/>
            </w:r>
            <w:r w:rsidR="002E2007">
              <w:rPr>
                <w:noProof/>
                <w:webHidden/>
              </w:rPr>
              <w:instrText xml:space="preserve"> PAGEREF _Toc471296022 \h </w:instrText>
            </w:r>
            <w:r w:rsidR="002E2007">
              <w:rPr>
                <w:noProof/>
                <w:webHidden/>
              </w:rPr>
            </w:r>
            <w:r w:rsidR="002E2007">
              <w:rPr>
                <w:noProof/>
                <w:webHidden/>
              </w:rPr>
              <w:fldChar w:fldCharType="separate"/>
            </w:r>
            <w:r>
              <w:rPr>
                <w:noProof/>
                <w:webHidden/>
              </w:rPr>
              <w:t>19</w:t>
            </w:r>
            <w:r w:rsidR="002E2007">
              <w:rPr>
                <w:noProof/>
                <w:webHidden/>
              </w:rPr>
              <w:fldChar w:fldCharType="end"/>
            </w:r>
          </w:hyperlink>
        </w:p>
        <w:p w14:paraId="600AC8C6" w14:textId="0DF155D1" w:rsidR="002E2007" w:rsidRDefault="00861420">
          <w:pPr>
            <w:pStyle w:val="TOC1"/>
            <w:tabs>
              <w:tab w:val="right" w:leader="dot" w:pos="9062"/>
            </w:tabs>
            <w:rPr>
              <w:rFonts w:eastAsiaTheme="minorEastAsia"/>
              <w:b w:val="0"/>
              <w:noProof/>
              <w:sz w:val="22"/>
              <w:szCs w:val="22"/>
              <w:lang w:eastAsia="cs-CZ"/>
            </w:rPr>
          </w:pPr>
          <w:hyperlink w:anchor="_Toc471296023" w:history="1">
            <w:r w:rsidR="002E2007" w:rsidRPr="00CE1F31">
              <w:rPr>
                <w:rStyle w:val="Hyperlink"/>
                <w:noProof/>
              </w:rPr>
              <w:t>2.5.5 Konec povstání v Západním Bengálsku</w:t>
            </w:r>
            <w:r w:rsidR="002E2007">
              <w:rPr>
                <w:noProof/>
                <w:webHidden/>
              </w:rPr>
              <w:tab/>
            </w:r>
            <w:r w:rsidR="002E2007">
              <w:rPr>
                <w:noProof/>
                <w:webHidden/>
              </w:rPr>
              <w:fldChar w:fldCharType="begin"/>
            </w:r>
            <w:r w:rsidR="002E2007">
              <w:rPr>
                <w:noProof/>
                <w:webHidden/>
              </w:rPr>
              <w:instrText xml:space="preserve"> PAGEREF _Toc471296023 \h </w:instrText>
            </w:r>
            <w:r w:rsidR="002E2007">
              <w:rPr>
                <w:noProof/>
                <w:webHidden/>
              </w:rPr>
            </w:r>
            <w:r w:rsidR="002E2007">
              <w:rPr>
                <w:noProof/>
                <w:webHidden/>
              </w:rPr>
              <w:fldChar w:fldCharType="separate"/>
            </w:r>
            <w:r>
              <w:rPr>
                <w:noProof/>
                <w:webHidden/>
              </w:rPr>
              <w:t>19</w:t>
            </w:r>
            <w:r w:rsidR="002E2007">
              <w:rPr>
                <w:noProof/>
                <w:webHidden/>
              </w:rPr>
              <w:fldChar w:fldCharType="end"/>
            </w:r>
          </w:hyperlink>
        </w:p>
        <w:p w14:paraId="18C5400E" w14:textId="57C680F3" w:rsidR="002E2007" w:rsidRDefault="00861420">
          <w:pPr>
            <w:pStyle w:val="TOC1"/>
            <w:tabs>
              <w:tab w:val="right" w:leader="dot" w:pos="9062"/>
            </w:tabs>
            <w:rPr>
              <w:rFonts w:eastAsiaTheme="minorEastAsia"/>
              <w:b w:val="0"/>
              <w:noProof/>
              <w:sz w:val="22"/>
              <w:szCs w:val="22"/>
              <w:lang w:eastAsia="cs-CZ"/>
            </w:rPr>
          </w:pPr>
          <w:hyperlink w:anchor="_Toc471296024" w:history="1">
            <w:r w:rsidR="002E2007" w:rsidRPr="00CE1F31">
              <w:rPr>
                <w:rStyle w:val="Hyperlink"/>
                <w:noProof/>
              </w:rPr>
              <w:t>2.5.6 Znovuobnovení povstaleckých aktivit v 80. letech</w:t>
            </w:r>
            <w:r w:rsidR="002E2007">
              <w:rPr>
                <w:noProof/>
                <w:webHidden/>
              </w:rPr>
              <w:tab/>
            </w:r>
            <w:r w:rsidR="002E2007">
              <w:rPr>
                <w:noProof/>
                <w:webHidden/>
              </w:rPr>
              <w:fldChar w:fldCharType="begin"/>
            </w:r>
            <w:r w:rsidR="002E2007">
              <w:rPr>
                <w:noProof/>
                <w:webHidden/>
              </w:rPr>
              <w:instrText xml:space="preserve"> PAGEREF _Toc471296024 \h </w:instrText>
            </w:r>
            <w:r w:rsidR="002E2007">
              <w:rPr>
                <w:noProof/>
                <w:webHidden/>
              </w:rPr>
            </w:r>
            <w:r w:rsidR="002E2007">
              <w:rPr>
                <w:noProof/>
                <w:webHidden/>
              </w:rPr>
              <w:fldChar w:fldCharType="separate"/>
            </w:r>
            <w:r>
              <w:rPr>
                <w:noProof/>
                <w:webHidden/>
              </w:rPr>
              <w:t>20</w:t>
            </w:r>
            <w:r w:rsidR="002E2007">
              <w:rPr>
                <w:noProof/>
                <w:webHidden/>
              </w:rPr>
              <w:fldChar w:fldCharType="end"/>
            </w:r>
          </w:hyperlink>
        </w:p>
        <w:p w14:paraId="623710AE" w14:textId="62BBBA36" w:rsidR="002E2007" w:rsidRDefault="00861420">
          <w:pPr>
            <w:pStyle w:val="TOC1"/>
            <w:tabs>
              <w:tab w:val="right" w:leader="dot" w:pos="9062"/>
            </w:tabs>
            <w:rPr>
              <w:rFonts w:eastAsiaTheme="minorEastAsia"/>
              <w:b w:val="0"/>
              <w:noProof/>
              <w:sz w:val="22"/>
              <w:szCs w:val="22"/>
              <w:lang w:eastAsia="cs-CZ"/>
            </w:rPr>
          </w:pPr>
          <w:hyperlink w:anchor="_Toc471296025" w:history="1">
            <w:r w:rsidR="002E2007" w:rsidRPr="00CE1F31">
              <w:rPr>
                <w:rStyle w:val="Hyperlink"/>
                <w:noProof/>
              </w:rPr>
              <w:t>3. Příčiny vzniku nakšalbárského povstání</w:t>
            </w:r>
            <w:r w:rsidR="002E2007">
              <w:rPr>
                <w:noProof/>
                <w:webHidden/>
              </w:rPr>
              <w:tab/>
            </w:r>
            <w:r w:rsidR="002E2007">
              <w:rPr>
                <w:noProof/>
                <w:webHidden/>
              </w:rPr>
              <w:fldChar w:fldCharType="begin"/>
            </w:r>
            <w:r w:rsidR="002E2007">
              <w:rPr>
                <w:noProof/>
                <w:webHidden/>
              </w:rPr>
              <w:instrText xml:space="preserve"> PAGEREF _Toc471296025 \h </w:instrText>
            </w:r>
            <w:r w:rsidR="002E2007">
              <w:rPr>
                <w:noProof/>
                <w:webHidden/>
              </w:rPr>
            </w:r>
            <w:r w:rsidR="002E2007">
              <w:rPr>
                <w:noProof/>
                <w:webHidden/>
              </w:rPr>
              <w:fldChar w:fldCharType="separate"/>
            </w:r>
            <w:r>
              <w:rPr>
                <w:noProof/>
                <w:webHidden/>
              </w:rPr>
              <w:t>22</w:t>
            </w:r>
            <w:r w:rsidR="002E2007">
              <w:rPr>
                <w:noProof/>
                <w:webHidden/>
              </w:rPr>
              <w:fldChar w:fldCharType="end"/>
            </w:r>
          </w:hyperlink>
        </w:p>
        <w:p w14:paraId="7587DADE" w14:textId="187CFB8D" w:rsidR="002E2007" w:rsidRDefault="00861420">
          <w:pPr>
            <w:pStyle w:val="TOC1"/>
            <w:tabs>
              <w:tab w:val="right" w:leader="dot" w:pos="9062"/>
            </w:tabs>
            <w:rPr>
              <w:rFonts w:eastAsiaTheme="minorEastAsia"/>
              <w:b w:val="0"/>
              <w:noProof/>
              <w:sz w:val="22"/>
              <w:szCs w:val="22"/>
              <w:lang w:eastAsia="cs-CZ"/>
            </w:rPr>
          </w:pPr>
          <w:hyperlink w:anchor="_Toc471296026" w:history="1">
            <w:r w:rsidR="002E2007" w:rsidRPr="00CE1F31">
              <w:rPr>
                <w:rStyle w:val="Hyperlink"/>
                <w:noProof/>
              </w:rPr>
              <w:t>3.1 Historický kontext</w:t>
            </w:r>
            <w:r w:rsidR="002E2007">
              <w:rPr>
                <w:noProof/>
                <w:webHidden/>
              </w:rPr>
              <w:tab/>
            </w:r>
            <w:r w:rsidR="002E2007">
              <w:rPr>
                <w:noProof/>
                <w:webHidden/>
              </w:rPr>
              <w:fldChar w:fldCharType="begin"/>
            </w:r>
            <w:r w:rsidR="002E2007">
              <w:rPr>
                <w:noProof/>
                <w:webHidden/>
              </w:rPr>
              <w:instrText xml:space="preserve"> PAGEREF _Toc471296026 \h </w:instrText>
            </w:r>
            <w:r w:rsidR="002E2007">
              <w:rPr>
                <w:noProof/>
                <w:webHidden/>
              </w:rPr>
            </w:r>
            <w:r w:rsidR="002E2007">
              <w:rPr>
                <w:noProof/>
                <w:webHidden/>
              </w:rPr>
              <w:fldChar w:fldCharType="separate"/>
            </w:r>
            <w:r>
              <w:rPr>
                <w:noProof/>
                <w:webHidden/>
              </w:rPr>
              <w:t>22</w:t>
            </w:r>
            <w:r w:rsidR="002E2007">
              <w:rPr>
                <w:noProof/>
                <w:webHidden/>
              </w:rPr>
              <w:fldChar w:fldCharType="end"/>
            </w:r>
          </w:hyperlink>
        </w:p>
        <w:p w14:paraId="77E479EB" w14:textId="32CBF391" w:rsidR="002E2007" w:rsidRDefault="00861420">
          <w:pPr>
            <w:pStyle w:val="TOC1"/>
            <w:tabs>
              <w:tab w:val="right" w:leader="dot" w:pos="9062"/>
            </w:tabs>
            <w:rPr>
              <w:rFonts w:eastAsiaTheme="minorEastAsia"/>
              <w:b w:val="0"/>
              <w:noProof/>
              <w:sz w:val="22"/>
              <w:szCs w:val="22"/>
              <w:lang w:eastAsia="cs-CZ"/>
            </w:rPr>
          </w:pPr>
          <w:hyperlink w:anchor="_Toc471296027" w:history="1">
            <w:r w:rsidR="002E2007" w:rsidRPr="00CE1F31">
              <w:rPr>
                <w:rStyle w:val="Hyperlink"/>
                <w:noProof/>
              </w:rPr>
              <w:t>3.2 Socioekonomické příčiny</w:t>
            </w:r>
            <w:r w:rsidR="002E2007">
              <w:rPr>
                <w:noProof/>
                <w:webHidden/>
              </w:rPr>
              <w:tab/>
            </w:r>
            <w:r w:rsidR="002E2007">
              <w:rPr>
                <w:noProof/>
                <w:webHidden/>
              </w:rPr>
              <w:fldChar w:fldCharType="begin"/>
            </w:r>
            <w:r w:rsidR="002E2007">
              <w:rPr>
                <w:noProof/>
                <w:webHidden/>
              </w:rPr>
              <w:instrText xml:space="preserve"> PAGEREF _Toc471296027 \h </w:instrText>
            </w:r>
            <w:r w:rsidR="002E2007">
              <w:rPr>
                <w:noProof/>
                <w:webHidden/>
              </w:rPr>
            </w:r>
            <w:r w:rsidR="002E2007">
              <w:rPr>
                <w:noProof/>
                <w:webHidden/>
              </w:rPr>
              <w:fldChar w:fldCharType="separate"/>
            </w:r>
            <w:r>
              <w:rPr>
                <w:noProof/>
                <w:webHidden/>
              </w:rPr>
              <w:t>22</w:t>
            </w:r>
            <w:r w:rsidR="002E2007">
              <w:rPr>
                <w:noProof/>
                <w:webHidden/>
              </w:rPr>
              <w:fldChar w:fldCharType="end"/>
            </w:r>
          </w:hyperlink>
        </w:p>
        <w:p w14:paraId="13263591" w14:textId="49421F58" w:rsidR="002E2007" w:rsidRDefault="00861420">
          <w:pPr>
            <w:pStyle w:val="TOC1"/>
            <w:tabs>
              <w:tab w:val="right" w:leader="dot" w:pos="9062"/>
            </w:tabs>
            <w:rPr>
              <w:rFonts w:eastAsiaTheme="minorEastAsia"/>
              <w:b w:val="0"/>
              <w:noProof/>
              <w:sz w:val="22"/>
              <w:szCs w:val="22"/>
              <w:lang w:eastAsia="cs-CZ"/>
            </w:rPr>
          </w:pPr>
          <w:hyperlink w:anchor="_Toc471296028" w:history="1">
            <w:r w:rsidR="002E2007" w:rsidRPr="00CE1F31">
              <w:rPr>
                <w:rStyle w:val="Hyperlink"/>
                <w:noProof/>
              </w:rPr>
              <w:t>3.3 Pozemkové reformy</w:t>
            </w:r>
            <w:r w:rsidR="002E2007">
              <w:rPr>
                <w:noProof/>
                <w:webHidden/>
              </w:rPr>
              <w:tab/>
            </w:r>
            <w:r w:rsidR="002E2007">
              <w:rPr>
                <w:noProof/>
                <w:webHidden/>
              </w:rPr>
              <w:fldChar w:fldCharType="begin"/>
            </w:r>
            <w:r w:rsidR="002E2007">
              <w:rPr>
                <w:noProof/>
                <w:webHidden/>
              </w:rPr>
              <w:instrText xml:space="preserve"> PAGEREF _Toc471296028 \h </w:instrText>
            </w:r>
            <w:r w:rsidR="002E2007">
              <w:rPr>
                <w:noProof/>
                <w:webHidden/>
              </w:rPr>
            </w:r>
            <w:r w:rsidR="002E2007">
              <w:rPr>
                <w:noProof/>
                <w:webHidden/>
              </w:rPr>
              <w:fldChar w:fldCharType="separate"/>
            </w:r>
            <w:r>
              <w:rPr>
                <w:noProof/>
                <w:webHidden/>
              </w:rPr>
              <w:t>24</w:t>
            </w:r>
            <w:r w:rsidR="002E2007">
              <w:rPr>
                <w:noProof/>
                <w:webHidden/>
              </w:rPr>
              <w:fldChar w:fldCharType="end"/>
            </w:r>
          </w:hyperlink>
        </w:p>
        <w:p w14:paraId="3BE1C5A1" w14:textId="3F4751AC" w:rsidR="002E2007" w:rsidRDefault="00861420">
          <w:pPr>
            <w:pStyle w:val="TOC1"/>
            <w:tabs>
              <w:tab w:val="right" w:leader="dot" w:pos="9062"/>
            </w:tabs>
            <w:rPr>
              <w:rFonts w:eastAsiaTheme="minorEastAsia"/>
              <w:b w:val="0"/>
              <w:noProof/>
              <w:sz w:val="22"/>
              <w:szCs w:val="22"/>
              <w:lang w:eastAsia="cs-CZ"/>
            </w:rPr>
          </w:pPr>
          <w:hyperlink w:anchor="_Toc471296029" w:history="1">
            <w:r w:rsidR="002E2007" w:rsidRPr="00CE1F31">
              <w:rPr>
                <w:rStyle w:val="Hyperlink"/>
                <w:noProof/>
              </w:rPr>
              <w:t>3.4 Pozemkové reformy: historický kontext</w:t>
            </w:r>
            <w:r w:rsidR="002E2007">
              <w:rPr>
                <w:noProof/>
                <w:webHidden/>
              </w:rPr>
              <w:tab/>
            </w:r>
            <w:r w:rsidR="002E2007">
              <w:rPr>
                <w:noProof/>
                <w:webHidden/>
              </w:rPr>
              <w:fldChar w:fldCharType="begin"/>
            </w:r>
            <w:r w:rsidR="002E2007">
              <w:rPr>
                <w:noProof/>
                <w:webHidden/>
              </w:rPr>
              <w:instrText xml:space="preserve"> PAGEREF _Toc471296029 \h </w:instrText>
            </w:r>
            <w:r w:rsidR="002E2007">
              <w:rPr>
                <w:noProof/>
                <w:webHidden/>
              </w:rPr>
            </w:r>
            <w:r w:rsidR="002E2007">
              <w:rPr>
                <w:noProof/>
                <w:webHidden/>
              </w:rPr>
              <w:fldChar w:fldCharType="separate"/>
            </w:r>
            <w:r>
              <w:rPr>
                <w:noProof/>
                <w:webHidden/>
              </w:rPr>
              <w:t>25</w:t>
            </w:r>
            <w:r w:rsidR="002E2007">
              <w:rPr>
                <w:noProof/>
                <w:webHidden/>
              </w:rPr>
              <w:fldChar w:fldCharType="end"/>
            </w:r>
          </w:hyperlink>
        </w:p>
        <w:p w14:paraId="5F67960A" w14:textId="1868B865" w:rsidR="002E2007" w:rsidRDefault="00861420">
          <w:pPr>
            <w:pStyle w:val="TOC1"/>
            <w:tabs>
              <w:tab w:val="right" w:leader="dot" w:pos="9062"/>
            </w:tabs>
            <w:rPr>
              <w:rFonts w:eastAsiaTheme="minorEastAsia"/>
              <w:b w:val="0"/>
              <w:noProof/>
              <w:sz w:val="22"/>
              <w:szCs w:val="22"/>
              <w:lang w:eastAsia="cs-CZ"/>
            </w:rPr>
          </w:pPr>
          <w:hyperlink w:anchor="_Toc471296030" w:history="1">
            <w:r w:rsidR="002E2007" w:rsidRPr="00CE1F31">
              <w:rPr>
                <w:rStyle w:val="Hyperlink"/>
                <w:noProof/>
              </w:rPr>
              <w:t>3.5 Etnické příčiny</w:t>
            </w:r>
            <w:r w:rsidR="002E2007">
              <w:rPr>
                <w:noProof/>
                <w:webHidden/>
              </w:rPr>
              <w:tab/>
            </w:r>
            <w:r w:rsidR="002E2007">
              <w:rPr>
                <w:noProof/>
                <w:webHidden/>
              </w:rPr>
              <w:fldChar w:fldCharType="begin"/>
            </w:r>
            <w:r w:rsidR="002E2007">
              <w:rPr>
                <w:noProof/>
                <w:webHidden/>
              </w:rPr>
              <w:instrText xml:space="preserve"> PAGEREF _Toc471296030 \h </w:instrText>
            </w:r>
            <w:r w:rsidR="002E2007">
              <w:rPr>
                <w:noProof/>
                <w:webHidden/>
              </w:rPr>
            </w:r>
            <w:r w:rsidR="002E2007">
              <w:rPr>
                <w:noProof/>
                <w:webHidden/>
              </w:rPr>
              <w:fldChar w:fldCharType="separate"/>
            </w:r>
            <w:r>
              <w:rPr>
                <w:noProof/>
                <w:webHidden/>
              </w:rPr>
              <w:t>26</w:t>
            </w:r>
            <w:r w:rsidR="002E2007">
              <w:rPr>
                <w:noProof/>
                <w:webHidden/>
              </w:rPr>
              <w:fldChar w:fldCharType="end"/>
            </w:r>
          </w:hyperlink>
        </w:p>
        <w:p w14:paraId="23F3F4B2" w14:textId="49F932C0" w:rsidR="002E2007" w:rsidRDefault="00861420">
          <w:pPr>
            <w:pStyle w:val="TOC1"/>
            <w:tabs>
              <w:tab w:val="right" w:leader="dot" w:pos="9062"/>
            </w:tabs>
            <w:rPr>
              <w:rFonts w:eastAsiaTheme="minorEastAsia"/>
              <w:b w:val="0"/>
              <w:noProof/>
              <w:sz w:val="22"/>
              <w:szCs w:val="22"/>
              <w:lang w:eastAsia="cs-CZ"/>
            </w:rPr>
          </w:pPr>
          <w:hyperlink w:anchor="_Toc471296031" w:history="1">
            <w:r w:rsidR="002E2007" w:rsidRPr="00CE1F31">
              <w:rPr>
                <w:rStyle w:val="Hyperlink"/>
                <w:noProof/>
              </w:rPr>
              <w:t>4. Závěr</w:t>
            </w:r>
            <w:r w:rsidR="002E2007">
              <w:rPr>
                <w:noProof/>
                <w:webHidden/>
              </w:rPr>
              <w:tab/>
            </w:r>
            <w:r w:rsidR="002E2007">
              <w:rPr>
                <w:noProof/>
                <w:webHidden/>
              </w:rPr>
              <w:fldChar w:fldCharType="begin"/>
            </w:r>
            <w:r w:rsidR="002E2007">
              <w:rPr>
                <w:noProof/>
                <w:webHidden/>
              </w:rPr>
              <w:instrText xml:space="preserve"> PAGEREF _Toc471296031 \h </w:instrText>
            </w:r>
            <w:r w:rsidR="002E2007">
              <w:rPr>
                <w:noProof/>
                <w:webHidden/>
              </w:rPr>
            </w:r>
            <w:r w:rsidR="002E2007">
              <w:rPr>
                <w:noProof/>
                <w:webHidden/>
              </w:rPr>
              <w:fldChar w:fldCharType="separate"/>
            </w:r>
            <w:r>
              <w:rPr>
                <w:noProof/>
                <w:webHidden/>
              </w:rPr>
              <w:t>28</w:t>
            </w:r>
            <w:r w:rsidR="002E2007">
              <w:rPr>
                <w:noProof/>
                <w:webHidden/>
              </w:rPr>
              <w:fldChar w:fldCharType="end"/>
            </w:r>
          </w:hyperlink>
        </w:p>
        <w:p w14:paraId="60FF1C31" w14:textId="53D7CD4D" w:rsidR="002E2007" w:rsidRDefault="00861420">
          <w:pPr>
            <w:pStyle w:val="TOC1"/>
            <w:tabs>
              <w:tab w:val="right" w:leader="dot" w:pos="9062"/>
            </w:tabs>
            <w:rPr>
              <w:rFonts w:eastAsiaTheme="minorEastAsia"/>
              <w:b w:val="0"/>
              <w:noProof/>
              <w:sz w:val="22"/>
              <w:szCs w:val="22"/>
              <w:lang w:eastAsia="cs-CZ"/>
            </w:rPr>
          </w:pPr>
          <w:hyperlink w:anchor="_Toc471296032" w:history="1">
            <w:r w:rsidR="002E2007" w:rsidRPr="00CE1F31">
              <w:rPr>
                <w:rStyle w:val="Hyperlink"/>
                <w:noProof/>
              </w:rPr>
              <w:t>Seznam použité literatury:</w:t>
            </w:r>
            <w:r w:rsidR="002E2007">
              <w:rPr>
                <w:noProof/>
                <w:webHidden/>
              </w:rPr>
              <w:tab/>
            </w:r>
            <w:r w:rsidR="002E2007">
              <w:rPr>
                <w:noProof/>
                <w:webHidden/>
              </w:rPr>
              <w:fldChar w:fldCharType="begin"/>
            </w:r>
            <w:r w:rsidR="002E2007">
              <w:rPr>
                <w:noProof/>
                <w:webHidden/>
              </w:rPr>
              <w:instrText xml:space="preserve"> PAGEREF _Toc471296032 \h </w:instrText>
            </w:r>
            <w:r w:rsidR="002E2007">
              <w:rPr>
                <w:noProof/>
                <w:webHidden/>
              </w:rPr>
            </w:r>
            <w:r w:rsidR="002E2007">
              <w:rPr>
                <w:noProof/>
                <w:webHidden/>
              </w:rPr>
              <w:fldChar w:fldCharType="separate"/>
            </w:r>
            <w:r>
              <w:rPr>
                <w:noProof/>
                <w:webHidden/>
              </w:rPr>
              <w:t>29</w:t>
            </w:r>
            <w:r w:rsidR="002E2007">
              <w:rPr>
                <w:noProof/>
                <w:webHidden/>
              </w:rPr>
              <w:fldChar w:fldCharType="end"/>
            </w:r>
          </w:hyperlink>
        </w:p>
        <w:p w14:paraId="7781A661" w14:textId="6138E2D0" w:rsidR="00657BE9" w:rsidRDefault="00657BE9">
          <w:r>
            <w:rPr>
              <w:b/>
              <w:bCs/>
              <w:noProof/>
            </w:rPr>
            <w:fldChar w:fldCharType="end"/>
          </w:r>
        </w:p>
      </w:sdtContent>
    </w:sdt>
    <w:p w14:paraId="72171081" w14:textId="77777777" w:rsidR="0068021E" w:rsidRDefault="0068021E">
      <w:pPr>
        <w:rPr>
          <w:rFonts w:ascii="Times New Roman" w:hAnsi="Times New Roman" w:cs="Times New Roman"/>
          <w:b/>
          <w:sz w:val="24"/>
          <w:szCs w:val="24"/>
        </w:rPr>
      </w:pPr>
    </w:p>
    <w:p w14:paraId="772FC4D7" w14:textId="2574B31B" w:rsidR="0068021E" w:rsidRDefault="00904322">
      <w:pPr>
        <w:rPr>
          <w:rFonts w:ascii="Times New Roman" w:hAnsi="Times New Roman" w:cs="Times New Roman"/>
          <w:b/>
          <w:sz w:val="24"/>
          <w:szCs w:val="24"/>
        </w:rPr>
      </w:pPr>
      <w:r>
        <w:rPr>
          <w:rFonts w:ascii="Times New Roman" w:hAnsi="Times New Roman" w:cs="Times New Roman"/>
          <w:b/>
          <w:sz w:val="24"/>
          <w:szCs w:val="24"/>
        </w:rPr>
        <w:t>Počet znaků: 51 678</w:t>
      </w:r>
    </w:p>
    <w:p w14:paraId="6790E617" w14:textId="77777777" w:rsidR="00E04E6B" w:rsidRDefault="00E04E6B" w:rsidP="00C910D4">
      <w:pPr>
        <w:spacing w:line="360" w:lineRule="auto"/>
        <w:jc w:val="both"/>
        <w:rPr>
          <w:rFonts w:ascii="Times New Roman" w:hAnsi="Times New Roman" w:cs="Times New Roman"/>
          <w:b/>
          <w:sz w:val="24"/>
          <w:szCs w:val="24"/>
        </w:rPr>
      </w:pPr>
    </w:p>
    <w:p w14:paraId="3CD80055" w14:textId="77777777" w:rsidR="00E04E6B" w:rsidRDefault="00E04E6B" w:rsidP="00C910D4">
      <w:pPr>
        <w:spacing w:line="360" w:lineRule="auto"/>
        <w:jc w:val="both"/>
        <w:rPr>
          <w:rFonts w:ascii="Times New Roman" w:hAnsi="Times New Roman" w:cs="Times New Roman"/>
          <w:b/>
          <w:sz w:val="24"/>
          <w:szCs w:val="24"/>
        </w:rPr>
      </w:pPr>
    </w:p>
    <w:p w14:paraId="4591A002" w14:textId="77777777" w:rsidR="00E04E6B" w:rsidRDefault="00E04E6B" w:rsidP="00C910D4">
      <w:pPr>
        <w:spacing w:line="360" w:lineRule="auto"/>
        <w:jc w:val="both"/>
        <w:rPr>
          <w:rFonts w:ascii="Times New Roman" w:hAnsi="Times New Roman" w:cs="Times New Roman"/>
          <w:b/>
          <w:sz w:val="24"/>
          <w:szCs w:val="24"/>
        </w:rPr>
      </w:pPr>
    </w:p>
    <w:p w14:paraId="3636D0DD" w14:textId="5AE22BD1" w:rsidR="00E04E6B" w:rsidRDefault="00725E62" w:rsidP="00725E62">
      <w:pPr>
        <w:pStyle w:val="Heading1"/>
      </w:pPr>
      <w:bookmarkStart w:id="0" w:name="_Toc471296009"/>
      <w:r>
        <w:lastRenderedPageBreak/>
        <w:t>1. Úvod</w:t>
      </w:r>
      <w:bookmarkEnd w:id="0"/>
      <w:r>
        <w:t xml:space="preserve"> </w:t>
      </w:r>
    </w:p>
    <w:p w14:paraId="7E4224A7" w14:textId="3B35F1EC" w:rsidR="001577E7" w:rsidRDefault="001577E7" w:rsidP="00C910D4">
      <w:pPr>
        <w:spacing w:line="360" w:lineRule="auto"/>
        <w:jc w:val="both"/>
        <w:rPr>
          <w:rFonts w:ascii="Times New Roman" w:hAnsi="Times New Roman" w:cs="Times New Roman"/>
          <w:sz w:val="24"/>
          <w:szCs w:val="24"/>
        </w:rPr>
      </w:pPr>
      <w:r w:rsidRPr="001577E7">
        <w:rPr>
          <w:rFonts w:ascii="Times New Roman" w:hAnsi="Times New Roman" w:cs="Times New Roman"/>
          <w:sz w:val="24"/>
          <w:szCs w:val="24"/>
        </w:rPr>
        <w:t xml:space="preserve">Předkládaná práce </w:t>
      </w:r>
      <w:r>
        <w:rPr>
          <w:rFonts w:ascii="Times New Roman" w:hAnsi="Times New Roman" w:cs="Times New Roman"/>
          <w:sz w:val="24"/>
          <w:szCs w:val="24"/>
        </w:rPr>
        <w:t>analyzuje příčiny konfliktu mezi indickou vládou a hnutím nakšalitů. Jde o konflikt, který není ve veřejném diskurzu příliš znám. V českých médiích se objevuje jen velice zřídka a zpravidla je o něm referováno velmi povrchně. Téma není dostatečně zpracováno ani v českých akademických pracích, což bylo i jedním z hlavních důvodů při výběru tématu pro tuto bakalářskou práci.</w:t>
      </w:r>
    </w:p>
    <w:p w14:paraId="6FF77E88" w14:textId="674ADCD6" w:rsidR="00E04E6B" w:rsidRPr="001577E7" w:rsidRDefault="001577E7" w:rsidP="00C910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 první části práce jsou </w:t>
      </w:r>
      <w:r w:rsidR="00EA471D">
        <w:rPr>
          <w:rFonts w:ascii="Times New Roman" w:hAnsi="Times New Roman" w:cs="Times New Roman"/>
          <w:sz w:val="24"/>
          <w:szCs w:val="24"/>
        </w:rPr>
        <w:t>představena teoretická východiska pro studium konfliktu v bezpečnostních a strategických studiích s důrazem na možné příčiny konfliktů. V druhé části práce je sledován vývoj indických komunistických hnutí a politických stran s důrazem na jimi podporovanou povstaleckou činnost. Současně jsou popsány podmínky, díky nimž jednotlivá povstání mohla fungovat, či naopak, kvůli kterým skončila. Poslední třetí část je věnována příčinám, které měly na nakšalitské hnutí největší vliv.</w:t>
      </w:r>
    </w:p>
    <w:p w14:paraId="563F6A0B" w14:textId="407FB340" w:rsidR="00D160A6" w:rsidRPr="00C910D4" w:rsidRDefault="00D160A6" w:rsidP="00C910D4">
      <w:pPr>
        <w:spacing w:line="360" w:lineRule="auto"/>
        <w:jc w:val="both"/>
        <w:rPr>
          <w:rFonts w:ascii="Times New Roman" w:hAnsi="Times New Roman" w:cs="Times New Roman"/>
          <w:sz w:val="24"/>
          <w:szCs w:val="24"/>
        </w:rPr>
      </w:pPr>
    </w:p>
    <w:p w14:paraId="17627612" w14:textId="2B8DB554" w:rsidR="00657BE9" w:rsidRPr="00657BE9" w:rsidRDefault="00725E62" w:rsidP="00657BE9">
      <w:pPr>
        <w:pStyle w:val="Heading1"/>
      </w:pPr>
      <w:bookmarkStart w:id="1" w:name="_Toc471296010"/>
      <w:r>
        <w:t xml:space="preserve">1.2 </w:t>
      </w:r>
      <w:r w:rsidR="00D160A6" w:rsidRPr="00C910D4">
        <w:t>Cíle práce</w:t>
      </w:r>
      <w:bookmarkEnd w:id="1"/>
    </w:p>
    <w:p w14:paraId="78E37F41" w14:textId="4BC47081" w:rsidR="00616310" w:rsidRDefault="00D160A6"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Cílem práce je analyzovat příčiny, které umožnili indickým komunistům organizovat ozbrojené útoky vůči lokálním velkostatkářům a členům vládních ozbrojených sil.</w:t>
      </w:r>
      <w:r w:rsidR="00297301">
        <w:rPr>
          <w:rFonts w:ascii="Times New Roman" w:hAnsi="Times New Roman" w:cs="Times New Roman"/>
          <w:sz w:val="24"/>
          <w:szCs w:val="24"/>
        </w:rPr>
        <w:t xml:space="preserve"> Hlavní výzkumná otázka zní: </w:t>
      </w:r>
      <w:r w:rsidR="00297301" w:rsidRPr="00297301">
        <w:rPr>
          <w:rFonts w:ascii="Times New Roman" w:hAnsi="Times New Roman" w:cs="Times New Roman"/>
          <w:i/>
          <w:sz w:val="24"/>
          <w:szCs w:val="24"/>
        </w:rPr>
        <w:t>Jaké jsou hlavní příčiny nakšalitského povstání, tedy konfliktu mezi indickou vládou a hnutím nakšalitů?</w:t>
      </w:r>
      <w:r w:rsidR="00297301">
        <w:rPr>
          <w:rFonts w:ascii="Times New Roman" w:hAnsi="Times New Roman" w:cs="Times New Roman"/>
          <w:sz w:val="24"/>
          <w:szCs w:val="24"/>
        </w:rPr>
        <w:t xml:space="preserve"> V práci je</w:t>
      </w:r>
      <w:r w:rsidRPr="00C910D4">
        <w:rPr>
          <w:rFonts w:ascii="Times New Roman" w:hAnsi="Times New Roman" w:cs="Times New Roman"/>
          <w:sz w:val="24"/>
          <w:szCs w:val="24"/>
        </w:rPr>
        <w:t xml:space="preserve"> přezkoumána maoistická intepretace spontánní agrární revoluce, kterou vykonává utlačované rolnictvo. Zvláštní pozornost je věnována socioekonomickým rozdílům mezi obyvateli postižené oblasti. Stranou nezůstává ani etnické složení populace, které mělo neopomenutelný vliv na vznik nakšalitského hnutí. Součástí práce je i zmapování vývoje indického komunistického hnutí, které rozděloval názor na využití násilí ve jménu revoluce. Nejednota panovala i v názoru na roli komunistické strany v revolučním snažení.</w:t>
      </w:r>
    </w:p>
    <w:p w14:paraId="6D003B7D" w14:textId="77777777" w:rsidR="00725E62" w:rsidRPr="00C910D4" w:rsidRDefault="00725E62" w:rsidP="00C910D4">
      <w:pPr>
        <w:spacing w:line="360" w:lineRule="auto"/>
        <w:jc w:val="both"/>
        <w:rPr>
          <w:rFonts w:ascii="Times New Roman" w:hAnsi="Times New Roman" w:cs="Times New Roman"/>
          <w:sz w:val="24"/>
          <w:szCs w:val="24"/>
        </w:rPr>
      </w:pPr>
    </w:p>
    <w:p w14:paraId="17A7B1F3" w14:textId="301E126B" w:rsidR="00657BE9" w:rsidRPr="00657BE9" w:rsidRDefault="00725E62" w:rsidP="00657BE9">
      <w:pPr>
        <w:pStyle w:val="Heading1"/>
      </w:pPr>
      <w:bookmarkStart w:id="2" w:name="_Toc471296011"/>
      <w:r>
        <w:t xml:space="preserve">1.3 </w:t>
      </w:r>
      <w:r w:rsidR="00643A17" w:rsidRPr="00C910D4">
        <w:t>Teoretická východiska pro výzkum příčin konfliktů</w:t>
      </w:r>
      <w:bookmarkEnd w:id="2"/>
    </w:p>
    <w:p w14:paraId="59BE8571" w14:textId="77777777" w:rsidR="00643A17" w:rsidRPr="00C910D4" w:rsidRDefault="00643A17"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Na začátku každého konfliktu je příčina. Jejich analýza je velmi složitá, neboť zpravidla dochází k jejich kombinaci či překrývání. Odhalit jednu hlavní příčinu je pro výzkumníka nesnadný úkol.</w:t>
      </w:r>
    </w:p>
    <w:p w14:paraId="7D122F2B" w14:textId="77777777" w:rsidR="00643A17" w:rsidRPr="00C910D4" w:rsidRDefault="00643A17"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lastRenderedPageBreak/>
        <w:t>V disciplíně výzkumu konfliktů je nejrozšířenější základní dělení dle příčin na konflikty zájmů a na konflikty hodnot. Šmíd (2010: 33) uvádí, že „</w:t>
      </w:r>
      <w:r w:rsidRPr="00C910D4">
        <w:rPr>
          <w:rFonts w:ascii="Times New Roman" w:hAnsi="Times New Roman" w:cs="Times New Roman"/>
          <w:i/>
          <w:sz w:val="24"/>
          <w:szCs w:val="24"/>
        </w:rPr>
        <w:t>konflikt zájmů představuje takový střet, který je veden o nějaký hmatatelný či „obchodovatelný“ statek v podobě ekonomického profitu, suroviny, zdroje, politické nadvlády či podobných záležitostí</w:t>
      </w:r>
      <w:r w:rsidRPr="00C910D4">
        <w:rPr>
          <w:rFonts w:ascii="Times New Roman" w:hAnsi="Times New Roman" w:cs="Times New Roman"/>
          <w:sz w:val="24"/>
          <w:szCs w:val="24"/>
        </w:rPr>
        <w:t xml:space="preserve">.“ Výhodou pro tento typ konfliktů je fakt, že předmět sporu může být za příznivých okolností mezi aktéry konfliktu rozdělen. Jinými slovy, se dá pojmout jako hra s nenulovým součtem, kdy zisk jednoho nemusí nutně znamenat absolutní prohru druhého. Konflikt zájmů má nejčastěji podobu konfliktu o území, které přináší určitý ekonomický či zahraničněpolitický profit, nebo podobu ekonomického konfliktu, pod který se řadí surovinové konflikty a konflikty o přístup na trhy či obchodní cesty. Do kategorie konfliktu zájmů patří rovněž politický konflikt, jehož cílem je prosazení politických cílů, jako jsou hegemonie, geopolitická nadvláda apod. (Šmíd 2010: 33). </w:t>
      </w:r>
    </w:p>
    <w:p w14:paraId="00F294CC" w14:textId="2BA988AA" w:rsidR="00117CA3" w:rsidRDefault="00643A17"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Předmětem konfliktů hodnot jsou oproti konfliktům zájmu věci mnohem méně hmatatelné. Do této kategorie patří především konflikty etnické, náboženské či ideologické (Šmíd 2010). Při výzkumu příčin konfliktů je nutné sledovat motivace jednotlivých aktérů. I mezi konflikty hodnot může spadat konflikt o území, pokud je hlavní motivací například symbolická hodnota území a nikoli přítomnost nerostného bohatství. </w:t>
      </w:r>
    </w:p>
    <w:p w14:paraId="21ECA605" w14:textId="77777777" w:rsidR="00725E62" w:rsidRDefault="00725E62" w:rsidP="00C910D4">
      <w:pPr>
        <w:spacing w:line="360" w:lineRule="auto"/>
        <w:jc w:val="both"/>
        <w:rPr>
          <w:rFonts w:ascii="Times New Roman" w:hAnsi="Times New Roman" w:cs="Times New Roman"/>
          <w:sz w:val="24"/>
          <w:szCs w:val="24"/>
        </w:rPr>
      </w:pPr>
    </w:p>
    <w:p w14:paraId="028CE1E0" w14:textId="2AFF79BF" w:rsidR="00117CA3" w:rsidRPr="00EA471D" w:rsidRDefault="00725E62" w:rsidP="00EA471D">
      <w:pPr>
        <w:pStyle w:val="Heading1"/>
      </w:pPr>
      <w:bookmarkStart w:id="3" w:name="_Toc471296012"/>
      <w:r>
        <w:t xml:space="preserve">1.4 </w:t>
      </w:r>
      <w:r w:rsidR="00117CA3" w:rsidRPr="00117CA3">
        <w:t>Konflikt v bezpečnostních studiích a jeho výzkum</w:t>
      </w:r>
      <w:bookmarkEnd w:id="3"/>
    </w:p>
    <w:p w14:paraId="69A37029" w14:textId="3EDC176B" w:rsidR="00F55C47" w:rsidRPr="00117CA3" w:rsidRDefault="00117CA3" w:rsidP="00F55C47">
      <w:pPr>
        <w:spacing w:line="360" w:lineRule="auto"/>
        <w:jc w:val="both"/>
        <w:rPr>
          <w:rFonts w:ascii="Times New Roman" w:hAnsi="Times New Roman" w:cs="Times New Roman"/>
          <w:sz w:val="24"/>
          <w:szCs w:val="24"/>
        </w:rPr>
      </w:pPr>
      <w:r w:rsidRPr="00117CA3">
        <w:rPr>
          <w:rFonts w:ascii="Times New Roman" w:hAnsi="Times New Roman" w:cs="Times New Roman"/>
          <w:sz w:val="24"/>
          <w:szCs w:val="24"/>
        </w:rPr>
        <w:t>Konflikt je jev, kterým se zabývá velké množství vědních oborů a lze se s ním setkat i v běžném každodenním diskurzu. Z tohoto důvodu nabývá termín konflikt mnoha podob a vyskytuje se v nejrůznějších kontextech. Pro účely tohoto textu postačí vymezení termínu relevantního pro bezpečnostní a strategická studia, které zkoumají konflikt v širším kontextu bezpečnosti.</w:t>
      </w:r>
    </w:p>
    <w:p w14:paraId="65D11952" w14:textId="60C8BE16" w:rsidR="00F55C47" w:rsidRPr="00117CA3" w:rsidRDefault="00117CA3" w:rsidP="00F55C47">
      <w:pPr>
        <w:spacing w:line="360" w:lineRule="auto"/>
        <w:jc w:val="both"/>
        <w:rPr>
          <w:rFonts w:ascii="Times New Roman" w:hAnsi="Times New Roman" w:cs="Times New Roman"/>
          <w:sz w:val="24"/>
          <w:szCs w:val="24"/>
        </w:rPr>
      </w:pPr>
      <w:r w:rsidRPr="00117CA3">
        <w:rPr>
          <w:rFonts w:ascii="Times New Roman" w:hAnsi="Times New Roman" w:cs="Times New Roman"/>
          <w:sz w:val="24"/>
          <w:szCs w:val="24"/>
        </w:rPr>
        <w:t xml:space="preserve">Pšeja (2013) definuje konflikt jako střet mezi jasně definovanými aktéry, kteří usilují o prosazení svého zájmu v jedné nebo více schodných oblastech. Aktéři zároveň vnímají vzájemný střet jako kdy zisk jedné strany znamená ztrátu druhé. Podobně o termínu konflikt píše i Waisová, která sociální realitu konfliktu vymezuje pomocí čtyř základních charakteristických znaků, kterými jsou (1.) aktéři, kteří (2.) jednají, aby (3.) prosadili své zájmy a hodnoty, které jsou (4.) neslučitelné. Konfliktem se tedy rozumí sociální situace, kdy </w:t>
      </w:r>
      <w:r w:rsidRPr="00117CA3">
        <w:rPr>
          <w:rFonts w:ascii="Times New Roman" w:hAnsi="Times New Roman" w:cs="Times New Roman"/>
          <w:sz w:val="24"/>
          <w:szCs w:val="24"/>
        </w:rPr>
        <w:lastRenderedPageBreak/>
        <w:t xml:space="preserve">v tomtéž okamžiku usilují o získání téhož statku dva a více aktérů. Požadovaného statku není dostatek, aby uspokojil poptávku všech aktérů (Waisová 2011: 38). </w:t>
      </w:r>
    </w:p>
    <w:p w14:paraId="315DC0FE" w14:textId="39AED10C" w:rsidR="00117CA3" w:rsidRPr="00117CA3" w:rsidRDefault="00117CA3" w:rsidP="00F55C47">
      <w:pPr>
        <w:spacing w:line="360" w:lineRule="auto"/>
        <w:jc w:val="both"/>
        <w:rPr>
          <w:rFonts w:ascii="Times New Roman" w:hAnsi="Times New Roman" w:cs="Times New Roman"/>
          <w:sz w:val="24"/>
          <w:szCs w:val="24"/>
        </w:rPr>
      </w:pPr>
      <w:r w:rsidRPr="00117CA3">
        <w:rPr>
          <w:rFonts w:ascii="Times New Roman" w:hAnsi="Times New Roman" w:cs="Times New Roman"/>
          <w:sz w:val="24"/>
          <w:szCs w:val="24"/>
        </w:rPr>
        <w:t xml:space="preserve">Vymezení konfliktu pomocí zmíněných čtyř atributů bude určující i pro tuto práci. Konflikt je tedy jev s jasně definovanou neslučitelností hodnot či zájmů mezi dvěma a více aktéry. Zúčastnění aktéři si neslučitelnost plně uvědomují, což se manifestuje vzájemným napětím. A konečně se konflikt se skládá z jednotlivých kroků a opatření, tedy konfliktního jednání aktérů. </w:t>
      </w:r>
    </w:p>
    <w:p w14:paraId="4E8B3E99" w14:textId="0AFBFA8D" w:rsidR="00117CA3" w:rsidRPr="00F55C47" w:rsidRDefault="00117CA3" w:rsidP="00F55C47">
      <w:pPr>
        <w:spacing w:line="360" w:lineRule="auto"/>
        <w:jc w:val="both"/>
        <w:rPr>
          <w:rFonts w:ascii="Times New Roman" w:eastAsia="Times New Roman" w:hAnsi="Times New Roman" w:cs="Times New Roman"/>
          <w:sz w:val="24"/>
          <w:szCs w:val="24"/>
        </w:rPr>
      </w:pPr>
      <w:r w:rsidRPr="00117CA3">
        <w:rPr>
          <w:rFonts w:ascii="Times New Roman" w:hAnsi="Times New Roman" w:cs="Times New Roman"/>
          <w:sz w:val="24"/>
          <w:szCs w:val="24"/>
        </w:rPr>
        <w:t xml:space="preserve">Konflikty se dělí podle úrovní, na kterých se odehrávají. </w:t>
      </w:r>
      <w:r w:rsidRPr="00117CA3">
        <w:rPr>
          <w:rFonts w:ascii="Times New Roman" w:eastAsia="Times New Roman" w:hAnsi="Times New Roman" w:cs="Times New Roman"/>
          <w:bCs/>
          <w:color w:val="000000"/>
          <w:sz w:val="24"/>
          <w:szCs w:val="24"/>
          <w:shd w:val="clear" w:color="auto" w:fill="FFFFFF"/>
        </w:rPr>
        <w:t>Møller (srov. Møller</w:t>
      </w:r>
      <w:r w:rsidRPr="00117CA3">
        <w:rPr>
          <w:rFonts w:ascii="Times New Roman" w:eastAsia="Times New Roman" w:hAnsi="Times New Roman" w:cs="Times New Roman"/>
          <w:sz w:val="24"/>
          <w:szCs w:val="24"/>
        </w:rPr>
        <w:t xml:space="preserve"> 2004) </w:t>
      </w:r>
      <w:r w:rsidRPr="00117CA3">
        <w:rPr>
          <w:rFonts w:ascii="Times New Roman" w:hAnsi="Times New Roman" w:cs="Times New Roman"/>
          <w:sz w:val="24"/>
          <w:szCs w:val="24"/>
        </w:rPr>
        <w:t>pracuje se čtyřmi základními úrovněmi konfliktů. Jednak jsou to konflikty mezinárodní, resp. mezistátní, tedy konflikty odehrávající se mezi dvěma a více státními celky. Dále konflikty vnitrostátní. Na pomezí předchozích dvou úrovní jsou konflikty transnacionální a poslední čtvrtou úrovní je úroveň mezilidská. Konflikty lze dále dělit dle jejich typů na konflikty násilní a nenásilné, popřípadě ozbrojené a neozbrojené (Šmíd 2010).</w:t>
      </w:r>
    </w:p>
    <w:p w14:paraId="4EED44A7" w14:textId="77777777" w:rsidR="00117CA3" w:rsidRPr="00117CA3" w:rsidRDefault="00117CA3" w:rsidP="00F55C47">
      <w:pPr>
        <w:spacing w:line="360" w:lineRule="auto"/>
        <w:jc w:val="both"/>
        <w:rPr>
          <w:rFonts w:ascii="Times New Roman" w:eastAsia="Times New Roman" w:hAnsi="Times New Roman" w:cs="Times New Roman"/>
          <w:sz w:val="24"/>
          <w:szCs w:val="24"/>
        </w:rPr>
      </w:pPr>
      <w:r w:rsidRPr="00117CA3">
        <w:rPr>
          <w:rFonts w:ascii="Times New Roman" w:hAnsi="Times New Roman" w:cs="Times New Roman"/>
          <w:sz w:val="24"/>
          <w:szCs w:val="24"/>
        </w:rPr>
        <w:t>Kombinací úrovní konfliktů a jejich násilným či nenásilným projevem získáme konkrétní podoby konfliktů. Typickým mezinárodním násilnými konflikty jsou války, nenásilnými jsou politické spory či hospodářské války. Na transnacionální úrovni se násilně projevují vojenské intervence či podpora ozbrojených povstalců, nenásilnou formu mají sankce vůči státům či diplomatické spory. Násilným vnitrostátním konfliktem jsou typicky občanské války, ozbrojená povstání a řadit sem můžeme i některé genocidy. Vnitrostátním nenásilným konfliktem je například politický boj. Na nejnižší mezilidské úrovni lze mezi násilné konflikty řadit širokou škálu projevů jako je násilí na ženách, vraždy, násilné trestné činy atd. Nenásilným mezilidským konfliktem jsou slovní spory či diskriminace (</w:t>
      </w:r>
      <w:r w:rsidRPr="00117CA3">
        <w:rPr>
          <w:rFonts w:ascii="Times New Roman" w:eastAsia="Times New Roman" w:hAnsi="Times New Roman" w:cs="Times New Roman"/>
          <w:bCs/>
          <w:color w:val="000000"/>
          <w:sz w:val="24"/>
          <w:szCs w:val="24"/>
          <w:shd w:val="clear" w:color="auto" w:fill="FFFFFF"/>
        </w:rPr>
        <w:t xml:space="preserve">Møller 2004, cit. dle Šmíd 2010). Výčet jednotlivých projevů není zcela vyčerpávající, nicméně poskytuje alespoň základní představu o možných podobách konfliktů. </w:t>
      </w:r>
    </w:p>
    <w:p w14:paraId="754300E4" w14:textId="69EAE405" w:rsidR="00117CA3" w:rsidRDefault="00117CA3" w:rsidP="00C910D4">
      <w:pPr>
        <w:spacing w:line="360" w:lineRule="auto"/>
        <w:jc w:val="both"/>
        <w:rPr>
          <w:rFonts w:ascii="Times New Roman" w:hAnsi="Times New Roman" w:cs="Times New Roman"/>
          <w:sz w:val="24"/>
          <w:szCs w:val="24"/>
        </w:rPr>
      </w:pPr>
    </w:p>
    <w:p w14:paraId="733A7FDC" w14:textId="01FDA34E" w:rsidR="002E2007" w:rsidRDefault="002E2007" w:rsidP="00C910D4">
      <w:pPr>
        <w:spacing w:line="360" w:lineRule="auto"/>
        <w:jc w:val="both"/>
        <w:rPr>
          <w:rFonts w:ascii="Times New Roman" w:hAnsi="Times New Roman" w:cs="Times New Roman"/>
          <w:sz w:val="24"/>
          <w:szCs w:val="24"/>
        </w:rPr>
      </w:pPr>
    </w:p>
    <w:p w14:paraId="7A6E9D35" w14:textId="7B1BB13F" w:rsidR="002E2007" w:rsidRDefault="002E2007" w:rsidP="00C910D4">
      <w:pPr>
        <w:spacing w:line="360" w:lineRule="auto"/>
        <w:jc w:val="both"/>
        <w:rPr>
          <w:rFonts w:ascii="Times New Roman" w:hAnsi="Times New Roman" w:cs="Times New Roman"/>
          <w:sz w:val="24"/>
          <w:szCs w:val="24"/>
        </w:rPr>
      </w:pPr>
    </w:p>
    <w:p w14:paraId="706BBC10" w14:textId="13BD819F" w:rsidR="002E2007" w:rsidRDefault="002E2007" w:rsidP="00C910D4">
      <w:pPr>
        <w:spacing w:line="360" w:lineRule="auto"/>
        <w:jc w:val="both"/>
        <w:rPr>
          <w:rFonts w:ascii="Times New Roman" w:hAnsi="Times New Roman" w:cs="Times New Roman"/>
          <w:sz w:val="24"/>
          <w:szCs w:val="24"/>
        </w:rPr>
      </w:pPr>
    </w:p>
    <w:p w14:paraId="408708BE" w14:textId="69F739B3" w:rsidR="002E2007" w:rsidRDefault="002E2007" w:rsidP="00C910D4">
      <w:pPr>
        <w:spacing w:line="360" w:lineRule="auto"/>
        <w:jc w:val="both"/>
        <w:rPr>
          <w:rFonts w:ascii="Times New Roman" w:hAnsi="Times New Roman" w:cs="Times New Roman"/>
          <w:sz w:val="24"/>
          <w:szCs w:val="24"/>
        </w:rPr>
      </w:pPr>
    </w:p>
    <w:p w14:paraId="4C6D69A9" w14:textId="77777777" w:rsidR="002E2007" w:rsidRDefault="002E2007" w:rsidP="00C910D4">
      <w:pPr>
        <w:spacing w:line="360" w:lineRule="auto"/>
        <w:jc w:val="both"/>
        <w:rPr>
          <w:rFonts w:ascii="Times New Roman" w:hAnsi="Times New Roman" w:cs="Times New Roman"/>
          <w:sz w:val="24"/>
          <w:szCs w:val="24"/>
        </w:rPr>
      </w:pPr>
    </w:p>
    <w:p w14:paraId="1C3E933E" w14:textId="080C2CB2" w:rsidR="00657BE9" w:rsidRPr="00C910D4" w:rsidRDefault="00894530" w:rsidP="00657BE9">
      <w:pPr>
        <w:pStyle w:val="Heading1"/>
      </w:pPr>
      <w:bookmarkStart w:id="4" w:name="_Toc471296013"/>
      <w:r>
        <w:lastRenderedPageBreak/>
        <w:t>2.</w:t>
      </w:r>
      <w:r w:rsidR="00657BE9">
        <w:t xml:space="preserve"> </w:t>
      </w:r>
      <w:r w:rsidR="00657BE9" w:rsidRPr="00C910D4">
        <w:t>Hnutí nakšalitů</w:t>
      </w:r>
      <w:bookmarkEnd w:id="4"/>
    </w:p>
    <w:p w14:paraId="27A36D05" w14:textId="77777777" w:rsidR="00657BE9" w:rsidRPr="00C910D4" w:rsidRDefault="00657BE9" w:rsidP="00657BE9">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Hnutí nakšalitů začalo lokálními nepokoji rolníků v Bengálsku, v podhůří Himaláje. V březnu 1967 měla policie prošetřit zprávy o rabování obilí a zbraní z domů hospodářů (landlordů) ve vesnici Nakšalbárí. Bývalý policejní komisař Prakash Singh (2006) popisuje vyslané policejní složky především jako demonstraci síly. Nepředpokládalo se, že by povstalci kladli vytrvalejšího odporu. Přestože měli oproti policejním složkám nesrovnatelně slabší palebnou sílu, byl při jednom ze střetů zabit policejní důstojník. Střet vyeskaloval, a na místo musely být povolány policejní posily.</w:t>
      </w:r>
    </w:p>
    <w:p w14:paraId="439A14D6" w14:textId="77777777" w:rsidR="00657BE9" w:rsidRPr="00C910D4" w:rsidRDefault="00657BE9" w:rsidP="00657BE9">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Prakash Singh (2006) rozdělil nakšalitské hnutí do tří fází. Fáze se od sebe liší prostředky, které nakšalité primárně využívali k dosažení svých politických cílů. První fáze začíná událostmi v okrese Nakšalbárí a končí dočasným potlačením hnutí v roce 1972, které je symbolizované i smrtí ideového vůdce Čáru Muzamdára. Pro toto období je charakteristické organizační formování hnutí. I přesto, že byly nepokoje z Nakšalbárí poměrně rychle potlačeny silou ze strany vládních ozbrojených sil, hnutí se ze Západního Bengálska rozšířilo i do dalších indických států, především do Ádhrapradéše a Biháru. V následující téměř dvacetileté fázi si hnutí prochází existenční krizí. Dochází k organizačnímu štěpení, nakšalité se sdružují do několika menších organizací. Členská základna je velmi rozdrobená a nevykazuje akceschopnost. Situace se obrací po roce 1991, kdy hnutí vstupuje do třetí fáze, pro kterou je charakteristický proces sjednocování rozdrobených nakšalitských organizací. Hnutí opět získává na své původní síle a je aktivní do současnosti.</w:t>
      </w:r>
    </w:p>
    <w:p w14:paraId="41ACC641" w14:textId="4B4B7FA1" w:rsidR="00657BE9" w:rsidRDefault="00657BE9"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Vzpoura v Nakšalbari byla vedena frakcí komunistické strany Indie. Do čela rolníků se postavil Kanu Sanjal a dlouholetý aktivista a komun</w:t>
      </w:r>
      <w:r w:rsidR="002E2007">
        <w:rPr>
          <w:rFonts w:ascii="Times New Roman" w:hAnsi="Times New Roman" w:cs="Times New Roman"/>
          <w:sz w:val="24"/>
          <w:szCs w:val="24"/>
        </w:rPr>
        <w:t>istický teoretik Charu Majumdar.</w:t>
      </w:r>
    </w:p>
    <w:p w14:paraId="2A6C1011" w14:textId="77777777" w:rsidR="002E2007" w:rsidRPr="00C910D4" w:rsidRDefault="002E2007" w:rsidP="00C910D4">
      <w:pPr>
        <w:spacing w:line="360" w:lineRule="auto"/>
        <w:jc w:val="both"/>
        <w:rPr>
          <w:rFonts w:ascii="Times New Roman" w:hAnsi="Times New Roman" w:cs="Times New Roman"/>
          <w:sz w:val="24"/>
          <w:szCs w:val="24"/>
        </w:rPr>
      </w:pPr>
    </w:p>
    <w:p w14:paraId="1B5C9662" w14:textId="5737E6B7" w:rsidR="00643A17" w:rsidRPr="00C910D4" w:rsidRDefault="00894530" w:rsidP="00657BE9">
      <w:pPr>
        <w:pStyle w:val="Heading1"/>
      </w:pPr>
      <w:bookmarkStart w:id="5" w:name="_Toc471296014"/>
      <w:r>
        <w:t>2.1</w:t>
      </w:r>
      <w:r w:rsidR="00657BE9">
        <w:t xml:space="preserve"> </w:t>
      </w:r>
      <w:r w:rsidR="00643A17" w:rsidRPr="00C910D4">
        <w:t>Maoistická interpretace nakšalitské vzpoury</w:t>
      </w:r>
      <w:bookmarkEnd w:id="5"/>
    </w:p>
    <w:p w14:paraId="5FEC3E24" w14:textId="1B948914" w:rsidR="00643A17" w:rsidRPr="00C910D4" w:rsidRDefault="00643A17"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Indické </w:t>
      </w:r>
      <w:r w:rsidR="00D160A6" w:rsidRPr="00C910D4">
        <w:rPr>
          <w:rFonts w:ascii="Times New Roman" w:hAnsi="Times New Roman" w:cs="Times New Roman"/>
          <w:sz w:val="24"/>
          <w:szCs w:val="24"/>
        </w:rPr>
        <w:t>komunistické strany prezentovaly</w:t>
      </w:r>
      <w:r w:rsidRPr="00C910D4">
        <w:rPr>
          <w:rFonts w:ascii="Times New Roman" w:hAnsi="Times New Roman" w:cs="Times New Roman"/>
          <w:sz w:val="24"/>
          <w:szCs w:val="24"/>
        </w:rPr>
        <w:t xml:space="preserve"> nakšalitskou vzpouru jako odstartování nového spontánně vznikajícího hnutí, které skrze rolnickou revoluci uchopí politickou moc. Cíl měl být naplněn odstraněním feudálního řádu na venkově, čímž by byli chudí bezzemci osvobozeni od vykořisťování ze strany bohatých </w:t>
      </w:r>
      <w:r w:rsidR="00D160A6" w:rsidRPr="00C910D4">
        <w:rPr>
          <w:rFonts w:ascii="Times New Roman" w:hAnsi="Times New Roman" w:cs="Times New Roman"/>
          <w:sz w:val="24"/>
          <w:szCs w:val="24"/>
        </w:rPr>
        <w:t>velko</w:t>
      </w:r>
      <w:r w:rsidRPr="00C910D4">
        <w:rPr>
          <w:rFonts w:ascii="Times New Roman" w:hAnsi="Times New Roman" w:cs="Times New Roman"/>
          <w:sz w:val="24"/>
          <w:szCs w:val="24"/>
        </w:rPr>
        <w:t xml:space="preserve">statkářů. Nově nastolený společenský řád měl zavést toliko požadované pozemkové reformy (Roy Burman 2009). Názory na podobu taktických prostředků, které by umožnili uchopení moci, se napříč indickým </w:t>
      </w:r>
      <w:r w:rsidRPr="00C910D4">
        <w:rPr>
          <w:rFonts w:ascii="Times New Roman" w:hAnsi="Times New Roman" w:cs="Times New Roman"/>
          <w:sz w:val="24"/>
          <w:szCs w:val="24"/>
        </w:rPr>
        <w:lastRenderedPageBreak/>
        <w:t xml:space="preserve">komunistickým hnutím lišily. Umírněnější komunisté prosazovali systematickou práci s rolníky a zakládání lokálních organizací. Ti radikálnější volali po cílených útocích na </w:t>
      </w:r>
      <w:r w:rsidR="00D160A6" w:rsidRPr="00C910D4">
        <w:rPr>
          <w:rFonts w:ascii="Times New Roman" w:hAnsi="Times New Roman" w:cs="Times New Roman"/>
          <w:sz w:val="24"/>
          <w:szCs w:val="24"/>
        </w:rPr>
        <w:t>velko</w:t>
      </w:r>
      <w:r w:rsidRPr="00C910D4">
        <w:rPr>
          <w:rFonts w:ascii="Times New Roman" w:hAnsi="Times New Roman" w:cs="Times New Roman"/>
          <w:sz w:val="24"/>
          <w:szCs w:val="24"/>
        </w:rPr>
        <w:t>statkáře a vládní ozbrojené síly.</w:t>
      </w:r>
    </w:p>
    <w:p w14:paraId="45154B39" w14:textId="0DEAFD33" w:rsidR="00643A17" w:rsidRDefault="00643A17"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Cílem této práce je analyzovat skutečné příčin, kvůli kterým se lidé zapojovali do bojů proti místním statkářům. Z revize sekundární literatury vyplynula řada skutečností, které zásadně zpochybňují zkoumané události jako spontánní hnutí, jehož nejvyšším cílem bylo uchvácení politické moci a nastolení nového společenského řádu. Co bylo tedy skutečnou motivací </w:t>
      </w:r>
      <w:r w:rsidR="00D160A6" w:rsidRPr="00C910D4">
        <w:rPr>
          <w:rFonts w:ascii="Times New Roman" w:hAnsi="Times New Roman" w:cs="Times New Roman"/>
          <w:sz w:val="24"/>
          <w:szCs w:val="24"/>
        </w:rPr>
        <w:t xml:space="preserve">chudých vrstev obyvatel </w:t>
      </w:r>
      <w:r w:rsidRPr="00C910D4">
        <w:rPr>
          <w:rFonts w:ascii="Times New Roman" w:hAnsi="Times New Roman" w:cs="Times New Roman"/>
          <w:sz w:val="24"/>
          <w:szCs w:val="24"/>
        </w:rPr>
        <w:t>pro zapojení se do nakšálitského hnutí? Pokud nešlo o rurální boj s revolučními cíli, o co usilovali? Pro celistvější pochopení problematiky pomůže i přezkoumání principu, na jehož základě byly skupiny mobilizovány.</w:t>
      </w:r>
    </w:p>
    <w:p w14:paraId="66938AD6" w14:textId="77777777" w:rsidR="00117CA3" w:rsidRDefault="00117CA3" w:rsidP="00C910D4">
      <w:pPr>
        <w:spacing w:line="360" w:lineRule="auto"/>
        <w:jc w:val="both"/>
        <w:rPr>
          <w:rFonts w:ascii="Times New Roman" w:hAnsi="Times New Roman" w:cs="Times New Roman"/>
          <w:sz w:val="24"/>
          <w:szCs w:val="24"/>
        </w:rPr>
      </w:pPr>
    </w:p>
    <w:p w14:paraId="2ADFF0D3" w14:textId="5B50ED2A" w:rsidR="00117CA3" w:rsidRDefault="00894530" w:rsidP="00894530">
      <w:pPr>
        <w:pStyle w:val="Heading1"/>
      </w:pPr>
      <w:bookmarkStart w:id="6" w:name="_Toc471296015"/>
      <w:r>
        <w:t xml:space="preserve">2.2 </w:t>
      </w:r>
      <w:r w:rsidR="00117CA3" w:rsidRPr="00117CA3">
        <w:t>Maoistický způsob boje</w:t>
      </w:r>
      <w:bookmarkEnd w:id="6"/>
      <w:r w:rsidR="00117CA3" w:rsidRPr="00117CA3">
        <w:t xml:space="preserve"> </w:t>
      </w:r>
    </w:p>
    <w:p w14:paraId="21B8FFD8" w14:textId="55B5AB78" w:rsidR="00117CA3" w:rsidRPr="00F55C47" w:rsidRDefault="00117CA3"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 xml:space="preserve">Nakšalité ve svém úsilí tíhli k maoistické ideologii. Inspirací se jim staly myšlenky schopného čínského vojevůdce Mao Ce-tunga. Ten vyvynul speciální strategii povstaleckého boje, která měla pomoci proletariátu chopit se moci a usnadnit tak přechod do komunistického režimu. Ústředním bodem Maovy vojenské strategie je prostřednictvím guerillových postupů získat silnou pozici ve venkovských oblastech a postupně obklíčit městská centra. </w:t>
      </w:r>
    </w:p>
    <w:p w14:paraId="3711F505" w14:textId="3D37372B" w:rsidR="00117CA3" w:rsidRPr="00F55C47" w:rsidRDefault="00117CA3"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V cestě za dosažením proletářské revoluce využívají maoisté tři hlavní nástroje. Jsou jimi postavení strany, lidová armáda a spojenecká fronta. Organizační struktura strany musí zůstat utajena do úplného vítězství a převzetí moci povstalci. V opačném případě by mohla být silnějším vládním nepřítelem zničena dřív, než by byla revoluce u konce. Působení strany v utajení je umožněno podporou indoktrinovaného kádru. Zásadní část ozbrojených bojů připadá na lidovou armádu. Jde o nástroj strany a lidu, prostřednictvím kterého má být dosaženo primárního cíle maoistů, tedy svrhnutí vlády. Mao Ce-tung uvažoval o třech fázích prodlužované války: strategická defenzíva (organizace, výstavba, násilí nízké úrovně, guerillová válka), strategická rovnováha (vyrovnanost sil, guerillová až mobilní válka) a poslední fáze strategické ofenzívy, která je charakteristická mobilními konvenčními útoky a vedením rozhodujících bitev. A konečně spojenecká fronta vzniká spojením čtyř tříd: rolníků, pracující třídy, drobné městské buržoazie a národní buržoazie (Chakrabarty – Kujur 2010).</w:t>
      </w:r>
    </w:p>
    <w:p w14:paraId="74EB2C95" w14:textId="79D493F3" w:rsidR="00A17324" w:rsidRDefault="00117CA3" w:rsidP="00C910D4">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lastRenderedPageBreak/>
        <w:t>Indičtí maoisté se k této podobě vedení boje hlásili, ne vždy se jim však dařilo skutečně uvést všechny důležité prvky do praxe.</w:t>
      </w:r>
    </w:p>
    <w:p w14:paraId="6239B295" w14:textId="0C9DE4C5" w:rsidR="001B6346" w:rsidRPr="00C910D4" w:rsidRDefault="00894530" w:rsidP="00F55C47">
      <w:pPr>
        <w:pStyle w:val="Heading1"/>
      </w:pPr>
      <w:bookmarkStart w:id="7" w:name="_Toc471296016"/>
      <w:r>
        <w:t>2.3</w:t>
      </w:r>
      <w:r w:rsidR="00657BE9">
        <w:t xml:space="preserve"> Role komunistické strany</w:t>
      </w:r>
      <w:r w:rsidR="00B83F23" w:rsidRPr="00C910D4">
        <w:t xml:space="preserve"> v</w:t>
      </w:r>
      <w:r w:rsidR="002810B7" w:rsidRPr="00C910D4">
        <w:t> přechodu do socialismu</w:t>
      </w:r>
      <w:bookmarkEnd w:id="7"/>
    </w:p>
    <w:p w14:paraId="5A84EA2D" w14:textId="216F7734" w:rsidR="00C11FE6" w:rsidRPr="00C910D4" w:rsidRDefault="00967568"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Nevyjasněnou roli komunistické strany v přechodu do socialismu lze vysledovat, již v rané marxistické literatuře. Mezi marxistickými mysliteli panovala neshoda, zda je přechod od kapitalismu k socialismu nevyhnutelný výsledek přirozeného vývoj (podobně jako</w:t>
      </w:r>
      <w:r w:rsidR="000F61CB" w:rsidRPr="00C910D4">
        <w:rPr>
          <w:rFonts w:ascii="Times New Roman" w:hAnsi="Times New Roman" w:cs="Times New Roman"/>
          <w:sz w:val="24"/>
          <w:szCs w:val="24"/>
        </w:rPr>
        <w:t xml:space="preserve"> v přechodu od feudalismu</w:t>
      </w:r>
      <w:r w:rsidRPr="00C910D4">
        <w:rPr>
          <w:rFonts w:ascii="Times New Roman" w:hAnsi="Times New Roman" w:cs="Times New Roman"/>
          <w:sz w:val="24"/>
          <w:szCs w:val="24"/>
        </w:rPr>
        <w:t xml:space="preserve"> </w:t>
      </w:r>
      <w:r w:rsidR="000F61CB" w:rsidRPr="00C910D4">
        <w:rPr>
          <w:rFonts w:ascii="Times New Roman" w:hAnsi="Times New Roman" w:cs="Times New Roman"/>
          <w:sz w:val="24"/>
          <w:szCs w:val="24"/>
        </w:rPr>
        <w:t>ke kapitalismu</w:t>
      </w:r>
      <w:r w:rsidRPr="00C910D4">
        <w:rPr>
          <w:rFonts w:ascii="Times New Roman" w:hAnsi="Times New Roman" w:cs="Times New Roman"/>
          <w:sz w:val="24"/>
          <w:szCs w:val="24"/>
        </w:rPr>
        <w:t>), nebo zda se přechod k socialismu neobejde bez nezbytné</w:t>
      </w:r>
      <w:r w:rsidR="000F61CB" w:rsidRPr="00C910D4">
        <w:rPr>
          <w:rFonts w:ascii="Times New Roman" w:hAnsi="Times New Roman" w:cs="Times New Roman"/>
          <w:sz w:val="24"/>
          <w:szCs w:val="24"/>
        </w:rPr>
        <w:t xml:space="preserve"> řízené</w:t>
      </w:r>
      <w:r w:rsidRPr="00C910D4">
        <w:rPr>
          <w:rFonts w:ascii="Times New Roman" w:hAnsi="Times New Roman" w:cs="Times New Roman"/>
          <w:sz w:val="24"/>
          <w:szCs w:val="24"/>
        </w:rPr>
        <w:t xml:space="preserve"> činnosti revoluční strany. </w:t>
      </w:r>
      <w:r w:rsidR="00710D8A" w:rsidRPr="00C910D4">
        <w:rPr>
          <w:rFonts w:ascii="Times New Roman" w:hAnsi="Times New Roman" w:cs="Times New Roman"/>
          <w:sz w:val="24"/>
          <w:szCs w:val="24"/>
        </w:rPr>
        <w:t xml:space="preserve"> </w:t>
      </w:r>
      <w:r w:rsidR="00C11FE6" w:rsidRPr="00C910D4">
        <w:rPr>
          <w:rFonts w:ascii="Times New Roman" w:hAnsi="Times New Roman" w:cs="Times New Roman"/>
          <w:sz w:val="24"/>
          <w:szCs w:val="24"/>
        </w:rPr>
        <w:t xml:space="preserve">Karl Marx argumentoval, že nenasytná chamtivost kapitalistů povede ke koncentraci příjmů do rukou stále méně početné skupiny lidí. </w:t>
      </w:r>
      <w:r w:rsidR="00D87B89" w:rsidRPr="00C910D4">
        <w:rPr>
          <w:rFonts w:ascii="Times New Roman" w:hAnsi="Times New Roman" w:cs="Times New Roman"/>
          <w:sz w:val="24"/>
          <w:szCs w:val="24"/>
        </w:rPr>
        <w:t>Z</w:t>
      </w:r>
      <w:r w:rsidR="00225CBE" w:rsidRPr="00C910D4">
        <w:rPr>
          <w:rFonts w:ascii="Times New Roman" w:hAnsi="Times New Roman" w:cs="Times New Roman"/>
          <w:sz w:val="24"/>
          <w:szCs w:val="24"/>
        </w:rPr>
        <w:t>boží a služby</w:t>
      </w:r>
      <w:r w:rsidR="00D87B89" w:rsidRPr="00C910D4">
        <w:rPr>
          <w:rFonts w:ascii="Times New Roman" w:hAnsi="Times New Roman" w:cs="Times New Roman"/>
          <w:sz w:val="24"/>
          <w:szCs w:val="24"/>
        </w:rPr>
        <w:t xml:space="preserve"> následně</w:t>
      </w:r>
      <w:r w:rsidR="00225CBE" w:rsidRPr="00C910D4">
        <w:rPr>
          <w:rFonts w:ascii="Times New Roman" w:hAnsi="Times New Roman" w:cs="Times New Roman"/>
          <w:sz w:val="24"/>
          <w:szCs w:val="24"/>
        </w:rPr>
        <w:t xml:space="preserve"> </w:t>
      </w:r>
      <w:r w:rsidR="00BA1619" w:rsidRPr="00C910D4">
        <w:rPr>
          <w:rFonts w:ascii="Times New Roman" w:hAnsi="Times New Roman" w:cs="Times New Roman"/>
          <w:sz w:val="24"/>
          <w:szCs w:val="24"/>
        </w:rPr>
        <w:t>nebudou moct najít svou tržní cenu</w:t>
      </w:r>
      <w:r w:rsidR="00225CBE" w:rsidRPr="00C910D4">
        <w:rPr>
          <w:rFonts w:ascii="Times New Roman" w:hAnsi="Times New Roman" w:cs="Times New Roman"/>
          <w:sz w:val="24"/>
          <w:szCs w:val="24"/>
        </w:rPr>
        <w:t>. Dostaví s</w:t>
      </w:r>
      <w:r w:rsidR="00BA1619" w:rsidRPr="00C910D4">
        <w:rPr>
          <w:rFonts w:ascii="Times New Roman" w:hAnsi="Times New Roman" w:cs="Times New Roman"/>
          <w:sz w:val="24"/>
          <w:szCs w:val="24"/>
        </w:rPr>
        <w:t>e nevyhnutelný propad ziskovosti</w:t>
      </w:r>
      <w:r w:rsidR="00225CBE" w:rsidRPr="00C910D4">
        <w:rPr>
          <w:rFonts w:ascii="Times New Roman" w:hAnsi="Times New Roman" w:cs="Times New Roman"/>
          <w:sz w:val="24"/>
          <w:szCs w:val="24"/>
        </w:rPr>
        <w:t>, který způsobí spirálovitý efekt vzrůstající neza</w:t>
      </w:r>
      <w:r w:rsidR="00BA1619" w:rsidRPr="00C910D4">
        <w:rPr>
          <w:rFonts w:ascii="Times New Roman" w:hAnsi="Times New Roman" w:cs="Times New Roman"/>
          <w:sz w:val="24"/>
          <w:szCs w:val="24"/>
        </w:rPr>
        <w:t>městnanosti a další pokles zisků</w:t>
      </w:r>
      <w:r w:rsidR="00225CBE" w:rsidRPr="00C910D4">
        <w:rPr>
          <w:rFonts w:ascii="Times New Roman" w:hAnsi="Times New Roman" w:cs="Times New Roman"/>
          <w:sz w:val="24"/>
          <w:szCs w:val="24"/>
        </w:rPr>
        <w:t xml:space="preserve"> </w:t>
      </w:r>
      <w:r w:rsidR="003953B1" w:rsidRPr="00C910D4">
        <w:rPr>
          <w:rFonts w:ascii="Times New Roman" w:hAnsi="Times New Roman" w:cs="Times New Roman"/>
          <w:sz w:val="24"/>
          <w:szCs w:val="24"/>
        </w:rPr>
        <w:t>(Sweezy 1981: 33</w:t>
      </w:r>
      <w:r w:rsidR="00225CBE" w:rsidRPr="00C910D4">
        <w:rPr>
          <w:rFonts w:ascii="Times New Roman" w:hAnsi="Times New Roman" w:cs="Times New Roman"/>
          <w:sz w:val="24"/>
          <w:szCs w:val="24"/>
        </w:rPr>
        <w:t xml:space="preserve">). </w:t>
      </w:r>
      <w:r w:rsidR="00D87B89" w:rsidRPr="00C910D4">
        <w:rPr>
          <w:rFonts w:ascii="Times New Roman" w:hAnsi="Times New Roman" w:cs="Times New Roman"/>
          <w:sz w:val="24"/>
          <w:szCs w:val="24"/>
        </w:rPr>
        <w:t>Aby k</w:t>
      </w:r>
      <w:r w:rsidR="00225CBE" w:rsidRPr="00C910D4">
        <w:rPr>
          <w:rFonts w:ascii="Times New Roman" w:hAnsi="Times New Roman" w:cs="Times New Roman"/>
          <w:sz w:val="24"/>
          <w:szCs w:val="24"/>
        </w:rPr>
        <w:t>apitalistické státy</w:t>
      </w:r>
      <w:r w:rsidR="00D87B89" w:rsidRPr="00C910D4">
        <w:rPr>
          <w:rFonts w:ascii="Times New Roman" w:hAnsi="Times New Roman" w:cs="Times New Roman"/>
          <w:sz w:val="24"/>
          <w:szCs w:val="24"/>
        </w:rPr>
        <w:t xml:space="preserve"> předešly těmto negativním důsledkům,</w:t>
      </w:r>
      <w:r w:rsidR="00225CBE" w:rsidRPr="00C910D4">
        <w:rPr>
          <w:rFonts w:ascii="Times New Roman" w:hAnsi="Times New Roman" w:cs="Times New Roman"/>
          <w:sz w:val="24"/>
          <w:szCs w:val="24"/>
        </w:rPr>
        <w:t xml:space="preserve"> budou nucen</w:t>
      </w:r>
      <w:r w:rsidR="00D87B89" w:rsidRPr="00C910D4">
        <w:rPr>
          <w:rFonts w:ascii="Times New Roman" w:hAnsi="Times New Roman" w:cs="Times New Roman"/>
          <w:sz w:val="24"/>
          <w:szCs w:val="24"/>
        </w:rPr>
        <w:t xml:space="preserve">i hledat nové trhy. </w:t>
      </w:r>
      <w:r w:rsidR="003953B1" w:rsidRPr="00C910D4">
        <w:rPr>
          <w:rFonts w:ascii="Times New Roman" w:hAnsi="Times New Roman" w:cs="Times New Roman"/>
          <w:sz w:val="24"/>
          <w:szCs w:val="24"/>
        </w:rPr>
        <w:t>Východiskem se stane</w:t>
      </w:r>
      <w:r w:rsidR="00D87B89" w:rsidRPr="00C910D4">
        <w:rPr>
          <w:rFonts w:ascii="Times New Roman" w:hAnsi="Times New Roman" w:cs="Times New Roman"/>
          <w:sz w:val="24"/>
          <w:szCs w:val="24"/>
        </w:rPr>
        <w:t xml:space="preserve"> koloniální expanze (Avineri 1969). </w:t>
      </w:r>
      <w:r w:rsidR="003953B1" w:rsidRPr="00C910D4">
        <w:rPr>
          <w:rFonts w:ascii="Times New Roman" w:hAnsi="Times New Roman" w:cs="Times New Roman"/>
          <w:sz w:val="24"/>
          <w:szCs w:val="24"/>
        </w:rPr>
        <w:t>Kolonialismus je nicméně pouze dočasné řešení. Tržní expanze nevyhnutelně narazí na své limity. Následná hospodářská krize</w:t>
      </w:r>
      <w:r w:rsidR="00FC4FEC" w:rsidRPr="00C910D4">
        <w:rPr>
          <w:rFonts w:ascii="Times New Roman" w:hAnsi="Times New Roman" w:cs="Times New Roman"/>
          <w:sz w:val="24"/>
          <w:szCs w:val="24"/>
        </w:rPr>
        <w:t xml:space="preserve"> zničí kapitalistický systém odcizený dělnické třídě. Vlády se ujme diktatura proletariátu v čele s komunistickou stranou</w:t>
      </w:r>
      <w:r w:rsidR="0060349A" w:rsidRPr="00C910D4">
        <w:rPr>
          <w:rFonts w:ascii="Times New Roman" w:hAnsi="Times New Roman" w:cs="Times New Roman"/>
          <w:sz w:val="24"/>
          <w:szCs w:val="24"/>
        </w:rPr>
        <w:t xml:space="preserve"> (</w:t>
      </w:r>
      <w:r w:rsidR="00573374" w:rsidRPr="00C910D4">
        <w:rPr>
          <w:rFonts w:ascii="Times New Roman" w:hAnsi="Times New Roman" w:cs="Times New Roman"/>
          <w:sz w:val="24"/>
          <w:szCs w:val="24"/>
        </w:rPr>
        <w:t xml:space="preserve">Sweezy 1981). </w:t>
      </w:r>
      <w:r w:rsidR="00F47BF3" w:rsidRPr="00C910D4">
        <w:rPr>
          <w:rFonts w:ascii="Times New Roman" w:hAnsi="Times New Roman" w:cs="Times New Roman"/>
          <w:sz w:val="24"/>
          <w:szCs w:val="24"/>
        </w:rPr>
        <w:t xml:space="preserve"> Marx konec kapitalismu popsal následovně: „</w:t>
      </w:r>
      <w:r w:rsidR="00F47BF3" w:rsidRPr="00C910D4">
        <w:rPr>
          <w:rFonts w:ascii="Times New Roman" w:hAnsi="Times New Roman" w:cs="Times New Roman"/>
          <w:i/>
          <w:sz w:val="24"/>
          <w:szCs w:val="24"/>
        </w:rPr>
        <w:t xml:space="preserve">když se třídní boj blíží rozhodující hodině, (…) malá část vládnoucí třídy </w:t>
      </w:r>
      <w:r w:rsidR="00FE3D8A" w:rsidRPr="00C910D4">
        <w:rPr>
          <w:rFonts w:ascii="Times New Roman" w:hAnsi="Times New Roman" w:cs="Times New Roman"/>
          <w:i/>
          <w:sz w:val="24"/>
          <w:szCs w:val="24"/>
        </w:rPr>
        <w:t>se odtrhne a připojí se k revoluční třídě</w:t>
      </w:r>
      <w:r w:rsidR="00FE3D8A" w:rsidRPr="00C910D4">
        <w:rPr>
          <w:rFonts w:ascii="Times New Roman" w:hAnsi="Times New Roman" w:cs="Times New Roman"/>
          <w:sz w:val="24"/>
          <w:szCs w:val="24"/>
        </w:rPr>
        <w:t>.“ (Fernbach 1974: 77)</w:t>
      </w:r>
    </w:p>
    <w:p w14:paraId="38189757" w14:textId="77777777" w:rsidR="00D529AA" w:rsidRPr="00C910D4" w:rsidRDefault="00C02077"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Otázka</w:t>
      </w:r>
      <w:r w:rsidR="00D529AA" w:rsidRPr="00C910D4">
        <w:rPr>
          <w:rFonts w:ascii="Times New Roman" w:hAnsi="Times New Roman" w:cs="Times New Roman"/>
          <w:sz w:val="24"/>
          <w:szCs w:val="24"/>
        </w:rPr>
        <w:t>, jakou roli má v revoluční změně sehrát komunistická strana</w:t>
      </w:r>
      <w:r w:rsidRPr="00C910D4">
        <w:rPr>
          <w:rFonts w:ascii="Times New Roman" w:hAnsi="Times New Roman" w:cs="Times New Roman"/>
          <w:sz w:val="24"/>
          <w:szCs w:val="24"/>
        </w:rPr>
        <w:t>, zůstává nevyjasněna</w:t>
      </w:r>
      <w:r w:rsidR="00D529AA" w:rsidRPr="00C910D4">
        <w:rPr>
          <w:rFonts w:ascii="Times New Roman" w:hAnsi="Times New Roman" w:cs="Times New Roman"/>
          <w:sz w:val="24"/>
          <w:szCs w:val="24"/>
        </w:rPr>
        <w:t>. Nekonzistentnost můžeme dále ilustrovat na příkladu marxistického autora Karla Kautského, jehož Lenin</w:t>
      </w:r>
      <w:r w:rsidRPr="00C910D4">
        <w:rPr>
          <w:rFonts w:ascii="Times New Roman" w:hAnsi="Times New Roman" w:cs="Times New Roman"/>
          <w:sz w:val="24"/>
          <w:szCs w:val="24"/>
        </w:rPr>
        <w:t xml:space="preserve"> (</w:t>
      </w:r>
      <w:r w:rsidR="001D026B" w:rsidRPr="00C910D4">
        <w:rPr>
          <w:rFonts w:ascii="Times New Roman" w:hAnsi="Times New Roman" w:cs="Times New Roman"/>
          <w:sz w:val="24"/>
          <w:szCs w:val="24"/>
        </w:rPr>
        <w:t>1949</w:t>
      </w:r>
      <w:r w:rsidRPr="00C910D4">
        <w:rPr>
          <w:rFonts w:ascii="Times New Roman" w:hAnsi="Times New Roman" w:cs="Times New Roman"/>
          <w:sz w:val="24"/>
          <w:szCs w:val="24"/>
        </w:rPr>
        <w:t>),</w:t>
      </w:r>
      <w:r w:rsidR="00D529AA" w:rsidRPr="00C910D4">
        <w:rPr>
          <w:rFonts w:ascii="Times New Roman" w:hAnsi="Times New Roman" w:cs="Times New Roman"/>
          <w:sz w:val="24"/>
          <w:szCs w:val="24"/>
        </w:rPr>
        <w:t xml:space="preserve"> ve svém známém díle </w:t>
      </w:r>
      <w:r w:rsidR="00D529AA" w:rsidRPr="00C910D4">
        <w:rPr>
          <w:rFonts w:ascii="Times New Roman" w:hAnsi="Times New Roman" w:cs="Times New Roman"/>
          <w:i/>
          <w:sz w:val="24"/>
          <w:szCs w:val="24"/>
        </w:rPr>
        <w:t>Co dělat?</w:t>
      </w:r>
      <w:r w:rsidRPr="00C910D4">
        <w:rPr>
          <w:rFonts w:ascii="Times New Roman" w:hAnsi="Times New Roman" w:cs="Times New Roman"/>
          <w:i/>
          <w:sz w:val="24"/>
          <w:szCs w:val="24"/>
        </w:rPr>
        <w:t>,</w:t>
      </w:r>
      <w:r w:rsidR="00D529AA" w:rsidRPr="00C910D4">
        <w:rPr>
          <w:rFonts w:ascii="Times New Roman" w:hAnsi="Times New Roman" w:cs="Times New Roman"/>
          <w:sz w:val="24"/>
          <w:szCs w:val="24"/>
        </w:rPr>
        <w:t xml:space="preserve"> c</w:t>
      </w:r>
      <w:r w:rsidRPr="00C910D4">
        <w:rPr>
          <w:rFonts w:ascii="Times New Roman" w:hAnsi="Times New Roman" w:cs="Times New Roman"/>
          <w:sz w:val="24"/>
          <w:szCs w:val="24"/>
        </w:rPr>
        <w:t>hválí</w:t>
      </w:r>
      <w:r w:rsidR="00D529AA" w:rsidRPr="00C910D4">
        <w:rPr>
          <w:rFonts w:ascii="Times New Roman" w:hAnsi="Times New Roman" w:cs="Times New Roman"/>
          <w:sz w:val="24"/>
          <w:szCs w:val="24"/>
        </w:rPr>
        <w:t xml:space="preserve"> za jeho vhled do problematiky, aby mu následně vytknul </w:t>
      </w:r>
      <w:r w:rsidRPr="00C910D4">
        <w:rPr>
          <w:rFonts w:ascii="Times New Roman" w:hAnsi="Times New Roman" w:cs="Times New Roman"/>
          <w:sz w:val="24"/>
          <w:szCs w:val="24"/>
        </w:rPr>
        <w:t>jeho revizionistický přístup. Kautsky předpokládá, že k revoluci dojde skrze spontánní výbuchy povstání dělnické třídy, bez vedení komunistické strany.</w:t>
      </w:r>
    </w:p>
    <w:p w14:paraId="2272BA07" w14:textId="26F72F01" w:rsidR="00A766FC" w:rsidRPr="00C910D4" w:rsidRDefault="00A766FC"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Zmatek, týkající se role komunistické strany, se stal mnohem palčivější po konci druhé světové války, kdy demokratické státy umožnily komunistickým stranám účastnit se v politických procesech. Stalin a sovětská komunistická strana se rozhodli přistoupit na pravidla demokratických národů.</w:t>
      </w:r>
    </w:p>
    <w:p w14:paraId="7F59D6D4" w14:textId="77777777" w:rsidR="00A766FC" w:rsidRPr="00C910D4" w:rsidRDefault="00731471"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Orientace na volby jako prostředek k dosažení společenské změny byla potvrzena na 19. sjezdu Komunistické strany Sovětského svazu, kde </w:t>
      </w:r>
      <w:r w:rsidR="00D7203C" w:rsidRPr="00C910D4">
        <w:rPr>
          <w:rFonts w:ascii="Times New Roman" w:hAnsi="Times New Roman" w:cs="Times New Roman"/>
          <w:sz w:val="24"/>
          <w:szCs w:val="24"/>
        </w:rPr>
        <w:t>místopředseda strany</w:t>
      </w:r>
      <w:r w:rsidRPr="00C910D4">
        <w:rPr>
          <w:rFonts w:ascii="Times New Roman" w:hAnsi="Times New Roman" w:cs="Times New Roman"/>
          <w:sz w:val="24"/>
          <w:szCs w:val="24"/>
        </w:rPr>
        <w:t xml:space="preserve"> G. Malenkov </w:t>
      </w:r>
      <w:r w:rsidR="00982736" w:rsidRPr="00C910D4">
        <w:rPr>
          <w:rFonts w:ascii="Times New Roman" w:hAnsi="Times New Roman" w:cs="Times New Roman"/>
          <w:sz w:val="24"/>
          <w:szCs w:val="24"/>
        </w:rPr>
        <w:t>prohlásil:</w:t>
      </w:r>
      <w:r w:rsidRPr="00C910D4">
        <w:rPr>
          <w:rFonts w:ascii="Times New Roman" w:hAnsi="Times New Roman" w:cs="Times New Roman"/>
          <w:sz w:val="24"/>
          <w:szCs w:val="24"/>
        </w:rPr>
        <w:t xml:space="preserve"> „</w:t>
      </w:r>
      <w:r w:rsidR="00D7203C" w:rsidRPr="00C910D4">
        <w:rPr>
          <w:rFonts w:ascii="Times New Roman" w:hAnsi="Times New Roman" w:cs="Times New Roman"/>
          <w:i/>
          <w:sz w:val="24"/>
          <w:szCs w:val="24"/>
        </w:rPr>
        <w:t xml:space="preserve">Nemáme nejmenší úmysl nutit naší ideologii nebo náš ekonomický systém nikomu. Vývoz revoluce je nesmysl. Každá země ji (revoluci – pozn. PF) udělá, pokud bude chtít, a </w:t>
      </w:r>
      <w:r w:rsidR="00D7203C" w:rsidRPr="00C910D4">
        <w:rPr>
          <w:rFonts w:ascii="Times New Roman" w:hAnsi="Times New Roman" w:cs="Times New Roman"/>
          <w:i/>
          <w:sz w:val="24"/>
          <w:szCs w:val="24"/>
        </w:rPr>
        <w:lastRenderedPageBreak/>
        <w:t xml:space="preserve">pokud chtít nebude, </w:t>
      </w:r>
      <w:r w:rsidR="00CD1F8C" w:rsidRPr="00C910D4">
        <w:rPr>
          <w:rFonts w:ascii="Times New Roman" w:hAnsi="Times New Roman" w:cs="Times New Roman"/>
          <w:i/>
          <w:sz w:val="24"/>
          <w:szCs w:val="24"/>
        </w:rPr>
        <w:t>nebude ani žádná revoluce</w:t>
      </w:r>
      <w:r w:rsidR="00D7203C" w:rsidRPr="00C910D4">
        <w:rPr>
          <w:rFonts w:ascii="Times New Roman" w:hAnsi="Times New Roman" w:cs="Times New Roman"/>
          <w:i/>
          <w:sz w:val="24"/>
          <w:szCs w:val="24"/>
        </w:rPr>
        <w:t>, říká soudruh Stalin</w:t>
      </w:r>
      <w:r w:rsidR="00D7203C" w:rsidRPr="00C910D4">
        <w:rPr>
          <w:rFonts w:ascii="Times New Roman" w:hAnsi="Times New Roman" w:cs="Times New Roman"/>
          <w:sz w:val="24"/>
          <w:szCs w:val="24"/>
        </w:rPr>
        <w:t>.“</w:t>
      </w:r>
      <w:r w:rsidR="00CD1F8C" w:rsidRPr="00C910D4">
        <w:rPr>
          <w:rFonts w:ascii="Times New Roman" w:hAnsi="Times New Roman" w:cs="Times New Roman"/>
          <w:sz w:val="24"/>
          <w:szCs w:val="24"/>
        </w:rPr>
        <w:t xml:space="preserve"> (Gupta 2004: 62) </w:t>
      </w:r>
      <w:r w:rsidR="00982736" w:rsidRPr="00C910D4">
        <w:rPr>
          <w:rFonts w:ascii="Times New Roman" w:hAnsi="Times New Roman" w:cs="Times New Roman"/>
          <w:sz w:val="24"/>
          <w:szCs w:val="24"/>
        </w:rPr>
        <w:t>Předložená strategie je ovšem v rozporu s Maovým sloganem „</w:t>
      </w:r>
      <w:r w:rsidR="00982736" w:rsidRPr="00C910D4">
        <w:rPr>
          <w:rFonts w:ascii="Times New Roman" w:hAnsi="Times New Roman" w:cs="Times New Roman"/>
          <w:i/>
          <w:sz w:val="24"/>
          <w:szCs w:val="24"/>
        </w:rPr>
        <w:t>Politická moc roste z hlavně pistole</w:t>
      </w:r>
      <w:r w:rsidR="00982736" w:rsidRPr="00C910D4">
        <w:rPr>
          <w:rFonts w:ascii="Times New Roman" w:hAnsi="Times New Roman" w:cs="Times New Roman"/>
          <w:sz w:val="24"/>
          <w:szCs w:val="24"/>
        </w:rPr>
        <w:t>“, který byl rozšířen po celé Kalkatě během nakšalitského povstání.</w:t>
      </w:r>
      <w:r w:rsidR="00264B25" w:rsidRPr="00C910D4">
        <w:rPr>
          <w:rFonts w:ascii="Times New Roman" w:hAnsi="Times New Roman" w:cs="Times New Roman"/>
          <w:sz w:val="24"/>
          <w:szCs w:val="24"/>
        </w:rPr>
        <w:t xml:space="preserve"> </w:t>
      </w:r>
      <w:r w:rsidR="00982736" w:rsidRPr="00C910D4">
        <w:rPr>
          <w:rFonts w:ascii="Times New Roman" w:hAnsi="Times New Roman" w:cs="Times New Roman"/>
          <w:sz w:val="24"/>
          <w:szCs w:val="24"/>
        </w:rPr>
        <w:t xml:space="preserve"> </w:t>
      </w:r>
      <w:r w:rsidR="00264B25" w:rsidRPr="00C910D4">
        <w:rPr>
          <w:rFonts w:ascii="Times New Roman" w:hAnsi="Times New Roman" w:cs="Times New Roman"/>
          <w:sz w:val="24"/>
          <w:szCs w:val="24"/>
        </w:rPr>
        <w:t>Rozpor, který zasáhl celé mezinárodní komunistické hnutí, lze</w:t>
      </w:r>
      <w:r w:rsidR="00EE53B4" w:rsidRPr="00C910D4">
        <w:rPr>
          <w:rFonts w:ascii="Times New Roman" w:hAnsi="Times New Roman" w:cs="Times New Roman"/>
          <w:sz w:val="24"/>
          <w:szCs w:val="24"/>
        </w:rPr>
        <w:t xml:space="preserve"> jinými slovy</w:t>
      </w:r>
      <w:r w:rsidR="00264B25" w:rsidRPr="00C910D4">
        <w:rPr>
          <w:rFonts w:ascii="Times New Roman" w:hAnsi="Times New Roman" w:cs="Times New Roman"/>
          <w:sz w:val="24"/>
          <w:szCs w:val="24"/>
        </w:rPr>
        <w:t xml:space="preserve"> shrnout do otázky, zda by k progresu v marxistickém vývoji mělo dojít mírovou cestou skrze komunistické strany pracující v mezích zákona a postupně shromažďující moc, </w:t>
      </w:r>
      <w:r w:rsidR="00EE53B4" w:rsidRPr="00C910D4">
        <w:rPr>
          <w:rFonts w:ascii="Times New Roman" w:hAnsi="Times New Roman" w:cs="Times New Roman"/>
          <w:sz w:val="24"/>
          <w:szCs w:val="24"/>
        </w:rPr>
        <w:t>nebo zda by měl být stávající sociálně-politický</w:t>
      </w:r>
      <w:r w:rsidR="00264B25" w:rsidRPr="00C910D4">
        <w:rPr>
          <w:rFonts w:ascii="Times New Roman" w:hAnsi="Times New Roman" w:cs="Times New Roman"/>
          <w:sz w:val="24"/>
          <w:szCs w:val="24"/>
        </w:rPr>
        <w:t xml:space="preserve"> </w:t>
      </w:r>
      <w:r w:rsidR="00EE53B4" w:rsidRPr="00C910D4">
        <w:rPr>
          <w:rFonts w:ascii="Times New Roman" w:hAnsi="Times New Roman" w:cs="Times New Roman"/>
          <w:sz w:val="24"/>
          <w:szCs w:val="24"/>
        </w:rPr>
        <w:t>a ekonomický systém zničen cestou násilné revoluce.</w:t>
      </w:r>
    </w:p>
    <w:p w14:paraId="349387DD" w14:textId="77777777" w:rsidR="00EE53B4" w:rsidRPr="00C910D4" w:rsidRDefault="00EE53B4" w:rsidP="00C910D4">
      <w:pPr>
        <w:spacing w:line="360" w:lineRule="auto"/>
        <w:jc w:val="both"/>
        <w:rPr>
          <w:rFonts w:ascii="Times New Roman" w:hAnsi="Times New Roman" w:cs="Times New Roman"/>
          <w:sz w:val="24"/>
          <w:szCs w:val="24"/>
        </w:rPr>
      </w:pPr>
    </w:p>
    <w:p w14:paraId="1AD00513" w14:textId="455E30FD" w:rsidR="00BA7BDC" w:rsidRPr="00F55C47" w:rsidRDefault="00894530" w:rsidP="00F55C47">
      <w:pPr>
        <w:pStyle w:val="Heading1"/>
      </w:pPr>
      <w:bookmarkStart w:id="8" w:name="_Toc471296017"/>
      <w:r>
        <w:t xml:space="preserve">2.4 </w:t>
      </w:r>
      <w:r w:rsidR="00045147" w:rsidRPr="00F55C47">
        <w:t>Indický komunismus a zahraničí</w:t>
      </w:r>
      <w:bookmarkEnd w:id="8"/>
    </w:p>
    <w:p w14:paraId="395F70EF" w14:textId="73D30D0E" w:rsidR="00EE53B4" w:rsidRPr="00C910D4" w:rsidRDefault="001638F9"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Indické komunistické hnutí bylo se zahraničními komunistickými státy vždy do značné míry spojené. Jednotlivé kroky byly </w:t>
      </w:r>
      <w:r w:rsidR="00F151CA" w:rsidRPr="00C910D4">
        <w:rPr>
          <w:rFonts w:ascii="Times New Roman" w:hAnsi="Times New Roman" w:cs="Times New Roman"/>
          <w:sz w:val="24"/>
          <w:szCs w:val="24"/>
        </w:rPr>
        <w:t>pod vlivem Pekingu či Moskvy.</w:t>
      </w:r>
      <w:r w:rsidRPr="00C910D4">
        <w:rPr>
          <w:rFonts w:ascii="Times New Roman" w:hAnsi="Times New Roman" w:cs="Times New Roman"/>
          <w:sz w:val="24"/>
          <w:szCs w:val="24"/>
        </w:rPr>
        <w:t xml:space="preserve"> </w:t>
      </w:r>
      <w:r w:rsidR="00677C48" w:rsidRPr="00C910D4">
        <w:rPr>
          <w:rFonts w:ascii="Times New Roman" w:hAnsi="Times New Roman" w:cs="Times New Roman"/>
          <w:sz w:val="24"/>
          <w:szCs w:val="24"/>
        </w:rPr>
        <w:t xml:space="preserve">V šedesátých letech dvacátého století se naplno projevovala konfrontace mezi Čínou a SSSR, dvěma hlavními komunistickými ideologiemi. Ideologický rozpor ovlivňoval i komunistické strany v Indii. Vztahy mezi Indií a Čínou </w:t>
      </w:r>
      <w:r w:rsidR="00B8391B" w:rsidRPr="00C910D4">
        <w:rPr>
          <w:rFonts w:ascii="Times New Roman" w:hAnsi="Times New Roman" w:cs="Times New Roman"/>
          <w:sz w:val="24"/>
          <w:szCs w:val="24"/>
        </w:rPr>
        <w:t xml:space="preserve">v té době </w:t>
      </w:r>
      <w:r w:rsidR="00677C48" w:rsidRPr="00C910D4">
        <w:rPr>
          <w:rFonts w:ascii="Times New Roman" w:hAnsi="Times New Roman" w:cs="Times New Roman"/>
          <w:sz w:val="24"/>
          <w:szCs w:val="24"/>
        </w:rPr>
        <w:t>determinoval pohraniční spor, který v roce 1962 vyeskaloval vojenský</w:t>
      </w:r>
      <w:r w:rsidR="00B8391B" w:rsidRPr="00C910D4">
        <w:rPr>
          <w:rFonts w:ascii="Times New Roman" w:hAnsi="Times New Roman" w:cs="Times New Roman"/>
          <w:sz w:val="24"/>
          <w:szCs w:val="24"/>
        </w:rPr>
        <w:t>m konfliktem mezi oběma zeměmi. Přesto že je Sovětský svaz přirozeným ideologickým spojencem Číny, zůstal v tomto sporu neutrální.</w:t>
      </w:r>
    </w:p>
    <w:p w14:paraId="1D7C6229" w14:textId="77777777" w:rsidR="00045147" w:rsidRPr="00C910D4" w:rsidRDefault="00B8391B"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Indicko – čínský hraniční konflikt</w:t>
      </w:r>
      <w:r w:rsidR="00BA7BDC" w:rsidRPr="00C910D4">
        <w:rPr>
          <w:rFonts w:ascii="Times New Roman" w:hAnsi="Times New Roman" w:cs="Times New Roman"/>
          <w:sz w:val="24"/>
          <w:szCs w:val="24"/>
        </w:rPr>
        <w:t xml:space="preserve"> z roku 1962</w:t>
      </w:r>
      <w:r w:rsidRPr="00C910D4">
        <w:rPr>
          <w:rFonts w:ascii="Times New Roman" w:hAnsi="Times New Roman" w:cs="Times New Roman"/>
          <w:sz w:val="24"/>
          <w:szCs w:val="24"/>
        </w:rPr>
        <w:t xml:space="preserve"> </w:t>
      </w:r>
      <w:r w:rsidR="00BA7BDC" w:rsidRPr="00C910D4">
        <w:rPr>
          <w:rFonts w:ascii="Times New Roman" w:hAnsi="Times New Roman" w:cs="Times New Roman"/>
          <w:sz w:val="24"/>
          <w:szCs w:val="24"/>
        </w:rPr>
        <w:t xml:space="preserve">stavěl indické komunisty do obtížně řešitelné situace. V případě, že by nezastávali vlasteneckou pozici bránit Indii a postavili by se na stranu komunistické země, </w:t>
      </w:r>
      <w:r w:rsidR="00045147" w:rsidRPr="00C910D4">
        <w:rPr>
          <w:rFonts w:ascii="Times New Roman" w:hAnsi="Times New Roman" w:cs="Times New Roman"/>
          <w:sz w:val="24"/>
          <w:szCs w:val="24"/>
        </w:rPr>
        <w:t>byli by označeni</w:t>
      </w:r>
      <w:r w:rsidR="00BA7BDC" w:rsidRPr="00C910D4">
        <w:rPr>
          <w:rFonts w:ascii="Times New Roman" w:hAnsi="Times New Roman" w:cs="Times New Roman"/>
          <w:sz w:val="24"/>
          <w:szCs w:val="24"/>
        </w:rPr>
        <w:t xml:space="preserve"> za zrádce a rychle by ztráceli podporu obyvatel. </w:t>
      </w:r>
      <w:r w:rsidR="00045147" w:rsidRPr="00C910D4">
        <w:rPr>
          <w:rFonts w:ascii="Times New Roman" w:hAnsi="Times New Roman" w:cs="Times New Roman"/>
          <w:sz w:val="24"/>
          <w:szCs w:val="24"/>
        </w:rPr>
        <w:t xml:space="preserve">Konflikt z roku 1962 není jediný případ, kdy mezinárodní situace vnesla mezi indické komunisty zmatek. Již krátce po svém vzniku utrpěla komunistická strana Indie (CPI) na své důvěryhodnosti. Ostře se vyhraňovala vůči nacistickému režimu v Německu </w:t>
      </w:r>
      <w:r w:rsidR="00605C0F" w:rsidRPr="00C910D4">
        <w:rPr>
          <w:rFonts w:ascii="Times New Roman" w:hAnsi="Times New Roman" w:cs="Times New Roman"/>
          <w:sz w:val="24"/>
          <w:szCs w:val="24"/>
        </w:rPr>
        <w:t xml:space="preserve">a odsuzovala jednání Adolfa Hitlera. V srpnu 1939 nicméně došlo k uzavření paktu Ribbentrop-Molotov. CPI se přizpůsobila politice Moskvy a začala spěšně oponovat britskému válečnému úsilí (Gupta 2007: </w:t>
      </w:r>
      <w:r w:rsidR="001638F9" w:rsidRPr="00C910D4">
        <w:rPr>
          <w:rFonts w:ascii="Times New Roman" w:hAnsi="Times New Roman" w:cs="Times New Roman"/>
          <w:sz w:val="24"/>
          <w:szCs w:val="24"/>
        </w:rPr>
        <w:t>164).</w:t>
      </w:r>
    </w:p>
    <w:p w14:paraId="55BE9B6A" w14:textId="55B25A23" w:rsidR="00045147" w:rsidRPr="00C910D4" w:rsidRDefault="005D44B6"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Stranická jednota byla </w:t>
      </w:r>
      <w:r w:rsidR="00003E71" w:rsidRPr="00C910D4">
        <w:rPr>
          <w:rFonts w:ascii="Times New Roman" w:hAnsi="Times New Roman" w:cs="Times New Roman"/>
          <w:sz w:val="24"/>
          <w:szCs w:val="24"/>
        </w:rPr>
        <w:t>narušena do té míry, že se CPI</w:t>
      </w:r>
      <w:r w:rsidRPr="00C910D4">
        <w:rPr>
          <w:rFonts w:ascii="Times New Roman" w:hAnsi="Times New Roman" w:cs="Times New Roman"/>
          <w:sz w:val="24"/>
          <w:szCs w:val="24"/>
        </w:rPr>
        <w:t xml:space="preserve"> v roce 1964 rozdělila. Od starších členů loajáln</w:t>
      </w:r>
      <w:r w:rsidR="00201F5E" w:rsidRPr="00C910D4">
        <w:rPr>
          <w:rFonts w:ascii="Times New Roman" w:hAnsi="Times New Roman" w:cs="Times New Roman"/>
          <w:sz w:val="24"/>
          <w:szCs w:val="24"/>
        </w:rPr>
        <w:t>ích Sovětskému svazu se odloučila</w:t>
      </w:r>
      <w:r w:rsidRPr="00C910D4">
        <w:rPr>
          <w:rFonts w:ascii="Times New Roman" w:hAnsi="Times New Roman" w:cs="Times New Roman"/>
          <w:sz w:val="24"/>
          <w:szCs w:val="24"/>
        </w:rPr>
        <w:t xml:space="preserve"> skupina mladších straníků, kteří vytvořili Komunistickou stranu Indie </w:t>
      </w:r>
      <w:r w:rsidR="00201F5E" w:rsidRPr="00C910D4">
        <w:rPr>
          <w:rFonts w:ascii="Times New Roman" w:hAnsi="Times New Roman" w:cs="Times New Roman"/>
          <w:sz w:val="24"/>
          <w:szCs w:val="24"/>
        </w:rPr>
        <w:t>(M</w:t>
      </w:r>
      <w:r w:rsidRPr="00C910D4">
        <w:rPr>
          <w:rFonts w:ascii="Times New Roman" w:hAnsi="Times New Roman" w:cs="Times New Roman"/>
          <w:sz w:val="24"/>
          <w:szCs w:val="24"/>
        </w:rPr>
        <w:t>arxisté)</w:t>
      </w:r>
      <w:r w:rsidR="00201F5E" w:rsidRPr="00C910D4">
        <w:rPr>
          <w:rFonts w:ascii="Times New Roman" w:hAnsi="Times New Roman" w:cs="Times New Roman"/>
          <w:sz w:val="24"/>
          <w:szCs w:val="24"/>
        </w:rPr>
        <w:t>, CPI- M</w:t>
      </w:r>
      <w:r w:rsidRPr="00C910D4">
        <w:rPr>
          <w:rFonts w:ascii="Times New Roman" w:hAnsi="Times New Roman" w:cs="Times New Roman"/>
          <w:sz w:val="24"/>
          <w:szCs w:val="24"/>
        </w:rPr>
        <w:t xml:space="preserve">. </w:t>
      </w:r>
      <w:r w:rsidR="00201F5E" w:rsidRPr="00C910D4">
        <w:rPr>
          <w:rFonts w:ascii="Times New Roman" w:hAnsi="Times New Roman" w:cs="Times New Roman"/>
          <w:sz w:val="24"/>
          <w:szCs w:val="24"/>
        </w:rPr>
        <w:t>Mladá strana pokračovala v práci s rolníky v severním Bengálsku.</w:t>
      </w:r>
      <w:r w:rsidR="004D491E" w:rsidRPr="00C910D4">
        <w:rPr>
          <w:rFonts w:ascii="Times New Roman" w:hAnsi="Times New Roman" w:cs="Times New Roman"/>
          <w:sz w:val="24"/>
          <w:szCs w:val="24"/>
        </w:rPr>
        <w:t xml:space="preserve"> </w:t>
      </w:r>
      <w:r w:rsidR="008935CA" w:rsidRPr="00C910D4">
        <w:rPr>
          <w:rFonts w:ascii="Times New Roman" w:hAnsi="Times New Roman" w:cs="Times New Roman"/>
          <w:sz w:val="24"/>
          <w:szCs w:val="24"/>
        </w:rPr>
        <w:t xml:space="preserve">Nicméně ani nová radikálnější pročínská strana CPI- M nebyla </w:t>
      </w:r>
      <w:r w:rsidR="00003E71" w:rsidRPr="00C910D4">
        <w:rPr>
          <w:rFonts w:ascii="Times New Roman" w:hAnsi="Times New Roman" w:cs="Times New Roman"/>
          <w:sz w:val="24"/>
          <w:szCs w:val="24"/>
        </w:rPr>
        <w:t xml:space="preserve">názorově </w:t>
      </w:r>
      <w:r w:rsidR="008935CA" w:rsidRPr="00C910D4">
        <w:rPr>
          <w:rFonts w:ascii="Times New Roman" w:hAnsi="Times New Roman" w:cs="Times New Roman"/>
          <w:sz w:val="24"/>
          <w:szCs w:val="24"/>
        </w:rPr>
        <w:t xml:space="preserve">jednotná. Podle Gupty (2007: 167) pro ty, kteří věřili v násilné povstání dělnické třídy, nebyli starší členové z CPI nic jiného než zrádci, kteří zradili povstání v Telanganě </w:t>
      </w:r>
      <w:r w:rsidR="008935CA" w:rsidRPr="00C910D4">
        <w:rPr>
          <w:rFonts w:ascii="Times New Roman" w:hAnsi="Times New Roman" w:cs="Times New Roman"/>
          <w:sz w:val="24"/>
          <w:szCs w:val="24"/>
        </w:rPr>
        <w:lastRenderedPageBreak/>
        <w:t xml:space="preserve">v roce 1951. </w:t>
      </w:r>
      <w:r w:rsidR="00811930" w:rsidRPr="00C910D4">
        <w:rPr>
          <w:rFonts w:ascii="Times New Roman" w:hAnsi="Times New Roman" w:cs="Times New Roman"/>
          <w:sz w:val="24"/>
          <w:szCs w:val="24"/>
        </w:rPr>
        <w:t>Ze stejného</w:t>
      </w:r>
      <w:r w:rsidR="008935CA" w:rsidRPr="00C910D4">
        <w:rPr>
          <w:rFonts w:ascii="Times New Roman" w:hAnsi="Times New Roman" w:cs="Times New Roman"/>
          <w:sz w:val="24"/>
          <w:szCs w:val="24"/>
        </w:rPr>
        <w:t xml:space="preserve"> důvodu </w:t>
      </w:r>
      <w:r w:rsidR="00811930" w:rsidRPr="00C910D4">
        <w:rPr>
          <w:rFonts w:ascii="Times New Roman" w:hAnsi="Times New Roman" w:cs="Times New Roman"/>
          <w:sz w:val="24"/>
          <w:szCs w:val="24"/>
        </w:rPr>
        <w:t>celou řadu kádrů (zejména těch, kteří se zapojily do organizování rolníků v Západním Bengálsku) odcizilo rozhodnutí CPI-M změnit strategii</w:t>
      </w:r>
      <w:r w:rsidR="000A1C2C" w:rsidRPr="00C910D4">
        <w:rPr>
          <w:rFonts w:ascii="Times New Roman" w:hAnsi="Times New Roman" w:cs="Times New Roman"/>
          <w:sz w:val="24"/>
          <w:szCs w:val="24"/>
        </w:rPr>
        <w:t xml:space="preserve">. Nově se strana měla zapojit do demokratického procesu a soutěžit ve volbách. </w:t>
      </w:r>
      <w:r w:rsidR="004D491E" w:rsidRPr="00C910D4">
        <w:rPr>
          <w:rFonts w:ascii="Times New Roman" w:hAnsi="Times New Roman" w:cs="Times New Roman"/>
          <w:sz w:val="24"/>
          <w:szCs w:val="24"/>
        </w:rPr>
        <w:t>V </w:t>
      </w:r>
      <w:r w:rsidR="008935CA" w:rsidRPr="00C910D4">
        <w:rPr>
          <w:rFonts w:ascii="Times New Roman" w:hAnsi="Times New Roman" w:cs="Times New Roman"/>
          <w:sz w:val="24"/>
          <w:szCs w:val="24"/>
        </w:rPr>
        <w:t>nejednotě</w:t>
      </w:r>
      <w:r w:rsidR="004D491E" w:rsidRPr="00C910D4">
        <w:rPr>
          <w:rFonts w:ascii="Times New Roman" w:hAnsi="Times New Roman" w:cs="Times New Roman"/>
          <w:sz w:val="24"/>
          <w:szCs w:val="24"/>
        </w:rPr>
        <w:t xml:space="preserve"> CPI</w:t>
      </w:r>
      <w:r w:rsidR="008935CA" w:rsidRPr="00C910D4">
        <w:rPr>
          <w:rFonts w:ascii="Times New Roman" w:hAnsi="Times New Roman" w:cs="Times New Roman"/>
          <w:sz w:val="24"/>
          <w:szCs w:val="24"/>
        </w:rPr>
        <w:t>-M</w:t>
      </w:r>
      <w:r w:rsidR="004D491E" w:rsidRPr="00C910D4">
        <w:rPr>
          <w:rFonts w:ascii="Times New Roman" w:hAnsi="Times New Roman" w:cs="Times New Roman"/>
          <w:sz w:val="24"/>
          <w:szCs w:val="24"/>
        </w:rPr>
        <w:t xml:space="preserve"> opět sehrála svou roli problematika násilné revoluce, jeden z palčivých ideologických problémů uvnitř marxismu.</w:t>
      </w:r>
    </w:p>
    <w:p w14:paraId="47A4F7E5" w14:textId="77777777" w:rsidR="002E2007" w:rsidRDefault="006F19D7" w:rsidP="00C910D4">
      <w:pPr>
        <w:pStyle w:val="NormalWeb"/>
        <w:spacing w:after="0" w:line="360" w:lineRule="auto"/>
        <w:jc w:val="both"/>
        <w:rPr>
          <w:rFonts w:ascii="Times New Roman" w:hAnsi="Times New Roman"/>
          <w:sz w:val="24"/>
          <w:szCs w:val="24"/>
          <w:lang w:val="cs-CZ"/>
        </w:rPr>
      </w:pPr>
      <w:r w:rsidRPr="00C910D4">
        <w:rPr>
          <w:rFonts w:ascii="Times New Roman" w:hAnsi="Times New Roman"/>
          <w:sz w:val="24"/>
          <w:szCs w:val="24"/>
          <w:lang w:val="cs-CZ"/>
        </w:rPr>
        <w:t xml:space="preserve">Západní Bengálsko je stát s dlouholetou zkušeností nepokojů a povstání. Své působiště zde nalezl rovněž </w:t>
      </w:r>
      <w:r w:rsidR="00003E71" w:rsidRPr="00C910D4">
        <w:rPr>
          <w:rFonts w:ascii="Times New Roman" w:hAnsi="Times New Roman"/>
          <w:sz w:val="24"/>
          <w:szCs w:val="24"/>
        </w:rPr>
        <w:t>Čáru Muzamdár</w:t>
      </w:r>
      <w:r w:rsidRPr="00C910D4">
        <w:rPr>
          <w:rFonts w:ascii="Times New Roman" w:hAnsi="Times New Roman"/>
          <w:sz w:val="24"/>
          <w:szCs w:val="24"/>
          <w:lang w:val="cs-CZ"/>
        </w:rPr>
        <w:t>, který se stal výraznou p</w:t>
      </w:r>
      <w:r w:rsidR="00003E71" w:rsidRPr="00C910D4">
        <w:rPr>
          <w:rFonts w:ascii="Times New Roman" w:hAnsi="Times New Roman"/>
          <w:sz w:val="24"/>
          <w:szCs w:val="24"/>
          <w:lang w:val="cs-CZ"/>
        </w:rPr>
        <w:t>ostavou nakšalitského hnutí. Mazumdá</w:t>
      </w:r>
      <w:r w:rsidRPr="00C910D4">
        <w:rPr>
          <w:rFonts w:ascii="Times New Roman" w:hAnsi="Times New Roman"/>
          <w:sz w:val="24"/>
          <w:szCs w:val="24"/>
          <w:lang w:val="cs-CZ"/>
        </w:rPr>
        <w:t xml:space="preserve">r se narodil do rodiny indického </w:t>
      </w:r>
      <w:r w:rsidR="00003E71" w:rsidRPr="00C910D4">
        <w:rPr>
          <w:rFonts w:ascii="Times New Roman" w:hAnsi="Times New Roman"/>
          <w:sz w:val="24"/>
          <w:szCs w:val="24"/>
          <w:lang w:val="cs-CZ"/>
        </w:rPr>
        <w:t>velkostatkáře, později ale vstoupil do CPI</w:t>
      </w:r>
      <w:r w:rsidRPr="00C910D4">
        <w:rPr>
          <w:rFonts w:ascii="Times New Roman" w:hAnsi="Times New Roman"/>
          <w:sz w:val="24"/>
          <w:szCs w:val="24"/>
          <w:lang w:val="cs-CZ"/>
        </w:rPr>
        <w:t>. Kolem roku 1965 napsal ve vězení sadu devíti esejů, které se staly souborem zásadních myšlenek pro cele hnutí nakšalitů (srov. Singh 2006). Majumdar se ve svých esejích zamýšlel, proč nemohou komunistická hnutí v Indii dlouhodobě uspět. Vzorem mu byla Komunistická strana Číny pod vedením Mao Ce-tunga a její provedení proletářské revoluce. Byl přesvědčen, že následovníci revizionistů v Moskvě a jejich stoupenci v Indii zradili indické komunist</w:t>
      </w:r>
      <w:r w:rsidR="00003E71" w:rsidRPr="00C910D4">
        <w:rPr>
          <w:rFonts w:ascii="Times New Roman" w:hAnsi="Times New Roman"/>
          <w:sz w:val="24"/>
          <w:szCs w:val="24"/>
          <w:lang w:val="cs-CZ"/>
        </w:rPr>
        <w:t>ické hnutí. Druhou důležitou Mazumdá</w:t>
      </w:r>
      <w:r w:rsidRPr="00C910D4">
        <w:rPr>
          <w:rFonts w:ascii="Times New Roman" w:hAnsi="Times New Roman"/>
          <w:sz w:val="24"/>
          <w:szCs w:val="24"/>
          <w:lang w:val="cs-CZ"/>
        </w:rPr>
        <w:t xml:space="preserve">rovou tezí bylo, že revoluce v Indii musí vzejít od rolníků ve vesnicích, nikoli z měst (Singh 2006). </w:t>
      </w:r>
    </w:p>
    <w:p w14:paraId="6C68DA62" w14:textId="49D8F687" w:rsidR="006F19D7" w:rsidRPr="00C910D4" w:rsidRDefault="006F19D7" w:rsidP="00C910D4">
      <w:pPr>
        <w:pStyle w:val="NormalWeb"/>
        <w:spacing w:after="0" w:line="360" w:lineRule="auto"/>
        <w:jc w:val="both"/>
        <w:rPr>
          <w:rFonts w:ascii="Times New Roman" w:hAnsi="Times New Roman"/>
          <w:sz w:val="24"/>
          <w:szCs w:val="24"/>
          <w:lang w:val="cs-CZ"/>
        </w:rPr>
      </w:pPr>
      <w:r w:rsidRPr="00C910D4">
        <w:rPr>
          <w:rFonts w:ascii="Times New Roman" w:hAnsi="Times New Roman"/>
          <w:sz w:val="24"/>
          <w:szCs w:val="24"/>
          <w:lang w:val="cs-CZ"/>
        </w:rPr>
        <w:t xml:space="preserve">Podobně jako panuje v globálním komunistickém hnutí rozkol, zda by měla revoluce vzniknout spontánně nebo by měla být iniciovaná </w:t>
      </w:r>
      <w:r w:rsidR="00003E71" w:rsidRPr="00C910D4">
        <w:rPr>
          <w:rFonts w:ascii="Times New Roman" w:hAnsi="Times New Roman"/>
          <w:sz w:val="24"/>
          <w:szCs w:val="24"/>
          <w:lang w:val="cs-CZ"/>
        </w:rPr>
        <w:t>cílenou</w:t>
      </w:r>
      <w:r w:rsidRPr="00C910D4">
        <w:rPr>
          <w:rFonts w:ascii="Times New Roman" w:hAnsi="Times New Roman"/>
          <w:sz w:val="24"/>
          <w:szCs w:val="24"/>
          <w:lang w:val="cs-CZ"/>
        </w:rPr>
        <w:t xml:space="preserve"> činností komunistické strany, rozpoutala se me</w:t>
      </w:r>
      <w:r w:rsidR="00003E71" w:rsidRPr="00C910D4">
        <w:rPr>
          <w:rFonts w:ascii="Times New Roman" w:hAnsi="Times New Roman"/>
          <w:sz w:val="24"/>
          <w:szCs w:val="24"/>
          <w:lang w:val="cs-CZ"/>
        </w:rPr>
        <w:t xml:space="preserve">zi revolucionáři debata, zda by </w:t>
      </w:r>
      <w:r w:rsidRPr="00C910D4">
        <w:rPr>
          <w:rFonts w:ascii="Times New Roman" w:hAnsi="Times New Roman"/>
          <w:sz w:val="24"/>
          <w:szCs w:val="24"/>
          <w:lang w:val="cs-CZ"/>
        </w:rPr>
        <w:t xml:space="preserve">mělo </w:t>
      </w:r>
      <w:r w:rsidR="00003E71" w:rsidRPr="00C910D4">
        <w:rPr>
          <w:rFonts w:ascii="Times New Roman" w:hAnsi="Times New Roman"/>
          <w:sz w:val="24"/>
          <w:szCs w:val="24"/>
          <w:lang w:val="cs-CZ"/>
        </w:rPr>
        <w:t>mít hnutí svou základnu ve venkovských oblastech</w:t>
      </w:r>
      <w:r w:rsidRPr="00C910D4">
        <w:rPr>
          <w:rFonts w:ascii="Times New Roman" w:hAnsi="Times New Roman"/>
          <w:sz w:val="24"/>
          <w:szCs w:val="24"/>
          <w:lang w:val="cs-CZ"/>
        </w:rPr>
        <w:t xml:space="preserve">, či by se mělo primárně opírat o města. Zatímco se ruská revoluce opírala především o průmyslové dělníky ve městech, čínské komunistické hnutí mělo svou základnu především </w:t>
      </w:r>
      <w:r w:rsidR="00003E71" w:rsidRPr="00C910D4">
        <w:rPr>
          <w:rFonts w:ascii="Times New Roman" w:hAnsi="Times New Roman"/>
          <w:sz w:val="24"/>
          <w:szCs w:val="24"/>
          <w:lang w:val="cs-CZ"/>
        </w:rPr>
        <w:t>na venkově (Swarup 1966). Čáru Mazumdá</w:t>
      </w:r>
      <w:r w:rsidRPr="00C910D4">
        <w:rPr>
          <w:rFonts w:ascii="Times New Roman" w:hAnsi="Times New Roman"/>
          <w:sz w:val="24"/>
          <w:szCs w:val="24"/>
          <w:lang w:val="cs-CZ"/>
        </w:rPr>
        <w:t>r se v debatě jasně přiklonil k variantě hnutí opírajícího se o venkov, protože indická společnost měla výrazné feudální charakteristiky. Zvolenou taktiku dokresluje slogan: „</w:t>
      </w:r>
      <w:r w:rsidR="00003E71" w:rsidRPr="00C910D4">
        <w:rPr>
          <w:rFonts w:ascii="Times New Roman" w:hAnsi="Times New Roman"/>
          <w:i/>
          <w:sz w:val="24"/>
          <w:szCs w:val="24"/>
          <w:lang w:val="cs-CZ"/>
        </w:rPr>
        <w:t>O</w:t>
      </w:r>
      <w:r w:rsidRPr="00C910D4">
        <w:rPr>
          <w:rFonts w:ascii="Times New Roman" w:hAnsi="Times New Roman"/>
          <w:i/>
          <w:sz w:val="24"/>
          <w:szCs w:val="24"/>
          <w:lang w:val="cs-CZ"/>
        </w:rPr>
        <w:t>bkličte města z vesnic</w:t>
      </w:r>
      <w:r w:rsidRPr="00C910D4">
        <w:rPr>
          <w:rFonts w:ascii="Times New Roman" w:hAnsi="Times New Roman"/>
          <w:sz w:val="24"/>
          <w:szCs w:val="24"/>
          <w:lang w:val="cs-CZ"/>
        </w:rPr>
        <w:t>.“ (Mukherjee 1979).</w:t>
      </w:r>
    </w:p>
    <w:p w14:paraId="3D0F1271" w14:textId="243EEA6E" w:rsidR="006F19D7" w:rsidRPr="00C910D4" w:rsidRDefault="006F19D7" w:rsidP="00C910D4">
      <w:pPr>
        <w:pStyle w:val="NormalWeb"/>
        <w:spacing w:after="0" w:line="360" w:lineRule="auto"/>
        <w:jc w:val="both"/>
        <w:rPr>
          <w:rFonts w:ascii="Times New Roman" w:hAnsi="Times New Roman"/>
          <w:sz w:val="24"/>
          <w:szCs w:val="24"/>
          <w:lang w:val="cs-CZ"/>
        </w:rPr>
      </w:pPr>
      <w:r w:rsidRPr="00C910D4">
        <w:rPr>
          <w:rFonts w:ascii="Times New Roman" w:hAnsi="Times New Roman"/>
          <w:sz w:val="24"/>
          <w:szCs w:val="24"/>
          <w:lang w:val="cs-CZ"/>
        </w:rPr>
        <w:t>Důvěryhodnost indických komunistů byla prověřena znovu v září 1965, kdy vypukla válka mezi Indií a Pákistánem. Čínská vláda se postavila na stranu Pákistánu a indičtí komunisté se museli znovu rozhodovat, zda se přidají na stranu ideologického „staršího bratra“ nebo zůstanou loajální svému národu. V té době pročínská CPI-M nicméně již vážně uvažovala, že se stane součástí indického politického systému, a proto Čínu za spojenectví s úhlavním nepřítelem Pákistánem veřejně odsoudila (Gupta 2007).</w:t>
      </w:r>
    </w:p>
    <w:p w14:paraId="06435F68" w14:textId="25C794ED" w:rsidR="006F19D7" w:rsidRPr="00C910D4" w:rsidRDefault="006F19D7" w:rsidP="00C910D4">
      <w:pPr>
        <w:pStyle w:val="NormalWeb"/>
        <w:spacing w:after="0" w:line="360" w:lineRule="auto"/>
        <w:jc w:val="both"/>
        <w:rPr>
          <w:rFonts w:ascii="Times New Roman" w:hAnsi="Times New Roman"/>
          <w:sz w:val="24"/>
          <w:szCs w:val="24"/>
          <w:lang w:val="cs-CZ"/>
        </w:rPr>
      </w:pPr>
      <w:r w:rsidRPr="00C910D4">
        <w:rPr>
          <w:rFonts w:ascii="Times New Roman" w:hAnsi="Times New Roman"/>
          <w:sz w:val="24"/>
          <w:szCs w:val="24"/>
          <w:lang w:val="cs-CZ"/>
        </w:rPr>
        <w:lastRenderedPageBreak/>
        <w:t>CPI-M dostala příležitost zapojit se do politického systému poměrně brzy. V Západním Bengálsku zaznamenal Indický národní kongres výrazný pokles popularity. Rostoucí nespokojenost a obavy z hladomoru ještě umocnily nedostatek monzunových dešťů a nedostatek potravin s vysokou mírou inflace. Opoziční strany využili situaci, vytvořili koalici -Sjednocenou frontu- vůči do té doby suverénně vládnoucímu Kongresu, a státní volby vyhrály. Součástí v</w:t>
      </w:r>
      <w:r w:rsidR="00DD70C6" w:rsidRPr="00C910D4">
        <w:rPr>
          <w:rFonts w:ascii="Times New Roman" w:hAnsi="Times New Roman"/>
          <w:sz w:val="24"/>
          <w:szCs w:val="24"/>
          <w:lang w:val="cs-CZ"/>
        </w:rPr>
        <w:t>ítězné koalice byla i starší CPI</w:t>
      </w:r>
      <w:r w:rsidRPr="00C910D4">
        <w:rPr>
          <w:rFonts w:ascii="Times New Roman" w:hAnsi="Times New Roman"/>
          <w:sz w:val="24"/>
          <w:szCs w:val="24"/>
          <w:lang w:val="cs-CZ"/>
        </w:rPr>
        <w:t>, která v kabinetu obsadila dvě důležité pozice, ministerstvo vnitra odpovědné za vni</w:t>
      </w:r>
      <w:r w:rsidR="00DD70C6" w:rsidRPr="00C910D4">
        <w:rPr>
          <w:rFonts w:ascii="Times New Roman" w:hAnsi="Times New Roman"/>
          <w:sz w:val="24"/>
          <w:szCs w:val="24"/>
          <w:lang w:val="cs-CZ"/>
        </w:rPr>
        <w:t>třní bezpečnost a ministerstvo zemědělství</w:t>
      </w:r>
      <w:r w:rsidRPr="00C910D4">
        <w:rPr>
          <w:rFonts w:ascii="Times New Roman" w:hAnsi="Times New Roman"/>
          <w:sz w:val="24"/>
          <w:szCs w:val="24"/>
          <w:lang w:val="cs-CZ"/>
        </w:rPr>
        <w:t>, které mělo na starosti mj. ožehavé téma pozemkové reformy</w:t>
      </w:r>
      <w:r w:rsidR="0091678A" w:rsidRPr="00C910D4">
        <w:rPr>
          <w:rFonts w:ascii="Times New Roman" w:hAnsi="Times New Roman"/>
          <w:sz w:val="24"/>
          <w:szCs w:val="24"/>
          <w:lang w:val="cs-CZ"/>
        </w:rPr>
        <w:t xml:space="preserve"> </w:t>
      </w:r>
      <w:r w:rsidRPr="00C910D4">
        <w:rPr>
          <w:rFonts w:ascii="Times New Roman" w:hAnsi="Times New Roman"/>
          <w:sz w:val="24"/>
          <w:szCs w:val="24"/>
          <w:lang w:val="cs-CZ"/>
        </w:rPr>
        <w:t>(Me</w:t>
      </w:r>
      <w:r w:rsidR="00DD70C6" w:rsidRPr="00C910D4">
        <w:rPr>
          <w:rFonts w:ascii="Times New Roman" w:hAnsi="Times New Roman"/>
          <w:sz w:val="24"/>
          <w:szCs w:val="24"/>
          <w:lang w:val="cs-CZ"/>
        </w:rPr>
        <w:t>hra 2000). Strana CPI</w:t>
      </w:r>
      <w:r w:rsidRPr="00C910D4">
        <w:rPr>
          <w:rFonts w:ascii="Times New Roman" w:hAnsi="Times New Roman"/>
          <w:sz w:val="24"/>
          <w:szCs w:val="24"/>
          <w:lang w:val="cs-CZ"/>
        </w:rPr>
        <w:t xml:space="preserve"> se nečekaně stala součástí establishmentu. Jejich ministři v důležitých resortech nebyli schopni vyvážit věrnost indické ústavě a zároveň plnit revoluční cíle.</w:t>
      </w:r>
    </w:p>
    <w:p w14:paraId="658BA143" w14:textId="38B681C6" w:rsidR="00C665DD" w:rsidRPr="00C910D4" w:rsidRDefault="00C665DD" w:rsidP="00C910D4">
      <w:pPr>
        <w:pStyle w:val="NormalWeb"/>
        <w:spacing w:after="0" w:line="360" w:lineRule="auto"/>
        <w:jc w:val="both"/>
        <w:rPr>
          <w:rFonts w:ascii="Times New Roman" w:hAnsi="Times New Roman"/>
          <w:sz w:val="24"/>
          <w:szCs w:val="24"/>
          <w:lang w:val="cs-CZ"/>
        </w:rPr>
      </w:pPr>
    </w:p>
    <w:p w14:paraId="3D8A9DB5" w14:textId="19B0D029" w:rsidR="005F1658" w:rsidRDefault="00894530" w:rsidP="005F1658">
      <w:pPr>
        <w:pStyle w:val="Heading1"/>
      </w:pPr>
      <w:bookmarkStart w:id="9" w:name="_Toc471296018"/>
      <w:r>
        <w:t>2.5</w:t>
      </w:r>
      <w:r w:rsidR="005F1658">
        <w:t xml:space="preserve"> Vývoj</w:t>
      </w:r>
      <w:r w:rsidR="005F1658" w:rsidRPr="00C910D4">
        <w:t xml:space="preserve"> komunistických hnutí v</w:t>
      </w:r>
      <w:r w:rsidR="00AE7EAF">
        <w:t> </w:t>
      </w:r>
      <w:r w:rsidR="005F1658" w:rsidRPr="00C910D4">
        <w:t>Indii</w:t>
      </w:r>
      <w:bookmarkEnd w:id="9"/>
    </w:p>
    <w:p w14:paraId="054C3515" w14:textId="494CC4D1" w:rsidR="00AE7EAF" w:rsidRPr="00894530" w:rsidRDefault="00AE7EAF" w:rsidP="00F55C47">
      <w:pPr>
        <w:spacing w:line="360" w:lineRule="auto"/>
        <w:jc w:val="both"/>
        <w:rPr>
          <w:rFonts w:ascii="Times New Roman" w:hAnsi="Times New Roman" w:cs="Times New Roman"/>
          <w:sz w:val="24"/>
          <w:szCs w:val="24"/>
        </w:rPr>
      </w:pPr>
      <w:r w:rsidRPr="00894530">
        <w:rPr>
          <w:rFonts w:ascii="Times New Roman" w:hAnsi="Times New Roman" w:cs="Times New Roman"/>
          <w:sz w:val="24"/>
          <w:szCs w:val="24"/>
        </w:rPr>
        <w:t>Věnovat se situaci v okresu Telengana je dobré pro představení kontextu, v němž se, tradičně venkovská, povstání v Indii odehrávala. V průběhu telenganského povstání s</w:t>
      </w:r>
      <w:r w:rsidR="00184208" w:rsidRPr="00894530">
        <w:rPr>
          <w:rFonts w:ascii="Times New Roman" w:hAnsi="Times New Roman" w:cs="Times New Roman"/>
          <w:sz w:val="24"/>
          <w:szCs w:val="24"/>
        </w:rPr>
        <w:t xml:space="preserve">e objevují první snahy o využití maoistické revoluční strategie, ke které se později již plně hlásili povstalci z oblasti Nakšalbárí. </w:t>
      </w:r>
    </w:p>
    <w:p w14:paraId="09D10751" w14:textId="77777777" w:rsidR="005F1658" w:rsidRPr="00894530" w:rsidRDefault="005F1658" w:rsidP="00F55C47">
      <w:pPr>
        <w:spacing w:line="360" w:lineRule="auto"/>
        <w:jc w:val="both"/>
        <w:rPr>
          <w:rFonts w:ascii="Times New Roman" w:hAnsi="Times New Roman" w:cs="Times New Roman"/>
          <w:sz w:val="24"/>
          <w:szCs w:val="24"/>
        </w:rPr>
      </w:pPr>
      <w:r w:rsidRPr="00894530">
        <w:rPr>
          <w:rFonts w:ascii="Times New Roman" w:hAnsi="Times New Roman" w:cs="Times New Roman"/>
          <w:sz w:val="24"/>
          <w:szCs w:val="24"/>
        </w:rPr>
        <w:t xml:space="preserve">Historie komunisty vedených rolnických povstání v Indii začala v okrese Telengána, v jižním státě Ándhrapradéš, a také v severních a středních oblastech Bengálska. Právě v době kdy Indie získávala svou nezávislost, došlo v Telangáně ke krvavému konfliktu. Skupina rolníků vedená komunisty napadla a zabila několik tamních velkostatkářů (Pavier 1981). Mezitím se v Bengálsku utvořilo nové hnutí </w:t>
      </w:r>
      <w:r w:rsidRPr="00894530">
        <w:rPr>
          <w:rFonts w:ascii="Times New Roman" w:hAnsi="Times New Roman" w:cs="Times New Roman"/>
          <w:i/>
          <w:sz w:val="24"/>
          <w:szCs w:val="24"/>
        </w:rPr>
        <w:t>tebhaga</w:t>
      </w:r>
      <w:r w:rsidRPr="00894530">
        <w:rPr>
          <w:rFonts w:ascii="Times New Roman" w:hAnsi="Times New Roman" w:cs="Times New Roman"/>
          <w:sz w:val="24"/>
          <w:szCs w:val="24"/>
        </w:rPr>
        <w:t>, jehož cílem bylo změnit stanovená pravidla pro nájem půdy. Oproti dosavadním 50% odvodům ze sklizně, požadovalo hnutí snížení na třetinu.</w:t>
      </w:r>
    </w:p>
    <w:p w14:paraId="33126ABF" w14:textId="77777777" w:rsidR="005F1658" w:rsidRPr="00C910D4" w:rsidRDefault="005F1658" w:rsidP="005F1658">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Komunistická strana Indie (CPI) se aktivně účastnila vedení hnutí v Telengáně. Nečekaný obrat nastal po delegaci indických komunistů do Moskvy v roce 1951. Stalin indickým soudruhům doporučil zanechat podpory násilných činností a opustit myšlenku násilné revoluce. Strana se měla nově stát součástí demokratického systému a získat moc legálním způsobem (Banerjee 1980). CPI následně přestala podporovat hnutí a zanechala rolníky svému osudu (Gupta 2007).</w:t>
      </w:r>
    </w:p>
    <w:p w14:paraId="6495DD54" w14:textId="30D7A20C" w:rsidR="005F1658" w:rsidRDefault="005F1658" w:rsidP="005F1658">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lastRenderedPageBreak/>
        <w:t>Více radikální členové považovali jednání vedení strany jako zradu revolučních ideálů. Nespokojení revolucionáři z komunistické strany zahájil</w:t>
      </w:r>
      <w:r>
        <w:rPr>
          <w:rFonts w:ascii="Times New Roman" w:hAnsi="Times New Roman" w:cs="Times New Roman"/>
          <w:sz w:val="24"/>
          <w:szCs w:val="24"/>
        </w:rPr>
        <w:t>i práci s lidmi z horských oblastí</w:t>
      </w:r>
      <w:r w:rsidRPr="00C910D4">
        <w:rPr>
          <w:rFonts w:ascii="Times New Roman" w:hAnsi="Times New Roman" w:cs="Times New Roman"/>
          <w:sz w:val="24"/>
          <w:szCs w:val="24"/>
        </w:rPr>
        <w:t>. Vytvořili Asociaci horských kmenů (Hill Peoples’ Association). Revolucionáři našli v kmenech novou základnu pro rolnické povstání. Odcizení od většinové společnosti domorodce radikalizovalo. Podle Mehry (2000), začaly kmeny cítit demografický a ekonomický tlak od zbytku národa. Začaly být vytlačovány ze svého tradičního území. Lépe vzdělaní lidé z nížin nabízeli horským domorodcům minimální ceny za jejich půdu, nebo jim půjčovali peníze za přemrštěné úroky. Velmi skromný majetek a neschopnost splácet půjčky domorodce a jejich rodiny fakticky zotročily. Místní vláda v Ándhrapradéši se snažila vyhrocenou situaci mírnit poskytováním úvěrů speciálně těmto rizikovým skupinám. Řešení naneštěstí znemožňovala chamtivost a extrémní korupce státních úředníků (Calman 1985). Frustrované domorodce mobilizovali komunističtí aktivisté k ozbrojenému boji. V odlehlých hustě zalesněných oblastech vyhlásili rebelové „osvobozené zóny“. Začali s vyhlazovací politikou vůči velkostatkářům hromadícím zemědělskou půdu a lichvářům, vybírali „daně“ a zřídili „revoluční soudy“, kde vyhlašovali verdikty proti „třídním nepřátelům“ a „nepřátelům revoluce“ (Gupta 2007). Vládním ozbrojeným silám se hnutí podařilo rozbít v polovině sedmdesátých let.</w:t>
      </w:r>
    </w:p>
    <w:p w14:paraId="5B707F26" w14:textId="4CDED217" w:rsidR="00184208" w:rsidRDefault="00184208" w:rsidP="005F1658">
      <w:pPr>
        <w:spacing w:line="360" w:lineRule="auto"/>
        <w:jc w:val="both"/>
        <w:rPr>
          <w:rFonts w:ascii="Times New Roman" w:hAnsi="Times New Roman" w:cs="Times New Roman"/>
          <w:sz w:val="24"/>
          <w:szCs w:val="24"/>
        </w:rPr>
      </w:pPr>
    </w:p>
    <w:p w14:paraId="1B2EA87B" w14:textId="719BCF90" w:rsidR="00184208" w:rsidRPr="00184208" w:rsidRDefault="00894530" w:rsidP="00F55C47">
      <w:pPr>
        <w:pStyle w:val="Heading1"/>
      </w:pPr>
      <w:bookmarkStart w:id="10" w:name="_Toc471296019"/>
      <w:r>
        <w:t xml:space="preserve">2.5.1 </w:t>
      </w:r>
      <w:r w:rsidR="00184208" w:rsidRPr="00184208">
        <w:t>Příčiny a podmínky telenganského povstání</w:t>
      </w:r>
      <w:bookmarkEnd w:id="10"/>
    </w:p>
    <w:p w14:paraId="307C0060" w14:textId="1BA80A27" w:rsidR="00184208" w:rsidRPr="00F55C47" w:rsidRDefault="00184208"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 xml:space="preserve">Autoři věnující se problematice telenganského povstání, identifikují hlavní příčiny a důvody úspěšnosti v křivdách týkajících se politické a sociálně ekonomické struktury venkovské společnosti (Thirumali 2003). Muslimský vládce Hajdarábádu, tzv. nizám, svou moc opíral o nepočetnou elitu složenou z </w:t>
      </w:r>
      <w:r w:rsidRPr="00F55C47">
        <w:rPr>
          <w:rFonts w:ascii="Times New Roman" w:hAnsi="Times New Roman" w:cs="Times New Roman"/>
          <w:i/>
          <w:sz w:val="24"/>
          <w:szCs w:val="24"/>
        </w:rPr>
        <w:t>džagirdars</w:t>
      </w:r>
      <w:r w:rsidRPr="00F55C47">
        <w:rPr>
          <w:rFonts w:ascii="Times New Roman" w:hAnsi="Times New Roman" w:cs="Times New Roman"/>
          <w:sz w:val="24"/>
          <w:szCs w:val="24"/>
        </w:rPr>
        <w:t xml:space="preserve"> a </w:t>
      </w:r>
      <w:r w:rsidRPr="00F55C47">
        <w:rPr>
          <w:rFonts w:ascii="Times New Roman" w:hAnsi="Times New Roman" w:cs="Times New Roman"/>
          <w:i/>
          <w:sz w:val="24"/>
          <w:szCs w:val="24"/>
        </w:rPr>
        <w:t>dešmukhs</w:t>
      </w:r>
      <w:r w:rsidRPr="00F55C47">
        <w:rPr>
          <w:rFonts w:ascii="Times New Roman" w:hAnsi="Times New Roman" w:cs="Times New Roman"/>
          <w:sz w:val="24"/>
          <w:szCs w:val="24"/>
        </w:rPr>
        <w:t xml:space="preserve"> (místní velkostatkáři), kteří ekonomicky a politicky dominovali venkovské oblasti. Významné rozdíly byly zejména mezi skupinami, které měly práva vlastnit půdu. Velké zemědělské plochy byly soustředěny v rukou několika velkostatkářů a na druhé straně zde byly početné skupiny bezzemků, kteří se kvůli nedostatečným příjmům často zadlužovali. Kastovní systém byl výrazným faktorem, určujícím venkovskou ekonomiku. Nebylo výjimkou, že zemědělští dělníci byli nuceni k neplacené a nucené práci. </w:t>
      </w:r>
    </w:p>
    <w:p w14:paraId="1ADB5AF8" w14:textId="28CA0537" w:rsidR="00184208" w:rsidRPr="00F55C47" w:rsidRDefault="00184208"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 xml:space="preserve">Nespokojenost rolníků byla dále posilována zavedením povinných odvodů z úrody ve válečné době. Státu byla odváděna více jak polovina úrody či mzdy ze zemědělské činnosti. </w:t>
      </w:r>
      <w:r w:rsidRPr="00F55C47">
        <w:rPr>
          <w:rFonts w:ascii="Times New Roman" w:hAnsi="Times New Roman" w:cs="Times New Roman"/>
          <w:sz w:val="24"/>
          <w:szCs w:val="24"/>
        </w:rPr>
        <w:lastRenderedPageBreak/>
        <w:t>Vládnoucí elity se povinným odvodům vyhýbali a své obilí prodávali na černém trhu. Navíc, rozhořčení venkovanů dostalo silný nacionalistický rozměr, poté co tehdejší nizám odmítl po odchodu Britů ze subkontinentu v srpnu 1947,</w:t>
      </w:r>
      <w:r w:rsidR="002F06FC" w:rsidRPr="00F55C47">
        <w:rPr>
          <w:rFonts w:ascii="Times New Roman" w:hAnsi="Times New Roman" w:cs="Times New Roman"/>
          <w:sz w:val="24"/>
          <w:szCs w:val="24"/>
        </w:rPr>
        <w:t xml:space="preserve"> připojit Tele</w:t>
      </w:r>
      <w:r w:rsidRPr="00F55C47">
        <w:rPr>
          <w:rFonts w:ascii="Times New Roman" w:hAnsi="Times New Roman" w:cs="Times New Roman"/>
          <w:sz w:val="24"/>
          <w:szCs w:val="24"/>
        </w:rPr>
        <w:t xml:space="preserve">nganu k Indické unii (Roosa 2001). </w:t>
      </w:r>
    </w:p>
    <w:p w14:paraId="29D23BBC" w14:textId="521D61BC" w:rsidR="002F06FC" w:rsidRPr="00F55C47" w:rsidRDefault="00184208"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Začátek povstaleckých aktivit je spojen s organizací Ándhramahášamba, která společně s komunisty z CPI organizovala vesničany kolem problematiky nucené práce, zadlužeností, kastovní diskriminace a neférových praktik velkostatkářů. Organizace zakládala vesnické výbory (</w:t>
      </w:r>
      <w:r w:rsidRPr="00F55C47">
        <w:rPr>
          <w:rFonts w:ascii="Times New Roman" w:hAnsi="Times New Roman" w:cs="Times New Roman"/>
          <w:i/>
          <w:sz w:val="24"/>
          <w:szCs w:val="24"/>
        </w:rPr>
        <w:t>sanghams</w:t>
      </w:r>
      <w:r w:rsidRPr="00F55C47">
        <w:rPr>
          <w:rFonts w:ascii="Times New Roman" w:hAnsi="Times New Roman" w:cs="Times New Roman"/>
          <w:sz w:val="24"/>
          <w:szCs w:val="24"/>
        </w:rPr>
        <w:t xml:space="preserve">), které se staly platformami pro ventilaci </w:t>
      </w:r>
      <w:r w:rsidR="002F06FC" w:rsidRPr="00F55C47">
        <w:rPr>
          <w:rFonts w:ascii="Times New Roman" w:hAnsi="Times New Roman" w:cs="Times New Roman"/>
          <w:sz w:val="24"/>
          <w:szCs w:val="24"/>
        </w:rPr>
        <w:t>frustrace</w:t>
      </w:r>
      <w:r w:rsidRPr="00F55C47">
        <w:rPr>
          <w:rFonts w:ascii="Times New Roman" w:hAnsi="Times New Roman" w:cs="Times New Roman"/>
          <w:sz w:val="24"/>
          <w:szCs w:val="24"/>
        </w:rPr>
        <w:t xml:space="preserve"> a vznášení nároků venkovských obyvatel. Působení Ándhramahášamba bylo geograficky omezeno, na druhou stranu </w:t>
      </w:r>
      <w:r w:rsidR="002F06FC" w:rsidRPr="00F55C47">
        <w:rPr>
          <w:rFonts w:ascii="Times New Roman" w:hAnsi="Times New Roman" w:cs="Times New Roman"/>
          <w:sz w:val="24"/>
          <w:szCs w:val="24"/>
        </w:rPr>
        <w:t>se dařilo mobilizovat</w:t>
      </w:r>
      <w:r w:rsidRPr="00F55C47">
        <w:rPr>
          <w:rFonts w:ascii="Times New Roman" w:hAnsi="Times New Roman" w:cs="Times New Roman"/>
          <w:sz w:val="24"/>
          <w:szCs w:val="24"/>
        </w:rPr>
        <w:t xml:space="preserve"> velké části místních venkovanů (Sundarayya 1972). </w:t>
      </w:r>
    </w:p>
    <w:p w14:paraId="7031608F" w14:textId="29197385" w:rsidR="002F06FC" w:rsidRPr="00F55C47" w:rsidRDefault="002F06FC"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 xml:space="preserve">Povstalecká činnost získala významnější masovou podporu až poté, co </w:t>
      </w:r>
      <w:r w:rsidRPr="00F55C47">
        <w:rPr>
          <w:rFonts w:ascii="Times New Roman" w:hAnsi="Times New Roman" w:cs="Times New Roman"/>
          <w:i/>
          <w:sz w:val="24"/>
          <w:szCs w:val="24"/>
        </w:rPr>
        <w:t>nizám</w:t>
      </w:r>
      <w:r w:rsidRPr="00F55C47">
        <w:rPr>
          <w:rFonts w:ascii="Times New Roman" w:hAnsi="Times New Roman" w:cs="Times New Roman"/>
          <w:sz w:val="24"/>
          <w:szCs w:val="24"/>
        </w:rPr>
        <w:t xml:space="preserve"> odmítl v létě 1947 připojit Hajdarábád k Indické unii. Telenganská část CPI vytvořila v reakci krátkodobé účelové spojenectví s politickou stranou Hajdarábátský státní kongres. Koalice byla v ostré opozici vůči vládě nizáma a prosazovala spojení Hajdarábádu se zbytkem Indické unie.</w:t>
      </w:r>
    </w:p>
    <w:p w14:paraId="390973E8" w14:textId="555BBB88" w:rsidR="002F06FC" w:rsidRPr="00F55C47" w:rsidRDefault="002F06FC"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 xml:space="preserve">Komunistické kádry CPI aktivně působily ve vesnicích Telengany. Byly ochotny zabíjet a umírat při prosazování zájmů místních obyvatel. Na rozdíl od nich aktivisté Kongresu ze státu uprchli a do povstání se reálně nezapojili (Kennedy, Purushotam 2012). To znamená, že CPI sehrávala v prostoru přední nacionalistickou organizaci, čímž si získala loajalitu většiny venkovských obyvatel. Vzhledem k tomu, jak síla hnutí rostla, venkovské elity a jejich zástupci utekli z vesnic do nejbližších měst nebo sídel policejních stanic. Vesnické výbory ovládané komunisty tak mohly zaplnit “administrativní vakuum” a nařídit radikální reformy, včetně významné reformy distribuce půdy. </w:t>
      </w:r>
    </w:p>
    <w:p w14:paraId="3AB04C52" w14:textId="77777777" w:rsidR="002F06FC" w:rsidRPr="00F55C47" w:rsidRDefault="002F06FC"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Nizámova vláda byla dále oslabena rozšířenými výrobními stávkami, studentskými protesty, ozbrojenými nájezdy ze strany členů Kongresu a ekonomickými blokádami uložených Indickou unií. V důsledku toho ve venkovských oblastech Telangany stát “</w:t>
      </w:r>
      <w:r w:rsidRPr="00F55C47">
        <w:rPr>
          <w:rFonts w:ascii="Times New Roman" w:hAnsi="Times New Roman" w:cs="Times New Roman"/>
          <w:i/>
          <w:sz w:val="24"/>
          <w:szCs w:val="24"/>
        </w:rPr>
        <w:t>jednoduše přestal existovat.</w:t>
      </w:r>
      <w:r w:rsidRPr="00F55C47">
        <w:rPr>
          <w:rFonts w:ascii="Times New Roman" w:hAnsi="Times New Roman" w:cs="Times New Roman"/>
          <w:sz w:val="24"/>
          <w:szCs w:val="24"/>
        </w:rPr>
        <w:t>” (Gour 1973: 102)</w:t>
      </w:r>
    </w:p>
    <w:p w14:paraId="1E694DFD" w14:textId="6B9029A2" w:rsidR="00184208" w:rsidRPr="00C910D4" w:rsidRDefault="00184208" w:rsidP="005F1658">
      <w:pPr>
        <w:spacing w:line="360" w:lineRule="auto"/>
        <w:jc w:val="both"/>
        <w:rPr>
          <w:rFonts w:ascii="Times New Roman" w:hAnsi="Times New Roman" w:cs="Times New Roman"/>
          <w:sz w:val="24"/>
          <w:szCs w:val="24"/>
        </w:rPr>
      </w:pPr>
    </w:p>
    <w:p w14:paraId="68483807" w14:textId="74017C09" w:rsidR="005F1658" w:rsidRDefault="00894530" w:rsidP="00657BE9">
      <w:pPr>
        <w:pStyle w:val="Heading1"/>
      </w:pPr>
      <w:bookmarkStart w:id="11" w:name="_Toc471296020"/>
      <w:r>
        <w:t xml:space="preserve">2.5.2 </w:t>
      </w:r>
      <w:r w:rsidR="002F06FC">
        <w:t>Konec telenganského povstání</w:t>
      </w:r>
      <w:bookmarkEnd w:id="11"/>
    </w:p>
    <w:p w14:paraId="4AD3EB27" w14:textId="7058597D" w:rsidR="002F06FC" w:rsidRPr="00F55C47" w:rsidRDefault="002F06FC"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 xml:space="preserve">Indická armáda napadla Hajdarábád v září 1948. Nizam byl poražen poměrně snadno během jednoho týdne a Hajdarábád byl připojen k Indické unii. Do čela nové vlády se postavil </w:t>
      </w:r>
      <w:r w:rsidRPr="00F55C47">
        <w:rPr>
          <w:rFonts w:ascii="Times New Roman" w:hAnsi="Times New Roman" w:cs="Times New Roman"/>
          <w:sz w:val="24"/>
          <w:szCs w:val="24"/>
        </w:rPr>
        <w:lastRenderedPageBreak/>
        <w:t xml:space="preserve">vojenský generál J.N. Čaudhuri. Nová vláda byla vytvořena pod záštitou Ministerstva států v Novém Dillí, což mělo dramatické důsledky pro tamní politickou situaci. </w:t>
      </w:r>
    </w:p>
    <w:p w14:paraId="5269A8FD" w14:textId="6B7D9539" w:rsidR="002F06FC" w:rsidRPr="00F55C47" w:rsidRDefault="002F06FC"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 xml:space="preserve">Předně, dřívější masová podpora pro většinově komunistické povstalce byla zúžena na nacionální dimenzi hnutí proti nizámově vládě. Tato podpora byla po ustavení procentrální vlády vedenou stranou Kongresu narušena. Někteří vesničané, kteří dříve podporovali vesnické výbory, nyní pomáhali indickým silám identifikovat komunistické sympatizanty a odhalovat úkryty </w:t>
      </w:r>
      <w:r w:rsidRPr="00F55C47">
        <w:rPr>
          <w:rFonts w:ascii="Times New Roman" w:hAnsi="Times New Roman" w:cs="Times New Roman"/>
          <w:i/>
          <w:sz w:val="24"/>
          <w:szCs w:val="24"/>
        </w:rPr>
        <w:t xml:space="preserve">dalams </w:t>
      </w:r>
      <w:r w:rsidRPr="00F55C47">
        <w:rPr>
          <w:rFonts w:ascii="Times New Roman" w:hAnsi="Times New Roman" w:cs="Times New Roman"/>
          <w:sz w:val="24"/>
          <w:szCs w:val="24"/>
        </w:rPr>
        <w:t xml:space="preserve">(partyzánských komand), a svědčili proti nim u soudu (Sundarayya 1972). Nová vláda neusilovala o integraci vesnických výborů </w:t>
      </w:r>
      <w:r w:rsidRPr="00F55C47">
        <w:rPr>
          <w:rFonts w:ascii="Times New Roman" w:hAnsi="Times New Roman" w:cs="Times New Roman"/>
          <w:i/>
          <w:sz w:val="24"/>
          <w:szCs w:val="24"/>
        </w:rPr>
        <w:t xml:space="preserve">sanghams, </w:t>
      </w:r>
      <w:r w:rsidRPr="00F55C47">
        <w:rPr>
          <w:rFonts w:ascii="Times New Roman" w:hAnsi="Times New Roman" w:cs="Times New Roman"/>
          <w:sz w:val="24"/>
          <w:szCs w:val="24"/>
        </w:rPr>
        <w:t xml:space="preserve">a jejich radikálních sociálně ekonomických reforem. Naopak požadovala návrat do původního stavu mimo jiné navrácením rozdělené půdy zpět do vlastnictví velkostatkářů a obnovením administrativy po celém telenganském venkově (Kennedy, Purushotam 2012: 838). Bylo více než zřejmé, že vláda pracovala v zájmu velkostatkářů a bohatých rolníků. Pro většinovou populaci, zpravidla bez vlastnictví půdy a zatíženou dluhy, byla trvalá podpora komunistů jediný způsob, jak bránit benefity získané v průběhu vzpory proti nizámovi. </w:t>
      </w:r>
    </w:p>
    <w:p w14:paraId="1213A73D" w14:textId="76D28A4B" w:rsidR="002F06FC" w:rsidRPr="00F55C47" w:rsidRDefault="002F06FC"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 xml:space="preserve">Druhým důsledkem bylo výrazné zvětšení kapacity pro státní represi. Na přelomu let 1948 a 1949 se vláda uchýlila k masivní protipovstalecké ofenzívě. Vládní strategie ovšem narážela na nedostatek zpravodajských informací a neschopnosti odlišit nepřítele od místních obyvatel. Sundarayya (1972) uvádí, že podle oficiálních zdrojů bylo zadrženo téměř deset tisíc lidí. Podle neoficiálních zdrojů je odhad zatčených ještě vyšší. </w:t>
      </w:r>
    </w:p>
    <w:p w14:paraId="170380D7" w14:textId="77777777" w:rsidR="002F06FC" w:rsidRPr="00F55C47" w:rsidRDefault="002F06FC"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V důsledku vládních represivních útoků utrpěli povstalci četné ztráty. Samotné vedení CPI v Telanganě se obávalo konce tamního hnutí. Člen místní odnože CPI D.V.Rao prohlašoval, že povstalci „</w:t>
      </w:r>
      <w:r w:rsidRPr="00F55C47">
        <w:rPr>
          <w:rFonts w:ascii="Times New Roman" w:hAnsi="Times New Roman" w:cs="Times New Roman"/>
          <w:i/>
          <w:sz w:val="24"/>
          <w:szCs w:val="24"/>
        </w:rPr>
        <w:t>ztratili velkou část partyzánské armády a vedení.</w:t>
      </w:r>
      <w:r w:rsidRPr="00F55C47">
        <w:rPr>
          <w:rFonts w:ascii="Times New Roman" w:hAnsi="Times New Roman" w:cs="Times New Roman"/>
          <w:sz w:val="24"/>
          <w:szCs w:val="24"/>
        </w:rPr>
        <w:t xml:space="preserve">“ (Rao 1982: 139). Navzdory očekáváním se povstalcům podařilo v průběhu roku 1949 reorganizovat a nadále umožňovat venkovanům artikulovat jejich četné křivdy způsobené nedostatkem potravin, neadekvátní pozemkové reformy, státní podpory pro velkostatkáře a tyranských policejních akcí (Rao 1982). Jinými slovy, i podle závěrů indické zpravodajské služby, se povstalcům podařilo rozšířit svůj vliv (Kennedy, Purushotam 2012: 839). </w:t>
      </w:r>
    </w:p>
    <w:p w14:paraId="6C2BCEE3" w14:textId="77777777" w:rsidR="002F06FC" w:rsidRPr="002F06FC" w:rsidRDefault="002F06FC" w:rsidP="002F06FC"/>
    <w:p w14:paraId="7960BE62" w14:textId="461018D1" w:rsidR="005F1658" w:rsidRDefault="00894530" w:rsidP="00657BE9">
      <w:pPr>
        <w:pStyle w:val="Heading1"/>
      </w:pPr>
      <w:bookmarkStart w:id="12" w:name="_Toc471296021"/>
      <w:r>
        <w:t xml:space="preserve">2.5.3 </w:t>
      </w:r>
      <w:r w:rsidR="00877349">
        <w:t>Povstalecké aktivity nakšalitů</w:t>
      </w:r>
      <w:bookmarkEnd w:id="12"/>
    </w:p>
    <w:p w14:paraId="129CDC47" w14:textId="42E78A7C" w:rsidR="00877349" w:rsidRPr="00F55C47" w:rsidRDefault="00877349"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 xml:space="preserve">V 50. a částečně i 60. letech se uvnitř CPI vedly debaty o způsobu přechodu k socialistickému režimu. V podstatě lze identifikovat dva základní názory. </w:t>
      </w:r>
      <w:r w:rsidR="001900E4" w:rsidRPr="00F55C47">
        <w:rPr>
          <w:rFonts w:ascii="Times New Roman" w:hAnsi="Times New Roman" w:cs="Times New Roman"/>
          <w:sz w:val="24"/>
          <w:szCs w:val="24"/>
        </w:rPr>
        <w:t xml:space="preserve">Starší členové CPI zastávali názor, </w:t>
      </w:r>
      <w:r w:rsidR="001900E4" w:rsidRPr="00F55C47">
        <w:rPr>
          <w:rFonts w:ascii="Times New Roman" w:hAnsi="Times New Roman" w:cs="Times New Roman"/>
          <w:sz w:val="24"/>
          <w:szCs w:val="24"/>
        </w:rPr>
        <w:lastRenderedPageBreak/>
        <w:t xml:space="preserve">o postupném posilování strany skrze legální prostředky, jako je především účast v politické soutěži. Mladší radikálnější komunisté kolem Č. Mazumdára upřednostňovali naopak cestu ozbrojené revoluce, kterou hodlali uskutečnit za podpory chudých zemědělských pracovníků z odlehlých venkovských oblastí. Ideální příležitost se naskytla právě v souvislosti s událostmi </w:t>
      </w:r>
      <w:r w:rsidR="001E0ABA" w:rsidRPr="00F55C47">
        <w:rPr>
          <w:rFonts w:ascii="Times New Roman" w:hAnsi="Times New Roman" w:cs="Times New Roman"/>
          <w:sz w:val="24"/>
          <w:szCs w:val="24"/>
        </w:rPr>
        <w:t xml:space="preserve">z března roku 1967, kdy došlo k ozbrojeným násilným střetům mezi rolníky a vládními jednotkami. </w:t>
      </w:r>
      <w:r w:rsidRPr="00F55C47">
        <w:rPr>
          <w:rFonts w:ascii="Times New Roman" w:hAnsi="Times New Roman" w:cs="Times New Roman"/>
          <w:sz w:val="24"/>
          <w:szCs w:val="24"/>
        </w:rPr>
        <w:t xml:space="preserve">Přestože došlo k poměrně snadnému rozdrcení nakšalbárské vzpoury, maoistické revoluční úsilí zdaleka nepominulo. V listopadu 1967 vznikla All Indian Coordination Committe of Communist Revolutionaries (AICCCR), ve které se sjednotili přívrženci nakšalbarského modelu revoluce.  V Dubnu roku 1969 se AICCCR trasformovala do CPI (marxisticko- leninské). </w:t>
      </w:r>
    </w:p>
    <w:p w14:paraId="26BB4B10" w14:textId="77777777" w:rsidR="00877349" w:rsidRPr="00F55C47" w:rsidRDefault="00877349" w:rsidP="00F55C47">
      <w:pPr>
        <w:spacing w:line="360" w:lineRule="auto"/>
        <w:jc w:val="both"/>
        <w:rPr>
          <w:rFonts w:ascii="Times New Roman" w:hAnsi="Times New Roman" w:cs="Times New Roman"/>
          <w:sz w:val="24"/>
          <w:szCs w:val="24"/>
        </w:rPr>
      </w:pPr>
    </w:p>
    <w:p w14:paraId="559C53AD" w14:textId="66C75E47" w:rsidR="00877349" w:rsidRPr="00F55C47" w:rsidRDefault="00877349"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 xml:space="preserve">Povstalecké aktivity v Západním Bengálsku mezi lety 1967-1971 pokračovaly (Banerjee 2008). Povstalci nicméně čelili velkému tlaku ze strany státu, a celkově se vzdálili od původní strategie, které se opírala o masovou </w:t>
      </w:r>
      <w:r w:rsidR="001E0ABA" w:rsidRPr="00F55C47">
        <w:rPr>
          <w:rFonts w:ascii="Times New Roman" w:hAnsi="Times New Roman" w:cs="Times New Roman"/>
          <w:sz w:val="24"/>
          <w:szCs w:val="24"/>
        </w:rPr>
        <w:t>podporu zemědělských dělníků</w:t>
      </w:r>
      <w:r w:rsidRPr="00F55C47">
        <w:rPr>
          <w:rFonts w:ascii="Times New Roman" w:hAnsi="Times New Roman" w:cs="Times New Roman"/>
          <w:sz w:val="24"/>
          <w:szCs w:val="24"/>
        </w:rPr>
        <w:t>. Úbytek podpory pro povs</w:t>
      </w:r>
      <w:r w:rsidR="001E0ABA" w:rsidRPr="00F55C47">
        <w:rPr>
          <w:rFonts w:ascii="Times New Roman" w:hAnsi="Times New Roman" w:cs="Times New Roman"/>
          <w:sz w:val="24"/>
          <w:szCs w:val="24"/>
        </w:rPr>
        <w:t>talce z AICCCR, resp. z CPI (M-L</w:t>
      </w:r>
      <w:r w:rsidRPr="00F55C47">
        <w:rPr>
          <w:rFonts w:ascii="Times New Roman" w:hAnsi="Times New Roman" w:cs="Times New Roman"/>
          <w:sz w:val="24"/>
          <w:szCs w:val="24"/>
        </w:rPr>
        <w:t xml:space="preserve">), lze vysvětlit následovně. Mateřská a v té době konkurenční strana CPI (M) dosahovala pro oblast neobvyklých historických volebních výsledků. Dařilo se jí přesvědčit velkou část </w:t>
      </w:r>
      <w:r w:rsidR="001E0ABA" w:rsidRPr="00F55C47">
        <w:rPr>
          <w:rFonts w:ascii="Times New Roman" w:hAnsi="Times New Roman" w:cs="Times New Roman"/>
          <w:sz w:val="24"/>
          <w:szCs w:val="24"/>
        </w:rPr>
        <w:t>venkovské nižší třídy, zejména rolníků</w:t>
      </w:r>
      <w:r w:rsidRPr="00F55C47">
        <w:rPr>
          <w:rFonts w:ascii="Times New Roman" w:hAnsi="Times New Roman" w:cs="Times New Roman"/>
          <w:sz w:val="24"/>
          <w:szCs w:val="24"/>
        </w:rPr>
        <w:t>, že právě ona je ideálním zástupcem jejich zájm</w:t>
      </w:r>
      <w:r w:rsidR="00894530">
        <w:rPr>
          <w:rFonts w:ascii="Times New Roman" w:hAnsi="Times New Roman" w:cs="Times New Roman"/>
          <w:sz w:val="24"/>
          <w:szCs w:val="24"/>
        </w:rPr>
        <w:t>ů (Kennedy, Purushotham 2012).</w:t>
      </w:r>
      <w:r w:rsidRPr="00F55C47">
        <w:rPr>
          <w:rFonts w:ascii="Times New Roman" w:hAnsi="Times New Roman" w:cs="Times New Roman"/>
          <w:sz w:val="24"/>
          <w:szCs w:val="24"/>
        </w:rPr>
        <w:br/>
        <w:t xml:space="preserve">Volební zisky CPI (M) byly v době povstání vysoké a v průběhu systematicky rostly. V roce 1967 získali ve státních volbách 43 z celkových 280 křesel. V roce 1969 už to bylo 80 křesel, a v roce 1971 dokonce 113 mandátů, čemuž odpovídá 4 241 557 hlasů (Indická volební komise N.D., cit. dle Kennedy, Purushotham 2012: 846). </w:t>
      </w:r>
    </w:p>
    <w:p w14:paraId="6943091C" w14:textId="2203737F" w:rsidR="00877349" w:rsidRPr="00F55C47" w:rsidRDefault="00877349"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 xml:space="preserve">Povstalcům pod vedením Čáru Mazumdára se nedařilo vytvářet masovou podporu pro povstání a budovat mezi venkovským obyvatelstvem pevnou základnu, o které by se mohli povstalci ve svém úsilí opírat. Podle Kennedyho a Purushothama (Kennedy, Purushotham 2012: 846-847) se Mazumdárovi, ač se k Maově doktríně plně hlásil, nepodařilo uvést do praxe její nejzákladnější body. Povstalcům se nepodařilo mobilizovat masovou základnu podporovatelů skrze kolektivní pobídky a podcenili rovněž vhodnost terénu pro vedení partyzánské války. </w:t>
      </w:r>
    </w:p>
    <w:p w14:paraId="797285AE" w14:textId="0B57372A" w:rsidR="001E0ABA" w:rsidRDefault="001E0ABA" w:rsidP="00877349"/>
    <w:p w14:paraId="48E808D3" w14:textId="072F325F" w:rsidR="001E0ABA" w:rsidRDefault="00894530" w:rsidP="00EA471D">
      <w:pPr>
        <w:pStyle w:val="Heading1"/>
      </w:pPr>
      <w:bookmarkStart w:id="13" w:name="_Toc471296022"/>
      <w:r>
        <w:lastRenderedPageBreak/>
        <w:t xml:space="preserve">2.5.4 </w:t>
      </w:r>
      <w:r w:rsidR="001E0ABA" w:rsidRPr="001E0ABA">
        <w:t>Změna povstalecké strategie nakšalitů</w:t>
      </w:r>
      <w:bookmarkEnd w:id="13"/>
    </w:p>
    <w:p w14:paraId="4F550824" w14:textId="77777777" w:rsidR="00894530" w:rsidRDefault="001E0ABA"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Jak se povstalcům kolem Mazumdára nedařilo získat si místní venkovské a kmenové obyvatelstvo, hledali podporu pro své myšlenky a cíle jinde. V povstání začala hrát čím dál tím více důležitější roli městská střední třída a zejména studenti. Mnoho studentů odešlo na venkov a připojilo se k hnutí, čímž se pro povstalce stali primární podporovatelskou základnou (Banerjee 2008). Mazumdár ve svých výzvách na stranu studentů využíval své charizma silného vůdce a apeloval na ně: „vrhněte se do revolučního boje tady a teď, namísto plýtvání vaší energie na skládání zkoušek“. (Mazumdar 1970: 87-88, cit. dle Kennedy, Purushotham 2012: 847) Povstalci se ve svém revolučním úsilí tedy neopírali o ty venkovské vrstvy, ochranou jejichž zájmů se zaštiťovali. Podporu naopak čerpali od městských, vzdělanějších a tedy i ekonomicky silnějších vrstev, které zaujaly k povstaleckým ideám kladný vztah a byly ochotny o</w:t>
      </w:r>
      <w:r w:rsidR="00894530">
        <w:rPr>
          <w:rFonts w:ascii="Times New Roman" w:hAnsi="Times New Roman" w:cs="Times New Roman"/>
          <w:sz w:val="24"/>
          <w:szCs w:val="24"/>
        </w:rPr>
        <w:t>sobně participovat na povstání.</w:t>
      </w:r>
    </w:p>
    <w:p w14:paraId="6AD5CC4A" w14:textId="38D6873B" w:rsidR="00894530" w:rsidRPr="00F55C47" w:rsidRDefault="001E0ABA"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 xml:space="preserve">Studentské kádry nicméně ve venkovských oblastech nevydržely působit delší dobu. Bunerjee (2008) uvádí, že studenti neobstáli v konfrontaci se silnou státní represí, a proto se vrátili zpět do měst v Západním Bengálsku. Už na jaře 1970, tedy ani ne rok po působení ve venkovských oblastech, se hlavní těžiště povstaleckých aktivit přesunulo do měst. </w:t>
      </w:r>
    </w:p>
    <w:p w14:paraId="62229BB8" w14:textId="245EB408" w:rsidR="001E0ABA" w:rsidRPr="00F55C47" w:rsidRDefault="001E0ABA"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V městských centrech byli povstalci významně vzdáleni od venkovské reality a od těch skupin chudiny, jejichž jménem se v boji zaštiťovali. A zpronevěřili se také své anihilační politice, která byla jedním z hlavních, ne-li nejhlavnějších pilířů povstaleckých aktivit. V období mezi březnem 1970 a polovinou června 1971 představovali deklarovaní třídní nepřátelé, tedy velkostatkáři, pronajímatelé půdy a lichváři, „pouze“ 12% obětí povstaleckých útoků v Kalkatě. Političtí odpůrci a soupeři naopak v tomto období představovali 37% obětí. Napětí mezi konkurenčními CPI (M) a CPI (M-L) eskalovalo v období před volbami 1971. Opuštění od cílení na třídní nepřátele a namísto toho využívání útoků k odstranění politických soupeřů, zdiskreditovalo povstalce, a to zejména mezi jejich podporovateli ve střední třídě. Nepřímo tím došlo i k posílení pozice Indického národního kongresu (Kennedy, Purushotham 2012).</w:t>
      </w:r>
    </w:p>
    <w:p w14:paraId="602D4E94" w14:textId="77777777" w:rsidR="00442DE6" w:rsidRDefault="00442DE6" w:rsidP="00442DE6"/>
    <w:p w14:paraId="4C513662" w14:textId="4D1CF930" w:rsidR="00877349" w:rsidRDefault="00894530" w:rsidP="00442DE6">
      <w:pPr>
        <w:pStyle w:val="Heading1"/>
      </w:pPr>
      <w:bookmarkStart w:id="14" w:name="_Toc471296023"/>
      <w:r>
        <w:t xml:space="preserve">2.5.5 </w:t>
      </w:r>
      <w:r w:rsidR="00442DE6" w:rsidRPr="00442DE6">
        <w:t>Konec povstání v Západním Bengálsku</w:t>
      </w:r>
      <w:bookmarkEnd w:id="14"/>
    </w:p>
    <w:p w14:paraId="64ABFA92" w14:textId="4AAB7E16" w:rsidR="00442DE6" w:rsidRPr="00F55C47" w:rsidRDefault="00442DE6"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 xml:space="preserve">Na zániku povstalecké vlny měla zásluhu především nekompromisní protipovstalecká činnost vládních jednotek. V Západním Bengálsku dokonce vznikala speciální legislativa, která </w:t>
      </w:r>
      <w:r w:rsidRPr="00F55C47">
        <w:rPr>
          <w:rFonts w:ascii="Times New Roman" w:hAnsi="Times New Roman" w:cs="Times New Roman"/>
          <w:sz w:val="24"/>
          <w:szCs w:val="24"/>
        </w:rPr>
        <w:lastRenderedPageBreak/>
        <w:t>upravovala pravomoc policie a armády tak, aby se mohly vládní jednotky lépe vypořádat s povstalci (Kennedy, Purushotham 2012). Policie Západního Bengálska rozdělila městské povstalce do tří kategorií. Předně to byli povstalci, zejména studenti, kteří se aktivně nepodíleli na povstání a neprovinili se vůči zákonu. Těm bylo přislíbeno pracovní místo, ochrana ze strany policie a navíc byli nabádáni k připojení se do strany Kongresu. Povstalci, jež spáchali trestné činy, se na místo vězení mohli připojit k vládnímu protipovstaleckému boji, a za pravidelný měsíční plat pomáhali bezpečnostním silám identifikovat zbylé nakšality. Do třetí skupiny patřili nejvíce ideologicky odhodlaní povstalci, kteří byli buď zastřeleni, nebo byli drženi ve vazbě na neomezenou dobu (Kennedy, Purushotham 2012, srov. Banerjee 2008). Nekompromisní, tvrdý postup vlády přinesl zamýšlené výsledky. Hnutí bylo poraženo prakticky ve všech postižených oblastech již na začátku roku 1972. Druhá vlna povstání je symbolicky zakončena úmrtím komunistického vůdce Čáru Mazumdára v policejní vazbě v červenci 1972.</w:t>
      </w:r>
    </w:p>
    <w:p w14:paraId="34B8B018" w14:textId="77777777" w:rsidR="00442DE6" w:rsidRPr="00F55C47" w:rsidRDefault="00442DE6"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Ne jen protipovstalecké akce vlády se podepsaly na zániku povstaleckých činností AICCCR a následně CPI (M-L). Pozice povstalců byla oslabena z důvodu několika strategických chyb, kterých se dopustili oni sami. Byla to zejména neschopnost vytvořit masovou skupinu podporovatelů mezi chudými venkovskými vrstvami obyvatel a síť základen, které by jim umožnila lépe vzdorovat protipovstaleckým akcím. Venkovské obyvatelstvo se přiklonilo na stranu konkurenční legální politické strany CPI (M). Zřetelně se to ukázalo ve volbách, zejména v letech 1969 a 1971, kdy se CPI (M) stala nejsilnější stranou v Západním Bengálsku. Do neúspěchu povstání se projevil také odklon od maoistické koncepce masově podporovaného venkovského povstání. Těžiště povstaleckých aktivit se přesunulo z venkova do městských center. Chudé venkovské vrstvy nahradila střední třída v čele s levicově orientovanými studenty.</w:t>
      </w:r>
    </w:p>
    <w:p w14:paraId="71E61C0F" w14:textId="58569FC0" w:rsidR="00442DE6" w:rsidRDefault="00894530" w:rsidP="00442DE6">
      <w:pPr>
        <w:pStyle w:val="Heading1"/>
      </w:pPr>
      <w:bookmarkStart w:id="15" w:name="_Toc471296024"/>
      <w:r>
        <w:t xml:space="preserve">2.5.6 </w:t>
      </w:r>
      <w:r w:rsidR="00442DE6" w:rsidRPr="00442DE6">
        <w:t>Znovuobnovení povstaleckých aktivit v 80. letech</w:t>
      </w:r>
      <w:bookmarkEnd w:id="15"/>
    </w:p>
    <w:p w14:paraId="77C258E2" w14:textId="1C41B4E4" w:rsidR="00442DE6" w:rsidRPr="00F55C47" w:rsidRDefault="00442DE6"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 xml:space="preserve">Stejně jako v případě předchozích dvou vln, i třetí vlna se odehrává primárně v Západním Bengálsku a Ándhrapradéši, a navíc i v Biháru. </w:t>
      </w:r>
      <w:r w:rsidRPr="00F55C47">
        <w:rPr>
          <w:rFonts w:ascii="Times New Roman" w:hAnsi="Times New Roman" w:cs="Times New Roman"/>
          <w:color w:val="333333"/>
          <w:sz w:val="24"/>
          <w:szCs w:val="24"/>
          <w:shd w:val="clear" w:color="auto" w:fill="FFFFFF"/>
        </w:rPr>
        <w:t xml:space="preserve"> </w:t>
      </w:r>
      <w:r w:rsidRPr="00F55C47">
        <w:rPr>
          <w:rFonts w:ascii="Times New Roman" w:hAnsi="Times New Roman" w:cs="Times New Roman"/>
          <w:sz w:val="24"/>
          <w:szCs w:val="24"/>
        </w:rPr>
        <w:t xml:space="preserve">V 80. letech 20. století přebírá vůdčí roli v povstaleckých aktivitách nově formovaná skupina Peoples War Group (PWG) ve státě Ándhrapradéš. PWG na rozdíl od CPI (M-L) mění složení svých aktivit. PWG se na rozdíl od zaměření na eliminaci třídních nepřátel, věnuje budování masové a stabilní základny podporovatelů. Systematicky pracuje  se skupinami obyvatel z nižších tříd a snaží se jim poskytovat hromadné výhody a obhajobu jejich zájmů. Komunistické kádry kolem skupiny </w:t>
      </w:r>
      <w:r w:rsidRPr="00F55C47">
        <w:rPr>
          <w:rFonts w:ascii="Times New Roman" w:hAnsi="Times New Roman" w:cs="Times New Roman"/>
          <w:sz w:val="24"/>
          <w:szCs w:val="24"/>
        </w:rPr>
        <w:lastRenderedPageBreak/>
        <w:t>PWG rozšířili své působení do již tradiční oblasti komunistických povstání, a sice do státu Telengana, kde povstání zemědělských pracovníků vznikala nejdříve.</w:t>
      </w:r>
    </w:p>
    <w:p w14:paraId="185D9A36" w14:textId="4A3CD8F7" w:rsidR="00442DE6" w:rsidRPr="00F55C47" w:rsidRDefault="00442DE6"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Povstalci mohli nalézat podporu mezi chudým venkovským obyvatelstvem zejména proto, že místní vlády tyto skupiny ignorovali, čímž nechávali dostatečný prostor pro maoistické povstalce. Vlády států Ándhrapradéš a Biháru nedokázaly přijmout opatření a tolik potřebné pozemkové reformy. Podpora pro povstalce plynula zejména od zemědělských dělníků, tedy příslušníku nižší kasty (Kunnath 2009). Dělníci pociťovali křivdu, neboť příslušníci vyšších kast, zejména velkostatkáři, ve vlastnění půdy zcela dominovali. Dominance byla navíc podpořena vládními elitami a pravidly vlastnění půdy stojícími na koloniálních pravidlech.</w:t>
      </w:r>
    </w:p>
    <w:p w14:paraId="59F1B825" w14:textId="5780EE31" w:rsidR="00442DE6" w:rsidRPr="00F55C47" w:rsidRDefault="00442DE6" w:rsidP="00F55C47">
      <w:pPr>
        <w:spacing w:line="360" w:lineRule="auto"/>
        <w:jc w:val="both"/>
        <w:rPr>
          <w:rFonts w:ascii="Times New Roman" w:hAnsi="Times New Roman" w:cs="Times New Roman"/>
          <w:sz w:val="24"/>
          <w:szCs w:val="24"/>
        </w:rPr>
      </w:pPr>
      <w:r w:rsidRPr="00F55C47">
        <w:rPr>
          <w:rFonts w:ascii="Times New Roman" w:hAnsi="Times New Roman" w:cs="Times New Roman"/>
          <w:sz w:val="24"/>
          <w:szCs w:val="24"/>
        </w:rPr>
        <w:t>Povstalecké aktivity se mohly dále rozvíjet díky terénu vhodnému</w:t>
      </w:r>
      <w:r w:rsidR="002E2007">
        <w:rPr>
          <w:rFonts w:ascii="Times New Roman" w:hAnsi="Times New Roman" w:cs="Times New Roman"/>
          <w:sz w:val="24"/>
          <w:szCs w:val="24"/>
        </w:rPr>
        <w:t xml:space="preserve"> pro vedení partyzánské války. Nakšalité v</w:t>
      </w:r>
      <w:r w:rsidRPr="00F55C47">
        <w:rPr>
          <w:rFonts w:ascii="Times New Roman" w:hAnsi="Times New Roman" w:cs="Times New Roman"/>
          <w:sz w:val="24"/>
          <w:szCs w:val="24"/>
        </w:rPr>
        <w:t>yužívali výhod, které jim poskytovaly hornaté a zalesněné oblasti, kde si vytvořili základny, které sloužili jako opěrný bod pro jejich povstalecké aktivity. Nejen terén</w:t>
      </w:r>
      <w:r w:rsidR="002E2007">
        <w:rPr>
          <w:rFonts w:ascii="Times New Roman" w:hAnsi="Times New Roman" w:cs="Times New Roman"/>
          <w:sz w:val="24"/>
          <w:szCs w:val="24"/>
        </w:rPr>
        <w:t>, ale</w:t>
      </w:r>
      <w:r w:rsidRPr="00F55C47">
        <w:rPr>
          <w:rFonts w:ascii="Times New Roman" w:hAnsi="Times New Roman" w:cs="Times New Roman"/>
          <w:sz w:val="24"/>
          <w:szCs w:val="24"/>
        </w:rPr>
        <w:t xml:space="preserve"> také místní kmenové obyvatelstvo se ukázalo být vhodným opěrným bodem pro povstalce. Kmenové obyvatelstvo, </w:t>
      </w:r>
      <w:r w:rsidRPr="00F55C47">
        <w:rPr>
          <w:rFonts w:ascii="Times New Roman" w:hAnsi="Times New Roman" w:cs="Times New Roman"/>
          <w:i/>
          <w:sz w:val="24"/>
          <w:szCs w:val="24"/>
        </w:rPr>
        <w:t>adivásové</w:t>
      </w:r>
      <w:r w:rsidRPr="00F55C47">
        <w:rPr>
          <w:rFonts w:ascii="Times New Roman" w:hAnsi="Times New Roman" w:cs="Times New Roman"/>
          <w:sz w:val="24"/>
          <w:szCs w:val="24"/>
        </w:rPr>
        <w:t xml:space="preserve">, jsou tradičními obyvateli zalesněných odlehlých oblastí. </w:t>
      </w:r>
    </w:p>
    <w:p w14:paraId="5EA9C88C" w14:textId="5AF1CC44" w:rsidR="00442DE6" w:rsidRDefault="00442DE6" w:rsidP="00877349"/>
    <w:p w14:paraId="093631C9" w14:textId="25C28971" w:rsidR="002E2007" w:rsidRDefault="002E2007" w:rsidP="00877349"/>
    <w:p w14:paraId="331F7E9B" w14:textId="3FDFD6EA" w:rsidR="002E2007" w:rsidRDefault="002E2007" w:rsidP="00877349"/>
    <w:p w14:paraId="0944B058" w14:textId="414D7C20" w:rsidR="002E2007" w:rsidRDefault="002E2007" w:rsidP="00877349"/>
    <w:p w14:paraId="549FA10E" w14:textId="5CCE9789" w:rsidR="002E2007" w:rsidRDefault="002E2007" w:rsidP="00877349"/>
    <w:p w14:paraId="7C984F30" w14:textId="25BE2C51" w:rsidR="002E2007" w:rsidRDefault="002E2007" w:rsidP="00877349"/>
    <w:p w14:paraId="0BB6E39D" w14:textId="72F9DD37" w:rsidR="002E2007" w:rsidRDefault="002E2007" w:rsidP="00877349"/>
    <w:p w14:paraId="76A87CFD" w14:textId="1921EAC8" w:rsidR="002E2007" w:rsidRDefault="002E2007" w:rsidP="00877349"/>
    <w:p w14:paraId="4538C98E" w14:textId="58BC2E0D" w:rsidR="002E2007" w:rsidRDefault="002E2007" w:rsidP="00877349"/>
    <w:p w14:paraId="463F81D1" w14:textId="39B6018E" w:rsidR="002E2007" w:rsidRDefault="002E2007" w:rsidP="00877349"/>
    <w:p w14:paraId="16668625" w14:textId="0CB79636" w:rsidR="002E2007" w:rsidRDefault="002E2007" w:rsidP="00877349"/>
    <w:p w14:paraId="7A0A548E" w14:textId="18BC07E3" w:rsidR="002E2007" w:rsidRDefault="002E2007" w:rsidP="00877349"/>
    <w:p w14:paraId="008756A7" w14:textId="476C6868" w:rsidR="002E2007" w:rsidRDefault="002E2007" w:rsidP="00877349"/>
    <w:p w14:paraId="24EE4782" w14:textId="54200225" w:rsidR="002E2007" w:rsidRDefault="002E2007" w:rsidP="00877349"/>
    <w:p w14:paraId="6AFF348F" w14:textId="5DB55249" w:rsidR="002E2007" w:rsidRDefault="002E2007" w:rsidP="00877349"/>
    <w:p w14:paraId="10229F9A" w14:textId="3DBE0F6B" w:rsidR="002E2007" w:rsidRDefault="002E2007" w:rsidP="00877349"/>
    <w:p w14:paraId="3F6257F5" w14:textId="20910CEC" w:rsidR="002E2007" w:rsidRDefault="002E2007" w:rsidP="00877349"/>
    <w:p w14:paraId="4C9D5B20" w14:textId="2CE3049D" w:rsidR="00C665DD" w:rsidRDefault="00657BE9" w:rsidP="00657BE9">
      <w:pPr>
        <w:pStyle w:val="Heading1"/>
      </w:pPr>
      <w:bookmarkStart w:id="16" w:name="_Toc471296025"/>
      <w:bookmarkStart w:id="17" w:name="_GoBack"/>
      <w:bookmarkEnd w:id="17"/>
      <w:r>
        <w:lastRenderedPageBreak/>
        <w:t xml:space="preserve">3. </w:t>
      </w:r>
      <w:r w:rsidR="00C665DD" w:rsidRPr="00C910D4">
        <w:t>Příčiny vzniku nakšalbárského povstání</w:t>
      </w:r>
      <w:bookmarkEnd w:id="16"/>
    </w:p>
    <w:p w14:paraId="1C34CB83" w14:textId="7868A5D8" w:rsidR="00F55C47" w:rsidRPr="00894530" w:rsidRDefault="00F55C47" w:rsidP="00894530">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Socioekonomické problémy jako faktory ovlivňující šíření nakšalitského hnutí.</w:t>
      </w:r>
      <w:r>
        <w:rPr>
          <w:rFonts w:ascii="Times New Roman" w:hAnsi="Times New Roman" w:cs="Times New Roman"/>
          <w:sz w:val="24"/>
          <w:szCs w:val="24"/>
        </w:rPr>
        <w:t xml:space="preserve"> </w:t>
      </w:r>
      <w:r w:rsidRPr="00C910D4">
        <w:rPr>
          <w:rFonts w:ascii="Times New Roman" w:hAnsi="Times New Roman" w:cs="Times New Roman"/>
          <w:sz w:val="24"/>
          <w:szCs w:val="24"/>
        </w:rPr>
        <w:t xml:space="preserve">Podle Singha (2006: 226) se socioekonomické problémy týkají především chudoby, pozemkových reforem, nezaměstnanosti, korupce, kmenových obyvatel a vlády. </w:t>
      </w:r>
    </w:p>
    <w:p w14:paraId="61AFD0E7" w14:textId="3DAA394F" w:rsidR="00982736" w:rsidRPr="00894530" w:rsidRDefault="00657BE9" w:rsidP="00894530">
      <w:pPr>
        <w:pStyle w:val="Heading1"/>
      </w:pPr>
      <w:bookmarkStart w:id="18" w:name="_Toc471296026"/>
      <w:r>
        <w:t xml:space="preserve">3.1 </w:t>
      </w:r>
      <w:r w:rsidR="00C665DD" w:rsidRPr="00C910D4">
        <w:t>Historický kontext</w:t>
      </w:r>
      <w:bookmarkEnd w:id="18"/>
    </w:p>
    <w:p w14:paraId="27EBD4E8" w14:textId="031CB3E4" w:rsidR="00C665DD" w:rsidRPr="00C910D4" w:rsidRDefault="00C665DD"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Není sporu, že mezi obyvateli okresu Na</w:t>
      </w:r>
      <w:r w:rsidR="00DD70C6" w:rsidRPr="00C910D4">
        <w:rPr>
          <w:rFonts w:ascii="Times New Roman" w:hAnsi="Times New Roman" w:cs="Times New Roman"/>
          <w:sz w:val="24"/>
          <w:szCs w:val="24"/>
        </w:rPr>
        <w:t>kšalbárí panovaly výrazné socio</w:t>
      </w:r>
      <w:r w:rsidRPr="00C910D4">
        <w:rPr>
          <w:rFonts w:ascii="Times New Roman" w:hAnsi="Times New Roman" w:cs="Times New Roman"/>
          <w:sz w:val="24"/>
          <w:szCs w:val="24"/>
        </w:rPr>
        <w:t xml:space="preserve">ekonomické rozdíly mezi na jedné straně bohatými statkáři a na druhé straně chudými rolníky a zemědělskými dělníky. Důvodů této disharmonie bylo několik. Indické zemědělství se v 60. letech 20. století ocitlo v krizi, které mělo své kořeny již v době koloniální nadvlády. Britská administrativa se snažila o proces modernizace zemědělství a zavedla kapitalistickou formu zemědělství, která ještě více rozevírala pomyslné nůžky mezi bohatými velkostatkáři a chudými bezzemky. Nerovné podmínky byly rozbuškou k násilným vzpourám chudiny. </w:t>
      </w:r>
    </w:p>
    <w:p w14:paraId="78DF3273" w14:textId="6CADA040" w:rsidR="00894530" w:rsidRDefault="00C665DD"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Pro stát Západní Bengálsko nebyly vzpoury chudých rolníků ničím neobvyklým. Mezi lety 1783-1900 bylo zaznamenáno přinejmenším 110 násilných povstání rolníků (Guha 1983: 6). Četné vzpoury se nevyhnuly ani téměř půlstoletí britské koloniální nadvlády ve 20. století.  Zneužívání indického rolnictva dosahovalo během koloniální éry značných rozměrů. K první rebelii došlo už v 60. letech 19. století, tedy sto let před nakšalitským povstání. Výroba průmyslového barviva indiga byla v Evropě značně nákladná. Britští kolonizátoři nutili rolnictvo v Bengálsku pěstovat nepoživatelnou plodinu namísto tradičního obilí, následkem čehož se ve venkovských oblastech šířil hlad. První povstání na sebe nenechalo dlouho čekat (Bagai 1</w:t>
      </w:r>
      <w:r w:rsidR="00894530">
        <w:rPr>
          <w:rFonts w:ascii="Times New Roman" w:hAnsi="Times New Roman" w:cs="Times New Roman"/>
          <w:sz w:val="24"/>
          <w:szCs w:val="24"/>
        </w:rPr>
        <w:t>953, cit. dle Gupta 2007).</w:t>
      </w:r>
    </w:p>
    <w:p w14:paraId="5BE9B787" w14:textId="77777777" w:rsidR="00725E62" w:rsidRPr="00725E62" w:rsidRDefault="00725E62" w:rsidP="00C910D4">
      <w:pPr>
        <w:spacing w:line="360" w:lineRule="auto"/>
        <w:jc w:val="both"/>
        <w:rPr>
          <w:rFonts w:ascii="Times New Roman" w:hAnsi="Times New Roman" w:cs="Times New Roman"/>
          <w:sz w:val="24"/>
          <w:szCs w:val="24"/>
        </w:rPr>
      </w:pPr>
    </w:p>
    <w:p w14:paraId="4B2517FC" w14:textId="64E29673" w:rsidR="00C910D4" w:rsidRPr="00C910D4" w:rsidRDefault="00725E62" w:rsidP="00725E62">
      <w:pPr>
        <w:pStyle w:val="Heading1"/>
      </w:pPr>
      <w:bookmarkStart w:id="19" w:name="_Toc471296027"/>
      <w:r>
        <w:t xml:space="preserve">3.2 </w:t>
      </w:r>
      <w:r w:rsidR="002E2007">
        <w:t>Socioekonomické příčiny</w:t>
      </w:r>
      <w:bookmarkEnd w:id="19"/>
    </w:p>
    <w:p w14:paraId="6915F1DD" w14:textId="77777777" w:rsidR="00C910D4"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Venkovské oblasti v Indii jsou závislé především na zemědělské produkci. Chov dobytka a pěstování plodin nedokáže obyvatelstvu zajistit adekvátní ekonomický kapitál. Zboží není na finančním trhu adekvátně ohodnocené. Vlády proto ve jménu boje s chudobou na venkově přistupují k pěstování výnosnějších a netradičních plodin. Cílem je především zvýšit produktivitu, v důsledku čehož se zvýší i příjem z prodeje. Opuštění tradičních plodin a jejich </w:t>
      </w:r>
      <w:r w:rsidRPr="00C910D4">
        <w:rPr>
          <w:rFonts w:ascii="Times New Roman" w:hAnsi="Times New Roman" w:cs="Times New Roman"/>
          <w:sz w:val="24"/>
          <w:szCs w:val="24"/>
        </w:rPr>
        <w:lastRenderedPageBreak/>
        <w:t xml:space="preserve">nahrazování plodinami určených primárně pro vývoz představuje zároveň zvýšené riziko pro potravinovou bezpečnost států. </w:t>
      </w:r>
    </w:p>
    <w:p w14:paraId="09ECAAE4" w14:textId="77777777" w:rsidR="00C910D4"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Světová banka (dále jen SB) využívá svou vlastní definici chudoby, která se nezměnila od roku 1990. SB definuje chudobu jako neschopnost dosáhnout minimálních životních standardů (World Bank 1990). Vedle kvantifikovatelných kritérií do své metodiky SB zahrnuje i indikátory jako jsou zdraví, střední délka života, dětská úmrtnost do pěti let života, gramotnost, přístup k veřejným statkům, náchylnost k rizikům (</w:t>
      </w:r>
      <w:r w:rsidRPr="00C910D4">
        <w:rPr>
          <w:rFonts w:ascii="Times New Roman" w:hAnsi="Times New Roman" w:cs="Times New Roman"/>
          <w:i/>
          <w:sz w:val="24"/>
          <w:szCs w:val="24"/>
        </w:rPr>
        <w:t>riskliability</w:t>
      </w:r>
      <w:r w:rsidRPr="00C910D4">
        <w:rPr>
          <w:rFonts w:ascii="Times New Roman" w:hAnsi="Times New Roman" w:cs="Times New Roman"/>
          <w:sz w:val="24"/>
          <w:szCs w:val="24"/>
        </w:rPr>
        <w:t>) a zranitelnost (</w:t>
      </w:r>
      <w:r w:rsidRPr="00C910D4">
        <w:rPr>
          <w:rFonts w:ascii="Times New Roman" w:hAnsi="Times New Roman" w:cs="Times New Roman"/>
          <w:i/>
          <w:sz w:val="24"/>
          <w:szCs w:val="24"/>
        </w:rPr>
        <w:t>nakedness</w:t>
      </w:r>
      <w:r w:rsidRPr="00C910D4">
        <w:rPr>
          <w:rFonts w:ascii="Times New Roman" w:hAnsi="Times New Roman" w:cs="Times New Roman"/>
          <w:sz w:val="24"/>
          <w:szCs w:val="24"/>
        </w:rPr>
        <w:t>). Spracováním těchto dat vzniká tzv. křivka mezinárodní chudoby, na jejímž základě se stanovují dvě hranice tzv</w:t>
      </w:r>
      <w:r w:rsidRPr="00C910D4">
        <w:rPr>
          <w:rFonts w:ascii="Times New Roman" w:hAnsi="Times New Roman" w:cs="Times New Roman"/>
          <w:i/>
          <w:sz w:val="24"/>
          <w:szCs w:val="24"/>
        </w:rPr>
        <w:t xml:space="preserve">. absolutní chudoby </w:t>
      </w:r>
      <w:r w:rsidRPr="00C910D4">
        <w:rPr>
          <w:rFonts w:ascii="Times New Roman" w:hAnsi="Times New Roman" w:cs="Times New Roman"/>
          <w:sz w:val="24"/>
          <w:szCs w:val="24"/>
        </w:rPr>
        <w:t xml:space="preserve">- $ 1/den a $ 2/den. Lidé, kteří musejí přežít za jediný dolar na den, žijí podle statistiky SB v extrémní chudobě, ti šťastnější živořící za dva dolary na den pouze v chudobě (Lindner, Strnad 2006). </w:t>
      </w:r>
    </w:p>
    <w:p w14:paraId="5764AD1E" w14:textId="77777777" w:rsidR="00C910D4"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Indická plánovací komise má však jinou definici chudoby. Jejich definice uvádí, že každá osoba, která není schopná si obstarat příjem alespoň 2400/2100 (venkov/město) kalorií denně, žije pod hranicí chudoby (P.A.P. Blog 2007-10, cit. dle Keclíková 2010). Podle nynějších údajů indické vlády žije pod hranicí chudoby  téměř třetina z celkového indické populace (Government of India 2009-10).</w:t>
      </w:r>
    </w:p>
    <w:p w14:paraId="4C522BE5" w14:textId="77777777" w:rsidR="00C910D4"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Vývoj chudoby v Indii vykazuje jasný klesající trend. V roce 1974 bylo pod hranicí chudoby přibližně 55% obyvatel Indii, v roce 2000 se chudoba přímo dotýkala 27% a v roce 2015 dokonce „jen“ 21% (World Bank 2016). Přesto míra chudoby dosahuje významných hodnot a stává se tak základním socioekonomickým problémem ovlivňujícím podporu nakšalitskému hnutí mezi chudým obyvatelstvem.</w:t>
      </w:r>
    </w:p>
    <w:p w14:paraId="642A6C79" w14:textId="5C38E8E7" w:rsidR="00C910D4"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Velká část chudé populace se nachází na venkově. Mezi nejvážněji postižené skupiny obyvatel patří kmenové obyvatelstvo. Existuje výrazná shoda mezi státy s nejméně rozvinutými okresy a státy zasaženými nakšalismem. Indická vláda identifikovala 55 takových málo rozvinutých okresů Ándhrapradéš (8), Bihár (8), Džhárkhand (13), Madhjapradéš (2), Čhattísgarh (7), Maháráštra (4), Urísa (7), Uttarpradéš (3) a Západní Bengálsko (3) (Singh 2006: 232). Okresy s největším podílem chudoby jsou součástí nakšalitského rudého koridoru. Chudoba a socioekonomické rozdíly mezi obyvateli představují vhodné podmínky pro šíření nakšalitského hnutí. Od tamního chudého obyvatelstva se jim dostává široké podpory. </w:t>
      </w:r>
    </w:p>
    <w:p w14:paraId="4A905637" w14:textId="6EF05937" w:rsidR="00C910D4" w:rsidRPr="00C910D4" w:rsidRDefault="00725E62" w:rsidP="00F55C47">
      <w:pPr>
        <w:pStyle w:val="Heading1"/>
      </w:pPr>
      <w:bookmarkStart w:id="20" w:name="_Toc471296028"/>
      <w:r>
        <w:lastRenderedPageBreak/>
        <w:t xml:space="preserve">3.3 </w:t>
      </w:r>
      <w:r w:rsidR="00C910D4" w:rsidRPr="00C910D4">
        <w:t>Pozemkové reformy</w:t>
      </w:r>
      <w:bookmarkEnd w:id="20"/>
    </w:p>
    <w:p w14:paraId="1E486A47" w14:textId="77777777" w:rsidR="00C910D4"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Indický sektor zemědělství se dlouhodobě potýká s problémy, v jejichž důsledku je degradovaná životní situace indických obyvatel závislých na zemědělské produkci. Nerovné a nespravedlivé rozdělení půdy patří mezi nejběžnější příčiny chudoby na venkově. V indickém případě se jedná především o dědictví z éry britské kolonizace. Systém vlastnictví půdy stojí na koloniální tradici dodnes. Vlastnictví půdy bylo uzpůsobeno koloniálním potřebám Britské Východoindické společnosti. Britská korporace založila své aktivity na novém systému výběru příjmů z pozemků. Zrušila dědičné pozemkové právo pro indické zemědělce a roli tradičních statkářů převedla na velkostatkáře- </w:t>
      </w:r>
      <w:r w:rsidRPr="00C910D4">
        <w:rPr>
          <w:rFonts w:ascii="Times New Roman" w:hAnsi="Times New Roman" w:cs="Times New Roman"/>
          <w:i/>
          <w:sz w:val="24"/>
          <w:szCs w:val="24"/>
        </w:rPr>
        <w:t>džótedáry</w:t>
      </w:r>
      <w:r w:rsidRPr="00C910D4">
        <w:rPr>
          <w:rFonts w:ascii="Times New Roman" w:hAnsi="Times New Roman" w:cs="Times New Roman"/>
          <w:sz w:val="24"/>
          <w:szCs w:val="24"/>
        </w:rPr>
        <w:t>, výměnou za výběr daní od rolníků. Velkostatkáři půdu pronajímali rolníkům zpravidla za polovinu jejich výnosů (French 1997). Výsledkem nového systému byla nerovnoměrná distribuce zemědělské půdy, s přesahem i do éry postkoloniální. Z dat ze sčítání lidu v roce 1971 vyplývá, že ve vesnici Nakšalbari vlastnila převážnou část pozemků pouze minimální část (4%) obyvatel. Naopak téměř 60% obyvatel bylo zcela bez vlastnictví půdy (Mehra 2000). Tito bezzemci, bez jakýchkoli práv vlastnit půdu, byli okolnostmi donuceni pracovat pro velkostatkáře.</w:t>
      </w:r>
    </w:p>
    <w:p w14:paraId="5B21E7A7" w14:textId="77777777" w:rsidR="00C910D4"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 Kritické situace si je vědoma i indická administrativa. Podle indického ministerstva zemědělství je nutné přistoupit k pozemkovým reformám, jejichž hlavním cílem je reorganizace poměrů v zemědělství, která povede k více rovnostářské sociální struktuře, eliminaci vykořisťování  přerozdělení nadbytečných pozemků mezi chudé obyvatele venkova, zvýšení zemědělské produkce a větší rovnoprávnosti tamních institucí (Ministry of Rural Development, 2002-03, cit. dle Keclíková 2010).</w:t>
      </w:r>
    </w:p>
    <w:p w14:paraId="3EC0E4E8" w14:textId="77777777" w:rsidR="00C910D4"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V Číně došlo k přerozdělení 43% zemědělské půdy, na Taiwanu 37%, v Jižní Koreji 32% a v Japonsku 32%, v Indii to bylo pouhých 1,25% (Singh 2006: 233). Hlavním důvodem takto nízkého čísla je podle S. R. Sankarana (bývalého indického ministra pro rozvoj venkova) „</w:t>
      </w:r>
      <w:r w:rsidRPr="00C910D4">
        <w:rPr>
          <w:rFonts w:ascii="Times New Roman" w:hAnsi="Times New Roman" w:cs="Times New Roman"/>
          <w:i/>
          <w:sz w:val="24"/>
          <w:szCs w:val="24"/>
        </w:rPr>
        <w:t>zásadní nedostatek politické vůle, nevýkonnost legislativního systému, neúčinné provedení pozemkových reforem (které zapříčinilo i samotný vznik povstání v Nakšalbárí roku 1967), nedostatky správního systému a také nedostatek korektních a aktuálních pozemkových záznamů</w:t>
      </w:r>
      <w:r w:rsidRPr="00C910D4">
        <w:rPr>
          <w:rFonts w:ascii="Times New Roman" w:hAnsi="Times New Roman" w:cs="Times New Roman"/>
          <w:sz w:val="24"/>
          <w:szCs w:val="24"/>
        </w:rPr>
        <w:t>“ (Singh 2006: 233).</w:t>
      </w:r>
    </w:p>
    <w:p w14:paraId="091A8010" w14:textId="77777777" w:rsidR="00C910D4" w:rsidRPr="00C910D4" w:rsidRDefault="00C910D4" w:rsidP="00C910D4">
      <w:pPr>
        <w:spacing w:line="360" w:lineRule="auto"/>
        <w:jc w:val="both"/>
        <w:rPr>
          <w:rFonts w:ascii="Times New Roman" w:hAnsi="Times New Roman" w:cs="Times New Roman"/>
          <w:sz w:val="24"/>
          <w:szCs w:val="24"/>
        </w:rPr>
      </w:pPr>
    </w:p>
    <w:p w14:paraId="58AF88E1" w14:textId="7C116483" w:rsidR="00C910D4" w:rsidRPr="00C910D4" w:rsidRDefault="00725E62" w:rsidP="00894530">
      <w:pPr>
        <w:pStyle w:val="Heading1"/>
      </w:pPr>
      <w:bookmarkStart w:id="21" w:name="_Toc471296029"/>
      <w:r>
        <w:lastRenderedPageBreak/>
        <w:t xml:space="preserve">3.4 </w:t>
      </w:r>
      <w:r w:rsidR="00C910D4" w:rsidRPr="00C910D4">
        <w:t>Pozemkové reformy: historický kontext</w:t>
      </w:r>
      <w:bookmarkEnd w:id="21"/>
    </w:p>
    <w:p w14:paraId="6122F9E0" w14:textId="77777777" w:rsidR="00C910D4"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Pro pochopení problematiky vlastnictví půdy v Indii, je třeba vysvětlit dva termíny. Prvním jsou tzv. </w:t>
      </w:r>
      <w:r w:rsidRPr="00C910D4">
        <w:rPr>
          <w:rFonts w:ascii="Times New Roman" w:hAnsi="Times New Roman" w:cs="Times New Roman"/>
          <w:i/>
          <w:sz w:val="24"/>
          <w:szCs w:val="24"/>
        </w:rPr>
        <w:t>džótedárové</w:t>
      </w:r>
      <w:r w:rsidRPr="00C910D4">
        <w:rPr>
          <w:rFonts w:ascii="Times New Roman" w:hAnsi="Times New Roman" w:cs="Times New Roman"/>
          <w:sz w:val="24"/>
          <w:szCs w:val="24"/>
        </w:rPr>
        <w:t xml:space="preserve">, což jsou bohatí velkostatkáři, kterým britská koloniální vláda udělila právo vlastnit pozemky. Jejich status je odlišný od tzv. </w:t>
      </w:r>
      <w:r w:rsidRPr="00C910D4">
        <w:rPr>
          <w:rFonts w:ascii="Times New Roman" w:hAnsi="Times New Roman" w:cs="Times New Roman"/>
          <w:i/>
          <w:sz w:val="24"/>
          <w:szCs w:val="24"/>
        </w:rPr>
        <w:t>adhiarů</w:t>
      </w:r>
      <w:r w:rsidRPr="00C910D4">
        <w:rPr>
          <w:rFonts w:ascii="Times New Roman" w:hAnsi="Times New Roman" w:cs="Times New Roman"/>
          <w:sz w:val="24"/>
          <w:szCs w:val="24"/>
        </w:rPr>
        <w:t xml:space="preserve">, což jsou chudí bezzemci, kteří si od statkářů pronajímali půdu výměnou za poloviční výtěžek z úrody. </w:t>
      </w:r>
    </w:p>
    <w:p w14:paraId="15D8F3EC" w14:textId="77777777" w:rsidR="00C910D4"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V oblasti Dárdžiling, do kterého spadá i obec Nakšalbárí, měl své početné kmenové zastoupení kmen Rádžbongší, jehož příslušníky lze považovat za praobyvatele regionu. Kmen měl správu pozemku upravenou systémem </w:t>
      </w:r>
      <w:r w:rsidRPr="00C910D4">
        <w:rPr>
          <w:rFonts w:ascii="Times New Roman" w:hAnsi="Times New Roman" w:cs="Times New Roman"/>
          <w:i/>
          <w:sz w:val="24"/>
          <w:szCs w:val="24"/>
        </w:rPr>
        <w:t>džóte</w:t>
      </w:r>
      <w:r w:rsidRPr="00C910D4">
        <w:rPr>
          <w:rFonts w:ascii="Times New Roman" w:hAnsi="Times New Roman" w:cs="Times New Roman"/>
          <w:sz w:val="24"/>
          <w:szCs w:val="24"/>
        </w:rPr>
        <w:t xml:space="preserve">, v němž byla půda určená k obhospodařování přidělena rodině, která se v místech usídlila jako první. Rodina nicméně nebyla považována za vlastníka půdy, ale disponovala pouze statusem správce. Jedná se o druh systému, který je možné nalézt ve většině kmenových oblastí. Systém </w:t>
      </w:r>
      <w:r w:rsidRPr="00C910D4">
        <w:rPr>
          <w:rFonts w:ascii="Times New Roman" w:hAnsi="Times New Roman" w:cs="Times New Roman"/>
          <w:i/>
          <w:sz w:val="24"/>
          <w:szCs w:val="24"/>
        </w:rPr>
        <w:t>džóte</w:t>
      </w:r>
      <w:r w:rsidRPr="00C910D4">
        <w:rPr>
          <w:rFonts w:ascii="Times New Roman" w:hAnsi="Times New Roman" w:cs="Times New Roman"/>
          <w:sz w:val="24"/>
          <w:szCs w:val="24"/>
        </w:rPr>
        <w:t xml:space="preserve"> byl založen na dědičném právu na vlastnění půdy (Mukherji 1987: 1611). Původně nebyly vztahy mezi </w:t>
      </w:r>
      <w:r w:rsidRPr="00C910D4">
        <w:rPr>
          <w:rFonts w:ascii="Times New Roman" w:hAnsi="Times New Roman" w:cs="Times New Roman"/>
          <w:i/>
          <w:sz w:val="24"/>
          <w:szCs w:val="24"/>
        </w:rPr>
        <w:t>džótedari</w:t>
      </w:r>
      <w:r w:rsidRPr="00C910D4">
        <w:rPr>
          <w:rFonts w:ascii="Times New Roman" w:hAnsi="Times New Roman" w:cs="Times New Roman"/>
          <w:sz w:val="24"/>
          <w:szCs w:val="24"/>
        </w:rPr>
        <w:t xml:space="preserve"> a </w:t>
      </w:r>
      <w:r w:rsidRPr="00C910D4">
        <w:rPr>
          <w:rFonts w:ascii="Times New Roman" w:hAnsi="Times New Roman" w:cs="Times New Roman"/>
          <w:i/>
          <w:sz w:val="24"/>
          <w:szCs w:val="24"/>
        </w:rPr>
        <w:t>adhiary</w:t>
      </w:r>
      <w:r w:rsidRPr="00C910D4">
        <w:rPr>
          <w:rFonts w:ascii="Times New Roman" w:hAnsi="Times New Roman" w:cs="Times New Roman"/>
          <w:sz w:val="24"/>
          <w:szCs w:val="24"/>
        </w:rPr>
        <w:t xml:space="preserve"> vyhrocené. Propojovala je kmenová identita a často také příbuzenské vztahy. Roy Burman (2009) píše, že existovali případy, kdy statkářské rodiny neměli syna, a tak jejich místo nahrazovali přiženění adhiarové. V oblasti šlo o institucionalizovanou praxi.</w:t>
      </w:r>
    </w:p>
    <w:p w14:paraId="3F126DA4" w14:textId="77777777" w:rsidR="00C910D4"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Situace se zásadně proměnila pod koloniální nadvládou Britů. Britská administrativa zavedla svůj vlastní systém pro výběr příjmů z půdy. </w:t>
      </w:r>
      <w:r w:rsidRPr="00C910D4">
        <w:rPr>
          <w:rFonts w:ascii="Times New Roman" w:hAnsi="Times New Roman" w:cs="Times New Roman"/>
          <w:i/>
          <w:sz w:val="24"/>
          <w:szCs w:val="24"/>
        </w:rPr>
        <w:t>Džótedarům</w:t>
      </w:r>
      <w:r w:rsidRPr="00C910D4">
        <w:rPr>
          <w:rFonts w:ascii="Times New Roman" w:hAnsi="Times New Roman" w:cs="Times New Roman"/>
          <w:sz w:val="24"/>
          <w:szCs w:val="24"/>
        </w:rPr>
        <w:t xml:space="preserve"> svěřila plná vlastnická práva, čímž skončil jejich status správcovství (Mukherji: 1978). Nový, Brity zavedený, systém vlastnění pozemků sám o sobě ještě nevytvořil třídu zámožných velkostatkářů. Majetkové poměry se začaly výrazně měnit až s příchodem bengálských statkářů a dalších majetnějších Indů. Tito příslušníci vyšších kast plně využívali síly svého kapitálu. Od místních domorodců skupovali půdu za minimální ceny, nebo jim půjčovali peníze za přemrštěné úroky. Velmi skromný majetek a neschopnost splácet domorodce a jejich rodiny fakticky zotročily. Dokonce i do té doby tradiční menší statkáři přicházeli o svůj majetek a živili se jako pouzí zemědělští dělníci.  Podle Mehry (2000), začaly domorodci cítit demografický a ekonomický tlak od zbytku národa. Začaly být vytlačovány ze svého tradičního území. Jinými slovy, až s příchodem statkářů z okolních států začalo vykořisťování bezzemků. Mukherji (1978:79) to popisuje jako transformaci systému </w:t>
      </w:r>
      <w:r w:rsidRPr="00C910D4">
        <w:rPr>
          <w:rFonts w:ascii="Times New Roman" w:hAnsi="Times New Roman" w:cs="Times New Roman"/>
          <w:i/>
          <w:sz w:val="24"/>
          <w:szCs w:val="24"/>
        </w:rPr>
        <w:t>džóte</w:t>
      </w:r>
      <w:r w:rsidRPr="00C910D4">
        <w:rPr>
          <w:rFonts w:ascii="Times New Roman" w:hAnsi="Times New Roman" w:cs="Times New Roman"/>
          <w:sz w:val="24"/>
          <w:szCs w:val="24"/>
        </w:rPr>
        <w:t xml:space="preserve"> do systému </w:t>
      </w:r>
      <w:r w:rsidRPr="00C910D4">
        <w:rPr>
          <w:rFonts w:ascii="Times New Roman" w:hAnsi="Times New Roman" w:cs="Times New Roman"/>
          <w:i/>
          <w:sz w:val="24"/>
          <w:szCs w:val="24"/>
        </w:rPr>
        <w:t>džótedár-adhiary</w:t>
      </w:r>
      <w:r w:rsidRPr="00C910D4">
        <w:rPr>
          <w:rFonts w:ascii="Times New Roman" w:hAnsi="Times New Roman" w:cs="Times New Roman"/>
          <w:sz w:val="24"/>
          <w:szCs w:val="24"/>
        </w:rPr>
        <w:t xml:space="preserve">, který je charakteristický rostoucím rozporem mezi kapitálem a prací.   </w:t>
      </w:r>
    </w:p>
    <w:p w14:paraId="4104FC4D" w14:textId="77777777" w:rsidR="00C910D4"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V důsledku koloniálního systému vlastnictví půdy došlo k extrémnímu nárůstu nespravedlnosti v distribuci orné půdy, s přesahem i do éry postkoloniální. Z dat ze sčítání lidu v roce 1971 vyplývá, že ve vesnici Nakšalbárí vlastnila většinu pozemků pouze </w:t>
      </w:r>
      <w:r w:rsidRPr="00C910D4">
        <w:rPr>
          <w:rFonts w:ascii="Times New Roman" w:hAnsi="Times New Roman" w:cs="Times New Roman"/>
          <w:sz w:val="24"/>
          <w:szCs w:val="24"/>
        </w:rPr>
        <w:lastRenderedPageBreak/>
        <w:t>minimální část (4%) obyvatel. Naopak téměř 60% obyvatel bylo zcela bez vlastnictví půdy (Mehra 2000). Tito bezzemci, bez jakýchkoli práv vlastnit půdu, byli okolnostmi donuceni pracovat pro velkostatkáře. Situace v sousedních oblastech se příliš nelišila. Maoistické hnutí zde našlo pevnou základnu.</w:t>
      </w:r>
    </w:p>
    <w:p w14:paraId="1D04A3BF" w14:textId="77777777" w:rsidR="00725E62" w:rsidRDefault="00C910D4" w:rsidP="00725E62">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Chudoba je v Indii způsobena především špatným systémem přerozdělení zemědělské půdy. Zásadní změna socioekonomické situace chudých venkovských obyvatel je podmíněna přerozdělením zemědělské půdy ve prospěch chudých venkovských obyvatel.</w:t>
      </w:r>
    </w:p>
    <w:p w14:paraId="67268195" w14:textId="57896DB2" w:rsidR="00C910D4" w:rsidRPr="00725E62" w:rsidRDefault="00725E62" w:rsidP="00725E62">
      <w:pPr>
        <w:pStyle w:val="Heading1"/>
      </w:pPr>
      <w:bookmarkStart w:id="22" w:name="_Toc471296030"/>
      <w:r w:rsidRPr="00725E62">
        <w:t xml:space="preserve">3.5 </w:t>
      </w:r>
      <w:r w:rsidR="002E2007">
        <w:t>Etnické příčiny</w:t>
      </w:r>
      <w:bookmarkEnd w:id="22"/>
    </w:p>
    <w:p w14:paraId="745E1C17" w14:textId="12BACBBC" w:rsidR="00725E62" w:rsidRPr="00725E62" w:rsidRDefault="00C910D4" w:rsidP="00725E62">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V Indii existuje na 200 kmenů, které se liší kulturou i jazykem. Pro kmenové obyvatelstvo se v Indii  používá označení </w:t>
      </w:r>
      <w:r w:rsidRPr="00C910D4">
        <w:rPr>
          <w:rFonts w:ascii="Times New Roman" w:hAnsi="Times New Roman" w:cs="Times New Roman"/>
          <w:i/>
          <w:sz w:val="24"/>
          <w:szCs w:val="24"/>
        </w:rPr>
        <w:t xml:space="preserve">ádivásové. </w:t>
      </w:r>
      <w:r w:rsidRPr="00C910D4">
        <w:rPr>
          <w:rFonts w:ascii="Times New Roman" w:hAnsi="Times New Roman" w:cs="Times New Roman"/>
          <w:sz w:val="24"/>
          <w:szCs w:val="24"/>
        </w:rPr>
        <w:t>Tvoří zhruba</w:t>
      </w:r>
      <w:r w:rsidRPr="00C910D4">
        <w:rPr>
          <w:rFonts w:ascii="Times New Roman" w:hAnsi="Times New Roman" w:cs="Times New Roman"/>
          <w:i/>
          <w:sz w:val="24"/>
          <w:szCs w:val="24"/>
        </w:rPr>
        <w:t xml:space="preserve"> </w:t>
      </w:r>
      <w:r w:rsidRPr="00C910D4">
        <w:rPr>
          <w:rFonts w:ascii="Times New Roman" w:hAnsi="Times New Roman" w:cs="Times New Roman"/>
          <w:sz w:val="24"/>
          <w:szCs w:val="24"/>
        </w:rPr>
        <w:t>8% z celkové indické populace, tedy asi 84 milionů jedinců. Kmenové obyvatelstvo není zahrnuto do kastovního systému. Drtivá většina z nich (více než 95%) ovšem žije na venkově, jsou odkázáni na zemědělskou produkci a jsou nejčastějšími oběťmi vykořisťování (Faqs.org 2008).</w:t>
      </w:r>
    </w:p>
    <w:p w14:paraId="1423E617" w14:textId="2A9C37DA" w:rsidR="00725E62" w:rsidRPr="00C910D4" w:rsidRDefault="00725E62" w:rsidP="00C910D4">
      <w:pPr>
        <w:spacing w:line="360" w:lineRule="auto"/>
        <w:jc w:val="both"/>
        <w:rPr>
          <w:rFonts w:ascii="Times New Roman" w:hAnsi="Times New Roman" w:cs="Times New Roman"/>
          <w:sz w:val="24"/>
          <w:szCs w:val="24"/>
        </w:rPr>
      </w:pPr>
      <w:r>
        <w:rPr>
          <w:rFonts w:ascii="Times New Roman" w:hAnsi="Times New Roman" w:cs="Times New Roman"/>
          <w:sz w:val="24"/>
          <w:szCs w:val="24"/>
        </w:rPr>
        <w:t>V souvislosti s kmenovým obyvatelstvem je vhodné zmínit termín, tzv.</w:t>
      </w:r>
      <w:r>
        <w:rPr>
          <w:rFonts w:ascii="Times New Roman" w:hAnsi="Times New Roman" w:cs="Times New Roman"/>
          <w:b/>
          <w:sz w:val="24"/>
          <w:szCs w:val="24"/>
        </w:rPr>
        <w:t xml:space="preserve"> </w:t>
      </w:r>
      <w:r>
        <w:rPr>
          <w:rFonts w:ascii="Times New Roman" w:hAnsi="Times New Roman" w:cs="Times New Roman"/>
          <w:sz w:val="24"/>
          <w:szCs w:val="24"/>
        </w:rPr>
        <w:t xml:space="preserve">rudý koridor, což je  označení pro oblast s výraznou činností nakšalitů. Jde o pás území táhnoucího se </w:t>
      </w:r>
      <w:r w:rsidRPr="00EA50DA">
        <w:rPr>
          <w:rFonts w:ascii="Times New Roman" w:hAnsi="Times New Roman" w:cs="Times New Roman"/>
          <w:sz w:val="24"/>
          <w:szCs w:val="24"/>
        </w:rPr>
        <w:t>od hranic Biháru s Nepálem až po jih Ádhrapradéše.</w:t>
      </w:r>
      <w:r>
        <w:rPr>
          <w:rFonts w:ascii="Times New Roman" w:hAnsi="Times New Roman" w:cs="Times New Roman"/>
          <w:sz w:val="24"/>
          <w:szCs w:val="24"/>
        </w:rPr>
        <w:t xml:space="preserve"> Státy, na jejichž území rudý koridor zasahuje, jsou: </w:t>
      </w:r>
      <w:r w:rsidRPr="00EA50DA">
        <w:rPr>
          <w:rFonts w:ascii="Times New Roman" w:hAnsi="Times New Roman" w:cs="Times New Roman"/>
          <w:sz w:val="24"/>
          <w:szCs w:val="24"/>
        </w:rPr>
        <w:t>Ádhrapradéš</w:t>
      </w:r>
      <w:r>
        <w:rPr>
          <w:rFonts w:ascii="Times New Roman" w:hAnsi="Times New Roman" w:cs="Times New Roman"/>
          <w:sz w:val="24"/>
          <w:szCs w:val="24"/>
        </w:rPr>
        <w:t xml:space="preserve">, Bihár, </w:t>
      </w:r>
      <w:r w:rsidRPr="00C910D4">
        <w:rPr>
          <w:rFonts w:ascii="Times New Roman" w:hAnsi="Times New Roman" w:cs="Times New Roman"/>
          <w:sz w:val="24"/>
          <w:szCs w:val="24"/>
        </w:rPr>
        <w:t>Čhattísgarh</w:t>
      </w:r>
      <w:r>
        <w:rPr>
          <w:rFonts w:ascii="Times New Roman" w:hAnsi="Times New Roman" w:cs="Times New Roman"/>
          <w:sz w:val="24"/>
          <w:szCs w:val="24"/>
        </w:rPr>
        <w:t xml:space="preserve">, </w:t>
      </w:r>
      <w:r w:rsidRPr="00C910D4">
        <w:rPr>
          <w:rFonts w:ascii="Times New Roman" w:hAnsi="Times New Roman" w:cs="Times New Roman"/>
          <w:sz w:val="24"/>
          <w:szCs w:val="24"/>
        </w:rPr>
        <w:t>Džárkhand</w:t>
      </w:r>
      <w:r>
        <w:rPr>
          <w:rFonts w:ascii="Times New Roman" w:hAnsi="Times New Roman" w:cs="Times New Roman"/>
          <w:sz w:val="24"/>
          <w:szCs w:val="24"/>
        </w:rPr>
        <w:t xml:space="preserve">, </w:t>
      </w:r>
      <w:r w:rsidRPr="00C910D4">
        <w:rPr>
          <w:rFonts w:ascii="Times New Roman" w:hAnsi="Times New Roman" w:cs="Times New Roman"/>
          <w:sz w:val="24"/>
          <w:szCs w:val="24"/>
        </w:rPr>
        <w:t>Madhjapradéš</w:t>
      </w:r>
      <w:r>
        <w:rPr>
          <w:rFonts w:ascii="Times New Roman" w:hAnsi="Times New Roman" w:cs="Times New Roman"/>
          <w:sz w:val="24"/>
          <w:szCs w:val="24"/>
        </w:rPr>
        <w:t xml:space="preserve">, </w:t>
      </w:r>
      <w:r w:rsidRPr="00C910D4">
        <w:rPr>
          <w:rFonts w:ascii="Times New Roman" w:hAnsi="Times New Roman" w:cs="Times New Roman"/>
          <w:sz w:val="24"/>
          <w:szCs w:val="24"/>
        </w:rPr>
        <w:t>Maháráštra</w:t>
      </w:r>
      <w:r>
        <w:rPr>
          <w:rFonts w:ascii="Times New Roman" w:hAnsi="Times New Roman" w:cs="Times New Roman"/>
          <w:sz w:val="24"/>
          <w:szCs w:val="24"/>
        </w:rPr>
        <w:t xml:space="preserve">, Urísa, Telangána, </w:t>
      </w:r>
      <w:r w:rsidRPr="00C910D4">
        <w:rPr>
          <w:rFonts w:ascii="Times New Roman" w:hAnsi="Times New Roman" w:cs="Times New Roman"/>
          <w:sz w:val="24"/>
          <w:szCs w:val="24"/>
        </w:rPr>
        <w:t>Uttarpradéš</w:t>
      </w:r>
      <w:r>
        <w:rPr>
          <w:rFonts w:ascii="Times New Roman" w:hAnsi="Times New Roman" w:cs="Times New Roman"/>
          <w:sz w:val="24"/>
          <w:szCs w:val="24"/>
        </w:rPr>
        <w:t xml:space="preserve"> a Západní Bengálsko. Oblast rudého koridoru je charakteristická také výskytem chudého kmenového obyvatelstva. </w:t>
      </w:r>
    </w:p>
    <w:p w14:paraId="5DCB67F7" w14:textId="77777777" w:rsidR="00C910D4"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Je důležité si povšimnout, že hlavní vůdci nakšalitského hnutí Čáru Mazumdár, Kanu Sanjal a Džangal Santal se do oblasti Nakšalbárí přistěhovali. Čáru Mazumdár pocházel ze zámožné statkářské rodiny z Bengálska. Kanu Sanjal byl bengálský uprchlík z vysoké kasty a Džangal Santal byl rovněž přistěhovaný kmenový vůdce. Všichni byli odborovými předáky na jednotlivých čajových plantážích (Ray Burman 2009). Přední postavy hnutí nebyli přímo spojeni ani se zasaženou oblastí a svým původem byli vzdáleni dokonce i rolnictvu, v jehož jménu zamýšleli vést revoluci. Ray Burman (2009) dále upozorňuje, že do hnutí se zapojilo i několik dalších příslušníků bengálské střední třídy. Většina z nich byli uprchlíci z bývalého Východního Pákistánu (dnešní Bangladéš). </w:t>
      </w:r>
    </w:p>
    <w:p w14:paraId="60667DC3" w14:textId="181E8E04" w:rsidR="007951C1"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Podobně jako účastníci hnutí z vyšších a středních tříd, ani většina bezzemků, jejichž jménem vedlo hnutí svou nepřátelskou činnost vůči statkářům, nebyli původem z nakšalbárského </w:t>
      </w:r>
      <w:r w:rsidRPr="00C910D4">
        <w:rPr>
          <w:rFonts w:ascii="Times New Roman" w:hAnsi="Times New Roman" w:cs="Times New Roman"/>
          <w:sz w:val="24"/>
          <w:szCs w:val="24"/>
        </w:rPr>
        <w:lastRenderedPageBreak/>
        <w:t xml:space="preserve">regionu. Ze sčítání lidu, které se uskutečnilo v roce 1961, vyplynulo, že značnou část populace okresu Nakšalbárí tvořilo kmenové obyvatelstvo. Ve třech největších obcích Nakšalbárí, Kharibárí a Phansidevae bylo kmenové obyvatelstvo zastoupeno 57,7%, 72,2% a 64,5% (cit. dle Singh 2006). Většinově se jednalo o dělníky z čajových plantáží, což byli přistěhovalci z okolních států, zejména z kmenové oblasti Čotanagpur. Na čajových plantážích pracovali tito přistěhovalci sezóně a jen minimu z nich bylo umožněno pronajmout si půdu od velkostatkářů (Ray Burman 2009). </w:t>
      </w:r>
    </w:p>
    <w:p w14:paraId="0D8786CC" w14:textId="77777777" w:rsidR="00C910D4" w:rsidRP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 xml:space="preserve">Podle Mukherji (1987) se tito přistěhovalí pracovníci cítili diskriminovaní oproti bezzemkům s přístušností ke kmenu Rádžbongší. Ti se na základě kmenové vazby těšili úzkým sociálním vztahům s velkostatkáři. Kromě již zmíněného uzavírání sňatků se společně účastnili náboženských rituálů, nebo dohromady sdíleli vodní zdroje. Vyloučení přistěhovatelských kmenů dalo vzniknout kmenovému antagonismu vůči původním Rádžbongší, z nichž pocházela většina původních majitelů pozemků. </w:t>
      </w:r>
    </w:p>
    <w:p w14:paraId="234B04AC" w14:textId="38A0B05B" w:rsidR="00C910D4" w:rsidRDefault="00C910D4" w:rsidP="00C910D4">
      <w:pPr>
        <w:spacing w:line="360" w:lineRule="auto"/>
        <w:jc w:val="both"/>
        <w:rPr>
          <w:rFonts w:ascii="Times New Roman" w:hAnsi="Times New Roman" w:cs="Times New Roman"/>
          <w:sz w:val="24"/>
          <w:szCs w:val="24"/>
        </w:rPr>
      </w:pPr>
      <w:r w:rsidRPr="00C910D4">
        <w:rPr>
          <w:rFonts w:ascii="Times New Roman" w:hAnsi="Times New Roman" w:cs="Times New Roman"/>
          <w:sz w:val="24"/>
          <w:szCs w:val="24"/>
        </w:rPr>
        <w:t>Významná část kmenového obyvatelstva (přibližně 85%) se soustřeďuje v horských oblastech v centrální části Indie. Mezi státy s nejpočetnější skupinou kmenového obyvatelstva patří Madhjapra</w:t>
      </w:r>
      <w:r w:rsidR="00E04E6B">
        <w:rPr>
          <w:rFonts w:ascii="Times New Roman" w:hAnsi="Times New Roman" w:cs="Times New Roman"/>
          <w:sz w:val="24"/>
          <w:szCs w:val="24"/>
        </w:rPr>
        <w:t xml:space="preserve">déš, </w:t>
      </w:r>
      <w:r w:rsidRPr="00C910D4">
        <w:rPr>
          <w:rFonts w:ascii="Times New Roman" w:hAnsi="Times New Roman" w:cs="Times New Roman"/>
          <w:sz w:val="24"/>
          <w:szCs w:val="24"/>
        </w:rPr>
        <w:t xml:space="preserve">Čhattísgarh, Džárkhandu, Urísa, západní části Maháráštry, severní části Ándhrapradéše (Faqs.org 2008). Procentuálně však kmenové obyvatelstvo tvoří v těchto státech menšinu a až na výjimky (Čhattísgarh, Džárkhandu)  netvoří více jak čtvrtinu populace. </w:t>
      </w:r>
      <w:r w:rsidR="00442DE6">
        <w:rPr>
          <w:rFonts w:ascii="Times New Roman" w:hAnsi="Times New Roman" w:cs="Times New Roman"/>
          <w:sz w:val="24"/>
          <w:szCs w:val="24"/>
        </w:rPr>
        <w:t>Do těchto</w:t>
      </w:r>
      <w:r w:rsidR="007951C1">
        <w:rPr>
          <w:rFonts w:ascii="Times New Roman" w:hAnsi="Times New Roman" w:cs="Times New Roman"/>
          <w:sz w:val="24"/>
          <w:szCs w:val="24"/>
        </w:rPr>
        <w:t xml:space="preserve"> hustě zalesněných a kopcovitých</w:t>
      </w:r>
      <w:r w:rsidR="00442DE6">
        <w:rPr>
          <w:rFonts w:ascii="Times New Roman" w:hAnsi="Times New Roman" w:cs="Times New Roman"/>
          <w:sz w:val="24"/>
          <w:szCs w:val="24"/>
        </w:rPr>
        <w:t xml:space="preserve"> oblastí se z důvodu zvýšených státních represí </w:t>
      </w:r>
      <w:r w:rsidR="007951C1">
        <w:rPr>
          <w:rFonts w:ascii="Times New Roman" w:hAnsi="Times New Roman" w:cs="Times New Roman"/>
          <w:sz w:val="24"/>
          <w:szCs w:val="24"/>
        </w:rPr>
        <w:t xml:space="preserve">odebralo velké množství povstalců. Teritorium se stalo důležitým dějištěm vytrvalých povstaleckých aktivit, jelikož relativně neprostupný terén zabránil začlenění celé řady skupin do státních rozvojových projektů (Scott 2009). Chudé skupiny obyvatel bez kontinuálnějšího kontaktu se státním aparátem </w:t>
      </w:r>
      <w:r w:rsidR="00F55C47">
        <w:rPr>
          <w:rFonts w:ascii="Times New Roman" w:hAnsi="Times New Roman" w:cs="Times New Roman"/>
          <w:sz w:val="24"/>
          <w:szCs w:val="24"/>
        </w:rPr>
        <w:t>se staly předměty komunistických zájmů.</w:t>
      </w:r>
    </w:p>
    <w:p w14:paraId="5A15EF79" w14:textId="30259445" w:rsidR="00A626A1" w:rsidRDefault="00A626A1" w:rsidP="00C910D4">
      <w:pPr>
        <w:spacing w:line="360" w:lineRule="auto"/>
        <w:jc w:val="both"/>
        <w:rPr>
          <w:rFonts w:ascii="Times New Roman" w:hAnsi="Times New Roman" w:cs="Times New Roman"/>
          <w:sz w:val="24"/>
          <w:szCs w:val="24"/>
        </w:rPr>
      </w:pPr>
    </w:p>
    <w:p w14:paraId="101A6AFB" w14:textId="6568B22F" w:rsidR="00A626A1" w:rsidRDefault="00A626A1" w:rsidP="00C910D4">
      <w:pPr>
        <w:spacing w:line="360" w:lineRule="auto"/>
        <w:jc w:val="both"/>
        <w:rPr>
          <w:rFonts w:ascii="Times New Roman" w:hAnsi="Times New Roman" w:cs="Times New Roman"/>
          <w:sz w:val="24"/>
          <w:szCs w:val="24"/>
        </w:rPr>
      </w:pPr>
    </w:p>
    <w:p w14:paraId="7C88ADC8" w14:textId="73582921" w:rsidR="002E2007" w:rsidRDefault="002E2007" w:rsidP="00C910D4">
      <w:pPr>
        <w:spacing w:line="360" w:lineRule="auto"/>
        <w:jc w:val="both"/>
        <w:rPr>
          <w:rFonts w:ascii="Times New Roman" w:hAnsi="Times New Roman" w:cs="Times New Roman"/>
          <w:sz w:val="24"/>
          <w:szCs w:val="24"/>
        </w:rPr>
      </w:pPr>
    </w:p>
    <w:p w14:paraId="182EDC70" w14:textId="22A7E86C" w:rsidR="002E2007" w:rsidRDefault="002E2007" w:rsidP="00C910D4">
      <w:pPr>
        <w:spacing w:line="360" w:lineRule="auto"/>
        <w:jc w:val="both"/>
        <w:rPr>
          <w:rFonts w:ascii="Times New Roman" w:hAnsi="Times New Roman" w:cs="Times New Roman"/>
          <w:sz w:val="24"/>
          <w:szCs w:val="24"/>
        </w:rPr>
      </w:pPr>
    </w:p>
    <w:p w14:paraId="06BAC56D" w14:textId="16E8193A" w:rsidR="002E2007" w:rsidRDefault="002E2007" w:rsidP="00C910D4">
      <w:pPr>
        <w:spacing w:line="360" w:lineRule="auto"/>
        <w:jc w:val="both"/>
        <w:rPr>
          <w:rFonts w:ascii="Times New Roman" w:hAnsi="Times New Roman" w:cs="Times New Roman"/>
          <w:sz w:val="24"/>
          <w:szCs w:val="24"/>
        </w:rPr>
      </w:pPr>
    </w:p>
    <w:p w14:paraId="19F8D783" w14:textId="4493744D" w:rsidR="00A626A1" w:rsidRDefault="002E2007" w:rsidP="00725E62">
      <w:pPr>
        <w:pStyle w:val="Heading1"/>
      </w:pPr>
      <w:bookmarkStart w:id="23" w:name="_Toc471296031"/>
      <w:r>
        <w:lastRenderedPageBreak/>
        <w:t xml:space="preserve">4. </w:t>
      </w:r>
      <w:r w:rsidR="00725E62">
        <w:t>Závěr</w:t>
      </w:r>
      <w:bookmarkEnd w:id="23"/>
    </w:p>
    <w:p w14:paraId="42E228A2" w14:textId="77777777" w:rsidR="002E2007" w:rsidRPr="0081723C" w:rsidRDefault="002E2007" w:rsidP="002E2007">
      <w:pPr>
        <w:spacing w:line="360" w:lineRule="auto"/>
        <w:jc w:val="both"/>
        <w:rPr>
          <w:rFonts w:ascii="Times New Roman" w:hAnsi="Times New Roman" w:cs="Times New Roman"/>
          <w:sz w:val="24"/>
          <w:szCs w:val="24"/>
        </w:rPr>
      </w:pPr>
      <w:r w:rsidRPr="0081723C">
        <w:rPr>
          <w:rFonts w:ascii="Times New Roman" w:hAnsi="Times New Roman" w:cs="Times New Roman"/>
          <w:sz w:val="24"/>
          <w:szCs w:val="24"/>
        </w:rPr>
        <w:t>Hluboké socio-ekonomické rozdíly v Západním Bengálsku a dalších chudých státech Indie se staly živnou půdou pro indické maoistické hnutí nakšalitů.  Na tamní zemědělskou společnost dopadly změny, které sebou přinesla britská koloniální nadvláda. Zavedení kapitalistického zemědělství vážně narušilo tradiční systém vlastnění půdy, který v  oblastech s kmenovou populací fungoval. Nicméně, tyto změny samy o sobě neznamenaly zásadní problém pro vztahy mezi místními statkáři a rolníky, které propojovala kmenová příslušnost.</w:t>
      </w:r>
      <w:r w:rsidRPr="0081723C">
        <w:rPr>
          <w:rFonts w:ascii="Times New Roman" w:hAnsi="Times New Roman" w:cs="Times New Roman"/>
          <w:b/>
          <w:sz w:val="24"/>
          <w:szCs w:val="24"/>
        </w:rPr>
        <w:t xml:space="preserve"> </w:t>
      </w:r>
      <w:r w:rsidRPr="0081723C">
        <w:rPr>
          <w:rFonts w:ascii="Times New Roman" w:hAnsi="Times New Roman" w:cs="Times New Roman"/>
          <w:sz w:val="24"/>
          <w:szCs w:val="24"/>
        </w:rPr>
        <w:t xml:space="preserve">Rádžbongšiové k sobě měli blízko svou rodovou linií, uzavírali mezi sebou sňatky a účastnili se náboženských obřadů. Kmenová identita mírnila frustraci plynoucí ze socioekonomických rozdílů. Situace se značně zkomplikovala s příchodem majetnějších a vzdělanějších Indů, kteří v souladu s tržním zemědělstvím zkupovali půdu. Výsledkem byla degradace rolníků, kteří přicházeli o živobytí, nebo pracovali jako zemědělští dělníci. Kvůli vysoké chudobě se z nich prakticky stali otroci. Dysbalance ve vlastnění pozemků byla obrovská. V okrese Nakšalbárí bylo začátkem 70. let až 60% obyvatel, kteří nevlastnili vůbec žádnou půdu. Hluboké socioekonomické rozdíly v kombinaci s pocitem diskriminace od většinové populace byli hlavní motivací chudých bezzemků pro účast v nakšalitském hnutí. </w:t>
      </w:r>
    </w:p>
    <w:p w14:paraId="36FDA3C9" w14:textId="61AD1636" w:rsidR="00A626A1" w:rsidRDefault="002E2007" w:rsidP="00C910D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12AF4A2A" w14:textId="18F4897A" w:rsidR="00297301" w:rsidRDefault="00297301" w:rsidP="00C910D4">
      <w:pPr>
        <w:spacing w:line="360" w:lineRule="auto"/>
        <w:jc w:val="both"/>
        <w:rPr>
          <w:rFonts w:ascii="Times New Roman" w:hAnsi="Times New Roman" w:cs="Times New Roman"/>
          <w:sz w:val="24"/>
          <w:szCs w:val="24"/>
        </w:rPr>
      </w:pPr>
    </w:p>
    <w:p w14:paraId="784AC48A" w14:textId="5FF68144" w:rsidR="002E2007" w:rsidRDefault="002E2007" w:rsidP="00C910D4">
      <w:pPr>
        <w:spacing w:line="360" w:lineRule="auto"/>
        <w:jc w:val="both"/>
        <w:rPr>
          <w:rFonts w:ascii="Times New Roman" w:hAnsi="Times New Roman" w:cs="Times New Roman"/>
          <w:sz w:val="24"/>
          <w:szCs w:val="24"/>
        </w:rPr>
      </w:pPr>
    </w:p>
    <w:p w14:paraId="0EC9E5E6" w14:textId="0BA03385" w:rsidR="002E2007" w:rsidRDefault="002E2007" w:rsidP="00C910D4">
      <w:pPr>
        <w:spacing w:line="360" w:lineRule="auto"/>
        <w:jc w:val="both"/>
        <w:rPr>
          <w:rFonts w:ascii="Times New Roman" w:hAnsi="Times New Roman" w:cs="Times New Roman"/>
          <w:sz w:val="24"/>
          <w:szCs w:val="24"/>
        </w:rPr>
      </w:pPr>
    </w:p>
    <w:p w14:paraId="1BE53DB3" w14:textId="38D7EBAE" w:rsidR="002E2007" w:rsidRDefault="002E2007" w:rsidP="00C910D4">
      <w:pPr>
        <w:spacing w:line="360" w:lineRule="auto"/>
        <w:jc w:val="both"/>
        <w:rPr>
          <w:rFonts w:ascii="Times New Roman" w:hAnsi="Times New Roman" w:cs="Times New Roman"/>
          <w:sz w:val="24"/>
          <w:szCs w:val="24"/>
        </w:rPr>
      </w:pPr>
    </w:p>
    <w:p w14:paraId="4E7941A2" w14:textId="45D0950B" w:rsidR="002E2007" w:rsidRDefault="002E2007" w:rsidP="00C910D4">
      <w:pPr>
        <w:spacing w:line="360" w:lineRule="auto"/>
        <w:jc w:val="both"/>
        <w:rPr>
          <w:rFonts w:ascii="Times New Roman" w:hAnsi="Times New Roman" w:cs="Times New Roman"/>
          <w:sz w:val="24"/>
          <w:szCs w:val="24"/>
        </w:rPr>
      </w:pPr>
    </w:p>
    <w:p w14:paraId="6DF2B00B" w14:textId="5722BE99" w:rsidR="002E2007" w:rsidRDefault="002E2007" w:rsidP="00C910D4">
      <w:pPr>
        <w:spacing w:line="360" w:lineRule="auto"/>
        <w:jc w:val="both"/>
        <w:rPr>
          <w:rFonts w:ascii="Times New Roman" w:hAnsi="Times New Roman" w:cs="Times New Roman"/>
          <w:sz w:val="24"/>
          <w:szCs w:val="24"/>
        </w:rPr>
      </w:pPr>
    </w:p>
    <w:p w14:paraId="6AF6DECD" w14:textId="5160B4B0" w:rsidR="002E2007" w:rsidRDefault="002E2007" w:rsidP="00C910D4">
      <w:pPr>
        <w:spacing w:line="360" w:lineRule="auto"/>
        <w:jc w:val="both"/>
        <w:rPr>
          <w:rFonts w:ascii="Times New Roman" w:hAnsi="Times New Roman" w:cs="Times New Roman"/>
          <w:sz w:val="24"/>
          <w:szCs w:val="24"/>
        </w:rPr>
      </w:pPr>
    </w:p>
    <w:p w14:paraId="0600AA5E" w14:textId="74C58E14" w:rsidR="002E2007" w:rsidRDefault="002E2007" w:rsidP="00C910D4">
      <w:pPr>
        <w:spacing w:line="360" w:lineRule="auto"/>
        <w:jc w:val="both"/>
        <w:rPr>
          <w:rFonts w:ascii="Times New Roman" w:hAnsi="Times New Roman" w:cs="Times New Roman"/>
          <w:sz w:val="24"/>
          <w:szCs w:val="24"/>
        </w:rPr>
      </w:pPr>
    </w:p>
    <w:p w14:paraId="59E89265" w14:textId="3AA97028" w:rsidR="002E2007" w:rsidRDefault="002E2007" w:rsidP="00C910D4">
      <w:pPr>
        <w:spacing w:line="360" w:lineRule="auto"/>
        <w:jc w:val="both"/>
        <w:rPr>
          <w:rFonts w:ascii="Times New Roman" w:hAnsi="Times New Roman" w:cs="Times New Roman"/>
          <w:sz w:val="24"/>
          <w:szCs w:val="24"/>
        </w:rPr>
      </w:pPr>
    </w:p>
    <w:p w14:paraId="1140792A" w14:textId="77777777" w:rsidR="002E2007" w:rsidRPr="00C910D4" w:rsidRDefault="002E2007" w:rsidP="00C910D4">
      <w:pPr>
        <w:spacing w:line="360" w:lineRule="auto"/>
        <w:jc w:val="both"/>
        <w:rPr>
          <w:rFonts w:ascii="Times New Roman" w:hAnsi="Times New Roman" w:cs="Times New Roman"/>
          <w:sz w:val="24"/>
          <w:szCs w:val="24"/>
        </w:rPr>
      </w:pPr>
    </w:p>
    <w:p w14:paraId="7AB6ECAB" w14:textId="77777777" w:rsidR="00297301" w:rsidRPr="001D5C95" w:rsidRDefault="00297301" w:rsidP="00297301">
      <w:pPr>
        <w:pStyle w:val="Heading1"/>
      </w:pPr>
      <w:bookmarkStart w:id="24" w:name="_Toc471296032"/>
      <w:r w:rsidRPr="001D5C95">
        <w:lastRenderedPageBreak/>
        <w:t>Seznam použité literatury:</w:t>
      </w:r>
      <w:bookmarkEnd w:id="24"/>
      <w:r w:rsidRPr="001D5C95">
        <w:t xml:space="preserve"> </w:t>
      </w:r>
    </w:p>
    <w:p w14:paraId="56A2598D" w14:textId="77777777" w:rsidR="00297301" w:rsidRDefault="00297301" w:rsidP="00297301">
      <w:pPr>
        <w:spacing w:after="142" w:line="276" w:lineRule="auto"/>
        <w:contextualSpacing/>
        <w:jc w:val="both"/>
        <w:rPr>
          <w:rFonts w:ascii="Times New Roman" w:hAnsi="Times New Roman" w:cs="Times New Roman"/>
        </w:rPr>
      </w:pPr>
    </w:p>
    <w:p w14:paraId="2D5252C3" w14:textId="77777777" w:rsidR="00297301" w:rsidRPr="006B6133" w:rsidRDefault="00297301" w:rsidP="00297301">
      <w:pPr>
        <w:spacing w:after="142" w:line="276" w:lineRule="auto"/>
        <w:contextualSpacing/>
        <w:jc w:val="both"/>
        <w:rPr>
          <w:rFonts w:ascii="Times New Roman" w:hAnsi="Times New Roman" w:cs="Times New Roman"/>
        </w:rPr>
      </w:pPr>
    </w:p>
    <w:p w14:paraId="4A3DC2D4" w14:textId="77777777" w:rsidR="00297301" w:rsidRPr="00297301" w:rsidRDefault="00297301" w:rsidP="00297301">
      <w:pPr>
        <w:spacing w:line="360" w:lineRule="auto"/>
        <w:ind w:left="426" w:hanging="426"/>
        <w:jc w:val="both"/>
        <w:rPr>
          <w:rFonts w:ascii="Times New Roman" w:hAnsi="Times New Roman" w:cs="Times New Roman"/>
          <w:sz w:val="24"/>
          <w:szCs w:val="24"/>
        </w:rPr>
      </w:pPr>
      <w:r w:rsidRPr="00297301">
        <w:rPr>
          <w:rFonts w:ascii="Times New Roman" w:hAnsi="Times New Roman" w:cs="Times New Roman"/>
          <w:sz w:val="24"/>
          <w:szCs w:val="24"/>
        </w:rPr>
        <w:t xml:space="preserve">Avineri, S. (1969): </w:t>
      </w:r>
      <w:r w:rsidRPr="00297301">
        <w:rPr>
          <w:rFonts w:ascii="Times New Roman" w:hAnsi="Times New Roman" w:cs="Times New Roman"/>
          <w:i/>
          <w:sz w:val="24"/>
          <w:szCs w:val="24"/>
        </w:rPr>
        <w:t>Karl Marx on Colonialism and Modernization</w:t>
      </w:r>
      <w:r w:rsidRPr="00297301">
        <w:rPr>
          <w:rFonts w:ascii="Times New Roman" w:hAnsi="Times New Roman" w:cs="Times New Roman"/>
          <w:sz w:val="24"/>
          <w:szCs w:val="24"/>
        </w:rPr>
        <w:t>. New York: Doubleday.</w:t>
      </w:r>
    </w:p>
    <w:p w14:paraId="3E681D80" w14:textId="77777777" w:rsidR="00297301" w:rsidRPr="00297301" w:rsidRDefault="00297301" w:rsidP="00297301">
      <w:pPr>
        <w:spacing w:line="360" w:lineRule="auto"/>
        <w:jc w:val="both"/>
        <w:rPr>
          <w:rFonts w:ascii="Times New Roman" w:hAnsi="Times New Roman" w:cs="Times New Roman"/>
          <w:sz w:val="24"/>
          <w:szCs w:val="24"/>
        </w:rPr>
      </w:pPr>
      <w:r w:rsidRPr="00297301">
        <w:rPr>
          <w:rFonts w:ascii="Times New Roman" w:hAnsi="Times New Roman" w:cs="Times New Roman"/>
          <w:sz w:val="24"/>
          <w:szCs w:val="24"/>
        </w:rPr>
        <w:t xml:space="preserve">Bagai, J. C. (1953): </w:t>
      </w:r>
      <w:r w:rsidRPr="00297301">
        <w:rPr>
          <w:rFonts w:ascii="Times New Roman" w:hAnsi="Times New Roman" w:cs="Times New Roman"/>
          <w:i/>
          <w:sz w:val="24"/>
          <w:szCs w:val="24"/>
        </w:rPr>
        <w:t>Peasant Rebellion in Bengal</w:t>
      </w:r>
      <w:r w:rsidRPr="00297301">
        <w:rPr>
          <w:rFonts w:ascii="Times New Roman" w:hAnsi="Times New Roman" w:cs="Times New Roman"/>
          <w:sz w:val="24"/>
          <w:szCs w:val="24"/>
        </w:rPr>
        <w:t>. Calcutta</w:t>
      </w:r>
    </w:p>
    <w:p w14:paraId="3B409336" w14:textId="77777777" w:rsidR="00297301" w:rsidRPr="00297301" w:rsidRDefault="00297301" w:rsidP="00297301">
      <w:pPr>
        <w:spacing w:line="360" w:lineRule="auto"/>
        <w:ind w:left="426" w:hanging="426"/>
        <w:jc w:val="both"/>
        <w:rPr>
          <w:rFonts w:ascii="Times New Roman" w:hAnsi="Times New Roman" w:cs="Times New Roman"/>
          <w:sz w:val="24"/>
          <w:szCs w:val="24"/>
        </w:rPr>
      </w:pPr>
      <w:r w:rsidRPr="00297301">
        <w:rPr>
          <w:rFonts w:ascii="Times New Roman" w:hAnsi="Times New Roman" w:cs="Times New Roman"/>
          <w:sz w:val="24"/>
          <w:szCs w:val="24"/>
        </w:rPr>
        <w:t>Banerjee, S. (1980</w:t>
      </w:r>
      <w:r w:rsidRPr="00297301">
        <w:rPr>
          <w:rFonts w:ascii="Times New Roman" w:hAnsi="Times New Roman" w:cs="Times New Roman"/>
          <w:i/>
          <w:sz w:val="24"/>
          <w:szCs w:val="24"/>
        </w:rPr>
        <w:t>): In the Wake of Naxalbari: A History of the Naxalite Movement in India</w:t>
      </w:r>
      <w:r w:rsidRPr="00297301">
        <w:rPr>
          <w:rFonts w:ascii="Times New Roman" w:hAnsi="Times New Roman" w:cs="Times New Roman"/>
          <w:sz w:val="24"/>
          <w:szCs w:val="24"/>
        </w:rPr>
        <w:t>. Calcutta: Subarnarekha.</w:t>
      </w:r>
    </w:p>
    <w:p w14:paraId="375C650C" w14:textId="77777777" w:rsidR="00297301" w:rsidRPr="00297301" w:rsidRDefault="00297301" w:rsidP="00297301">
      <w:pPr>
        <w:spacing w:line="360" w:lineRule="auto"/>
        <w:ind w:left="426" w:hanging="426"/>
        <w:contextualSpacing/>
        <w:rPr>
          <w:rFonts w:ascii="Times New Roman" w:hAnsi="Times New Roman" w:cs="Times New Roman"/>
          <w:sz w:val="24"/>
          <w:szCs w:val="24"/>
        </w:rPr>
      </w:pPr>
      <w:r w:rsidRPr="00297301">
        <w:rPr>
          <w:rFonts w:ascii="Times New Roman" w:hAnsi="Times New Roman" w:cs="Times New Roman"/>
          <w:sz w:val="24"/>
          <w:szCs w:val="24"/>
        </w:rPr>
        <w:t xml:space="preserve">Banerjee, S. (2008): </w:t>
      </w:r>
      <w:r w:rsidRPr="00297301">
        <w:rPr>
          <w:rFonts w:ascii="Times New Roman" w:hAnsi="Times New Roman" w:cs="Times New Roman"/>
          <w:i/>
          <w:sz w:val="24"/>
          <w:szCs w:val="24"/>
        </w:rPr>
        <w:t>India’s Simmering Revolution: The Naxalite Uprising.</w:t>
      </w:r>
      <w:r w:rsidRPr="00297301">
        <w:rPr>
          <w:rFonts w:ascii="Times New Roman" w:hAnsi="Times New Roman" w:cs="Times New Roman"/>
          <w:sz w:val="24"/>
          <w:szCs w:val="24"/>
        </w:rPr>
        <w:t xml:space="preserve"> New Delhi: Zed Books. </w:t>
      </w:r>
    </w:p>
    <w:p w14:paraId="6E9D3C72" w14:textId="77777777" w:rsidR="00297301" w:rsidRPr="00297301" w:rsidRDefault="00297301" w:rsidP="00297301">
      <w:pPr>
        <w:spacing w:line="360" w:lineRule="auto"/>
        <w:ind w:left="426" w:hanging="426"/>
        <w:jc w:val="both"/>
        <w:rPr>
          <w:rFonts w:ascii="Times New Roman" w:hAnsi="Times New Roman" w:cs="Times New Roman"/>
          <w:sz w:val="24"/>
          <w:szCs w:val="24"/>
        </w:rPr>
      </w:pPr>
      <w:r w:rsidRPr="00297301">
        <w:rPr>
          <w:rFonts w:ascii="Times New Roman" w:hAnsi="Times New Roman" w:cs="Times New Roman"/>
          <w:sz w:val="24"/>
          <w:szCs w:val="24"/>
        </w:rPr>
        <w:t xml:space="preserve">Calman, L. J. (1985): </w:t>
      </w:r>
      <w:r w:rsidRPr="00297301">
        <w:rPr>
          <w:rFonts w:ascii="Times New Roman" w:hAnsi="Times New Roman" w:cs="Times New Roman"/>
          <w:i/>
          <w:sz w:val="24"/>
          <w:szCs w:val="24"/>
        </w:rPr>
        <w:t>Protest in Democratic India: Authority’s Response to Challenge.</w:t>
      </w:r>
      <w:r w:rsidRPr="00297301">
        <w:rPr>
          <w:rFonts w:ascii="Times New Roman" w:hAnsi="Times New Roman" w:cs="Times New Roman"/>
          <w:sz w:val="24"/>
          <w:szCs w:val="24"/>
        </w:rPr>
        <w:t xml:space="preserve"> Colorado: Westview Press</w:t>
      </w:r>
    </w:p>
    <w:p w14:paraId="2124DF5F" w14:textId="77777777" w:rsidR="00297301" w:rsidRPr="00297301" w:rsidRDefault="00297301" w:rsidP="00297301">
      <w:pPr>
        <w:spacing w:line="360" w:lineRule="auto"/>
        <w:ind w:left="426" w:hanging="426"/>
        <w:jc w:val="both"/>
        <w:rPr>
          <w:rFonts w:ascii="Times New Roman" w:hAnsi="Times New Roman" w:cs="Times New Roman"/>
          <w:sz w:val="24"/>
          <w:szCs w:val="24"/>
        </w:rPr>
      </w:pPr>
      <w:r w:rsidRPr="00297301">
        <w:rPr>
          <w:rFonts w:ascii="Times New Roman" w:hAnsi="Times New Roman" w:cs="Times New Roman"/>
          <w:sz w:val="24"/>
          <w:szCs w:val="24"/>
        </w:rPr>
        <w:t xml:space="preserve">Central Intelligence Agency (2010): </w:t>
      </w:r>
      <w:r w:rsidRPr="00297301">
        <w:rPr>
          <w:rFonts w:ascii="Times New Roman" w:hAnsi="Times New Roman" w:cs="Times New Roman"/>
          <w:i/>
          <w:sz w:val="24"/>
          <w:szCs w:val="24"/>
        </w:rPr>
        <w:t>The World Factbook</w:t>
      </w:r>
      <w:r w:rsidRPr="00297301">
        <w:rPr>
          <w:rFonts w:ascii="Times New Roman" w:hAnsi="Times New Roman" w:cs="Times New Roman"/>
          <w:sz w:val="24"/>
          <w:szCs w:val="24"/>
        </w:rPr>
        <w:t xml:space="preserve">. [on-line]. (Dostupné z: </w:t>
      </w:r>
      <w:hyperlink r:id="rId10" w:history="1">
        <w:r w:rsidRPr="00297301">
          <w:rPr>
            <w:rStyle w:val="Hyperlink"/>
            <w:rFonts w:ascii="Times New Roman" w:hAnsi="Times New Roman" w:cs="Times New Roman"/>
            <w:sz w:val="24"/>
            <w:szCs w:val="24"/>
          </w:rPr>
          <w:t>https://www.cia.gov/library/publications/the-world-factbook/fields/2129.html</w:t>
        </w:r>
      </w:hyperlink>
      <w:r w:rsidRPr="00297301">
        <w:rPr>
          <w:rFonts w:ascii="Times New Roman" w:hAnsi="Times New Roman" w:cs="Times New Roman"/>
          <w:sz w:val="24"/>
          <w:szCs w:val="24"/>
        </w:rPr>
        <w:t xml:space="preserve"> ) Ověřeno k 24.11.2016</w:t>
      </w:r>
    </w:p>
    <w:p w14:paraId="1E9A0007" w14:textId="77777777" w:rsidR="00297301" w:rsidRPr="00297301" w:rsidRDefault="00297301" w:rsidP="00297301">
      <w:pPr>
        <w:widowControl w:val="0"/>
        <w:autoSpaceDE w:val="0"/>
        <w:autoSpaceDN w:val="0"/>
        <w:adjustRightInd w:val="0"/>
        <w:spacing w:after="80" w:line="360" w:lineRule="auto"/>
        <w:ind w:left="426" w:right="-432" w:hanging="426"/>
        <w:contextualSpacing/>
        <w:rPr>
          <w:rFonts w:ascii="Times New Roman" w:hAnsi="Times New Roman" w:cs="Times New Roman"/>
          <w:sz w:val="24"/>
          <w:szCs w:val="24"/>
        </w:rPr>
      </w:pPr>
      <w:r w:rsidRPr="00297301">
        <w:rPr>
          <w:rFonts w:ascii="Times New Roman" w:hAnsi="Times New Roman" w:cs="Times New Roman"/>
          <w:sz w:val="24"/>
          <w:szCs w:val="24"/>
        </w:rPr>
        <w:t xml:space="preserve">Chakrabarty, B. – Kujur, R. K. (2010): </w:t>
      </w:r>
      <w:r w:rsidRPr="00297301">
        <w:rPr>
          <w:rFonts w:ascii="Times New Roman" w:hAnsi="Times New Roman" w:cs="Times New Roman"/>
          <w:i/>
          <w:iCs/>
          <w:sz w:val="24"/>
          <w:szCs w:val="24"/>
        </w:rPr>
        <w:t>Maoism in India: Reincarnation of Ultra-Left Wing Extremism in the Twenty-First Century</w:t>
      </w:r>
      <w:r w:rsidRPr="00297301">
        <w:rPr>
          <w:rFonts w:ascii="Times New Roman" w:hAnsi="Times New Roman" w:cs="Times New Roman"/>
          <w:sz w:val="24"/>
          <w:szCs w:val="24"/>
        </w:rPr>
        <w:t>, London; New York, Routledge.</w:t>
      </w:r>
    </w:p>
    <w:p w14:paraId="14FFCF15" w14:textId="77777777" w:rsidR="00297301" w:rsidRPr="00297301" w:rsidRDefault="00297301" w:rsidP="00297301">
      <w:pPr>
        <w:spacing w:line="360" w:lineRule="auto"/>
        <w:ind w:left="426" w:hanging="426"/>
        <w:jc w:val="both"/>
        <w:rPr>
          <w:rFonts w:ascii="Times New Roman" w:hAnsi="Times New Roman" w:cs="Times New Roman"/>
          <w:sz w:val="24"/>
          <w:szCs w:val="24"/>
        </w:rPr>
      </w:pPr>
      <w:r w:rsidRPr="00297301">
        <w:rPr>
          <w:rFonts w:ascii="Times New Roman" w:hAnsi="Times New Roman" w:cs="Times New Roman"/>
          <w:sz w:val="24"/>
          <w:szCs w:val="24"/>
        </w:rPr>
        <w:t xml:space="preserve">Faqs.org (2008): World Directory of Minorities. </w:t>
      </w:r>
      <w:r w:rsidRPr="00297301">
        <w:rPr>
          <w:rFonts w:ascii="Times New Roman" w:hAnsi="Times New Roman" w:cs="Times New Roman"/>
          <w:i/>
          <w:sz w:val="24"/>
          <w:szCs w:val="24"/>
        </w:rPr>
        <w:t>Adivasis of India</w:t>
      </w:r>
      <w:r w:rsidRPr="00297301">
        <w:rPr>
          <w:rFonts w:ascii="Times New Roman" w:hAnsi="Times New Roman" w:cs="Times New Roman"/>
          <w:sz w:val="24"/>
          <w:szCs w:val="24"/>
        </w:rPr>
        <w:t xml:space="preserve"> [on-line]. (Dostupné z: </w:t>
      </w:r>
      <w:hyperlink r:id="rId11" w:history="1">
        <w:r w:rsidRPr="00297301">
          <w:rPr>
            <w:rStyle w:val="Hyperlink"/>
            <w:rFonts w:ascii="Times New Roman" w:hAnsi="Times New Roman" w:cs="Times New Roman"/>
            <w:sz w:val="24"/>
            <w:szCs w:val="24"/>
          </w:rPr>
          <w:t>http://www.faqs.org/minorities/South-Asia/Adivasis-of-India.html</w:t>
        </w:r>
      </w:hyperlink>
      <w:r w:rsidRPr="00297301">
        <w:rPr>
          <w:rFonts w:ascii="Times New Roman" w:hAnsi="Times New Roman" w:cs="Times New Roman"/>
          <w:sz w:val="24"/>
          <w:szCs w:val="24"/>
        </w:rPr>
        <w:t xml:space="preserve"> ) Ověřeno k 24.11.2016</w:t>
      </w:r>
    </w:p>
    <w:p w14:paraId="34B8177F" w14:textId="77777777" w:rsidR="00297301" w:rsidRPr="00297301" w:rsidRDefault="00297301" w:rsidP="00297301">
      <w:pPr>
        <w:spacing w:line="360" w:lineRule="auto"/>
        <w:jc w:val="both"/>
        <w:rPr>
          <w:rFonts w:ascii="Times New Roman" w:hAnsi="Times New Roman" w:cs="Times New Roman"/>
          <w:sz w:val="24"/>
          <w:szCs w:val="24"/>
        </w:rPr>
      </w:pPr>
      <w:r w:rsidRPr="00297301">
        <w:rPr>
          <w:rFonts w:ascii="Times New Roman" w:hAnsi="Times New Roman" w:cs="Times New Roman"/>
          <w:sz w:val="24"/>
          <w:szCs w:val="24"/>
        </w:rPr>
        <w:t xml:space="preserve">Fernbach, D. (1974): </w:t>
      </w:r>
      <w:r w:rsidRPr="00297301">
        <w:rPr>
          <w:rFonts w:ascii="Times New Roman" w:hAnsi="Times New Roman" w:cs="Times New Roman"/>
          <w:i/>
          <w:sz w:val="24"/>
          <w:szCs w:val="24"/>
        </w:rPr>
        <w:t>Karl Marx: The Revolution of 1848</w:t>
      </w:r>
      <w:r w:rsidRPr="00297301">
        <w:rPr>
          <w:rFonts w:ascii="Times New Roman" w:hAnsi="Times New Roman" w:cs="Times New Roman"/>
          <w:sz w:val="24"/>
          <w:szCs w:val="24"/>
        </w:rPr>
        <w:t>. New York: Vantage Book.</w:t>
      </w:r>
    </w:p>
    <w:p w14:paraId="156A25D3" w14:textId="77777777" w:rsidR="00297301" w:rsidRPr="00297301" w:rsidRDefault="00297301" w:rsidP="00297301">
      <w:pPr>
        <w:spacing w:line="360" w:lineRule="auto"/>
        <w:ind w:left="426" w:hanging="426"/>
        <w:jc w:val="both"/>
        <w:rPr>
          <w:rFonts w:ascii="Times New Roman" w:hAnsi="Times New Roman" w:cs="Times New Roman"/>
          <w:sz w:val="24"/>
          <w:szCs w:val="24"/>
        </w:rPr>
      </w:pPr>
      <w:r w:rsidRPr="00297301">
        <w:rPr>
          <w:rFonts w:ascii="Times New Roman" w:hAnsi="Times New Roman" w:cs="Times New Roman"/>
          <w:sz w:val="24"/>
          <w:szCs w:val="24"/>
        </w:rPr>
        <w:t xml:space="preserve">French, P. (1997): </w:t>
      </w:r>
      <w:r w:rsidRPr="00297301">
        <w:rPr>
          <w:rFonts w:ascii="Times New Roman" w:hAnsi="Times New Roman" w:cs="Times New Roman"/>
          <w:i/>
          <w:sz w:val="24"/>
          <w:szCs w:val="24"/>
        </w:rPr>
        <w:t>Liberty or Death: India’s Journey to Independence and Division</w:t>
      </w:r>
      <w:r w:rsidRPr="00297301">
        <w:rPr>
          <w:rFonts w:ascii="Times New Roman" w:hAnsi="Times New Roman" w:cs="Times New Roman"/>
          <w:sz w:val="24"/>
          <w:szCs w:val="24"/>
        </w:rPr>
        <w:t>. New York: Harper Collins.</w:t>
      </w:r>
    </w:p>
    <w:p w14:paraId="2439DC75" w14:textId="77777777" w:rsidR="00297301" w:rsidRPr="00297301" w:rsidRDefault="00297301" w:rsidP="00297301">
      <w:pPr>
        <w:widowControl w:val="0"/>
        <w:autoSpaceDE w:val="0"/>
        <w:autoSpaceDN w:val="0"/>
        <w:adjustRightInd w:val="0"/>
        <w:spacing w:line="360" w:lineRule="auto"/>
        <w:ind w:left="426" w:hanging="426"/>
        <w:contextualSpacing/>
        <w:rPr>
          <w:rFonts w:ascii="Times New Roman" w:hAnsi="Times New Roman" w:cs="Times New Roman"/>
          <w:color w:val="231F20"/>
          <w:sz w:val="24"/>
          <w:szCs w:val="24"/>
        </w:rPr>
      </w:pPr>
      <w:r w:rsidRPr="00297301">
        <w:rPr>
          <w:rFonts w:ascii="Times New Roman" w:hAnsi="Times New Roman" w:cs="Times New Roman"/>
          <w:color w:val="231F20"/>
          <w:sz w:val="24"/>
          <w:szCs w:val="24"/>
        </w:rPr>
        <w:t xml:space="preserve">Gour, R. B. (1973): </w:t>
      </w:r>
      <w:r w:rsidRPr="00297301">
        <w:rPr>
          <w:rFonts w:ascii="Times New Roman" w:hAnsi="Times New Roman" w:cs="Times New Roman"/>
          <w:i/>
          <w:color w:val="231F20"/>
          <w:sz w:val="24"/>
          <w:szCs w:val="24"/>
        </w:rPr>
        <w:t>Glorious Telengana Armed Struggle</w:t>
      </w:r>
      <w:r w:rsidRPr="00297301">
        <w:rPr>
          <w:rFonts w:ascii="Times New Roman" w:hAnsi="Times New Roman" w:cs="Times New Roman"/>
          <w:color w:val="231F20"/>
          <w:sz w:val="24"/>
          <w:szCs w:val="24"/>
        </w:rPr>
        <w:t>. New Delhi: Communist Party Publication.</w:t>
      </w:r>
    </w:p>
    <w:p w14:paraId="5ACB2EF2" w14:textId="77777777" w:rsidR="00297301" w:rsidRPr="00297301" w:rsidRDefault="00297301" w:rsidP="00297301">
      <w:pPr>
        <w:spacing w:line="360" w:lineRule="auto"/>
        <w:ind w:left="426" w:hanging="426"/>
        <w:rPr>
          <w:rFonts w:ascii="Times New Roman" w:hAnsi="Times New Roman" w:cs="Times New Roman"/>
          <w:sz w:val="24"/>
          <w:szCs w:val="24"/>
        </w:rPr>
      </w:pPr>
      <w:r w:rsidRPr="00297301">
        <w:rPr>
          <w:rFonts w:ascii="Times New Roman" w:hAnsi="Times New Roman" w:cs="Times New Roman"/>
          <w:sz w:val="24"/>
          <w:szCs w:val="24"/>
        </w:rPr>
        <w:t xml:space="preserve">Government of India (2009-10): Ministry of Finance: Union Budget and Economic Survey. [on-line]. (Dostupné z: http://indiabudget.nic.in/es2009-10/chapt2010/chapter11.pdf ) Ověřeno k 24.11.2016 </w:t>
      </w:r>
    </w:p>
    <w:p w14:paraId="3FD4EDD4" w14:textId="77777777" w:rsidR="00297301" w:rsidRPr="00297301" w:rsidRDefault="00297301" w:rsidP="00297301">
      <w:pPr>
        <w:spacing w:line="360" w:lineRule="auto"/>
        <w:ind w:left="426" w:hanging="426"/>
        <w:jc w:val="both"/>
        <w:rPr>
          <w:rFonts w:ascii="Times New Roman" w:hAnsi="Times New Roman" w:cs="Times New Roman"/>
          <w:sz w:val="24"/>
          <w:szCs w:val="24"/>
        </w:rPr>
      </w:pPr>
      <w:r w:rsidRPr="00297301">
        <w:rPr>
          <w:rFonts w:ascii="Times New Roman" w:hAnsi="Times New Roman" w:cs="Times New Roman"/>
          <w:sz w:val="24"/>
          <w:szCs w:val="24"/>
        </w:rPr>
        <w:t xml:space="preserve">Guha, R. (1983): </w:t>
      </w:r>
      <w:r w:rsidRPr="00297301">
        <w:rPr>
          <w:rFonts w:ascii="Times New Roman" w:hAnsi="Times New Roman" w:cs="Times New Roman"/>
          <w:i/>
          <w:sz w:val="24"/>
          <w:szCs w:val="24"/>
        </w:rPr>
        <w:t>Elementary Aspects of Peasant Insurgency in Colonial India</w:t>
      </w:r>
      <w:r w:rsidRPr="00297301">
        <w:rPr>
          <w:rFonts w:ascii="Times New Roman" w:hAnsi="Times New Roman" w:cs="Times New Roman"/>
          <w:sz w:val="24"/>
          <w:szCs w:val="24"/>
        </w:rPr>
        <w:t>. Delhi: Oxford University Press.</w:t>
      </w:r>
    </w:p>
    <w:p w14:paraId="66B4B7C7" w14:textId="77777777" w:rsidR="00297301" w:rsidRPr="00297301" w:rsidRDefault="00297301" w:rsidP="00297301">
      <w:pPr>
        <w:spacing w:line="360" w:lineRule="auto"/>
        <w:ind w:left="426" w:hanging="426"/>
        <w:jc w:val="both"/>
        <w:rPr>
          <w:rFonts w:ascii="Times New Roman" w:hAnsi="Times New Roman" w:cs="Times New Roman"/>
          <w:sz w:val="24"/>
          <w:szCs w:val="24"/>
        </w:rPr>
      </w:pPr>
      <w:r w:rsidRPr="00297301">
        <w:rPr>
          <w:rFonts w:ascii="Times New Roman" w:hAnsi="Times New Roman" w:cs="Times New Roman"/>
          <w:sz w:val="24"/>
          <w:szCs w:val="24"/>
        </w:rPr>
        <w:lastRenderedPageBreak/>
        <w:t>Gupta, D. K. (2007): The Naxalites and the Maoist Movement in India: Birth, Demise, and Reincarnation, Democracy and Security</w:t>
      </w:r>
      <w:r w:rsidRPr="00297301">
        <w:rPr>
          <w:rFonts w:ascii="Times New Roman" w:hAnsi="Times New Roman" w:cs="Times New Roman"/>
          <w:i/>
          <w:sz w:val="24"/>
          <w:szCs w:val="24"/>
        </w:rPr>
        <w:t xml:space="preserve">. Democracy and Security. </w:t>
      </w:r>
      <w:r w:rsidRPr="00297301">
        <w:rPr>
          <w:rFonts w:ascii="Times New Roman" w:hAnsi="Times New Roman" w:cs="Times New Roman"/>
          <w:sz w:val="24"/>
          <w:szCs w:val="24"/>
        </w:rPr>
        <w:t>Vol. 3, Is. 2, pp. 157 - 188</w:t>
      </w:r>
    </w:p>
    <w:p w14:paraId="3DFB3E5C" w14:textId="02DB901B" w:rsidR="00297301" w:rsidRPr="00297301" w:rsidRDefault="00297301" w:rsidP="00297301">
      <w:pPr>
        <w:spacing w:line="360" w:lineRule="auto"/>
        <w:jc w:val="both"/>
        <w:rPr>
          <w:rFonts w:ascii="Times New Roman" w:hAnsi="Times New Roman" w:cs="Times New Roman"/>
          <w:sz w:val="24"/>
          <w:szCs w:val="24"/>
        </w:rPr>
      </w:pPr>
      <w:r w:rsidRPr="00297301">
        <w:rPr>
          <w:rFonts w:ascii="Times New Roman" w:hAnsi="Times New Roman" w:cs="Times New Roman"/>
          <w:sz w:val="24"/>
          <w:szCs w:val="24"/>
        </w:rPr>
        <w:t>Keclíková</w:t>
      </w:r>
      <w:r w:rsidR="0052306B">
        <w:rPr>
          <w:rFonts w:ascii="Times New Roman" w:hAnsi="Times New Roman" w:cs="Times New Roman"/>
          <w:sz w:val="24"/>
          <w:szCs w:val="24"/>
        </w:rPr>
        <w:t>, B.</w:t>
      </w:r>
      <w:r w:rsidRPr="00297301">
        <w:rPr>
          <w:rFonts w:ascii="Times New Roman" w:hAnsi="Times New Roman" w:cs="Times New Roman"/>
          <w:sz w:val="24"/>
          <w:szCs w:val="24"/>
        </w:rPr>
        <w:t xml:space="preserve"> (2010): </w:t>
      </w:r>
      <w:r w:rsidRPr="00297301">
        <w:rPr>
          <w:rFonts w:ascii="Times New Roman" w:hAnsi="Times New Roman" w:cs="Times New Roman"/>
          <w:i/>
          <w:sz w:val="24"/>
          <w:szCs w:val="24"/>
        </w:rPr>
        <w:t>Naxalité: cíle a strategie hnutí.</w:t>
      </w:r>
      <w:r w:rsidRPr="00297301">
        <w:rPr>
          <w:rFonts w:ascii="Times New Roman" w:hAnsi="Times New Roman" w:cs="Times New Roman"/>
          <w:sz w:val="24"/>
          <w:szCs w:val="24"/>
        </w:rPr>
        <w:t xml:space="preserve"> Bakalářská práce. Brno: PřF MU </w:t>
      </w:r>
    </w:p>
    <w:p w14:paraId="6A942CEE" w14:textId="77777777" w:rsidR="00297301" w:rsidRPr="00297301" w:rsidRDefault="00297301" w:rsidP="00297301">
      <w:pPr>
        <w:spacing w:line="360" w:lineRule="auto"/>
        <w:ind w:left="426" w:hanging="426"/>
        <w:contextualSpacing/>
        <w:rPr>
          <w:rFonts w:ascii="Times New Roman" w:hAnsi="Times New Roman" w:cs="Times New Roman"/>
          <w:sz w:val="24"/>
          <w:szCs w:val="24"/>
        </w:rPr>
      </w:pPr>
      <w:r w:rsidRPr="00297301">
        <w:rPr>
          <w:rFonts w:ascii="Times New Roman" w:hAnsi="Times New Roman" w:cs="Times New Roman"/>
          <w:sz w:val="24"/>
          <w:szCs w:val="24"/>
        </w:rPr>
        <w:t xml:space="preserve">Kennedy, J. – Purushotham S. (2012): Beyond Naxalbari: A Comparative Analysis of Maoist Insurgency and Counterinsurgency in Independent India. </w:t>
      </w:r>
      <w:r w:rsidRPr="00297301">
        <w:rPr>
          <w:rFonts w:ascii="Times New Roman" w:hAnsi="Times New Roman" w:cs="Times New Roman"/>
          <w:i/>
          <w:sz w:val="24"/>
          <w:szCs w:val="24"/>
        </w:rPr>
        <w:t xml:space="preserve">Comparative Studies in Society and History. </w:t>
      </w:r>
      <w:r w:rsidRPr="00297301">
        <w:rPr>
          <w:rFonts w:ascii="Times New Roman" w:hAnsi="Times New Roman" w:cs="Times New Roman"/>
          <w:sz w:val="24"/>
          <w:szCs w:val="24"/>
        </w:rPr>
        <w:t xml:space="preserve">Vol. 54, Is. 4, pp. 832-862.  </w:t>
      </w:r>
    </w:p>
    <w:p w14:paraId="518C9AAD" w14:textId="77777777" w:rsidR="00297301" w:rsidRPr="00297301" w:rsidRDefault="00297301" w:rsidP="00297301">
      <w:pPr>
        <w:spacing w:line="360" w:lineRule="auto"/>
        <w:ind w:left="426" w:hanging="426"/>
        <w:contextualSpacing/>
        <w:rPr>
          <w:rFonts w:ascii="Times New Roman" w:hAnsi="Times New Roman" w:cs="Times New Roman"/>
          <w:sz w:val="24"/>
          <w:szCs w:val="24"/>
        </w:rPr>
      </w:pPr>
      <w:r w:rsidRPr="00297301">
        <w:rPr>
          <w:rFonts w:ascii="Times New Roman" w:hAnsi="Times New Roman" w:cs="Times New Roman"/>
          <w:sz w:val="24"/>
          <w:szCs w:val="24"/>
        </w:rPr>
        <w:t xml:space="preserve">Kunnath, G. J. (2009): Smouldering Dalit Fires in Bihar, India. </w:t>
      </w:r>
      <w:r w:rsidRPr="00297301">
        <w:rPr>
          <w:rFonts w:ascii="Times New Roman" w:hAnsi="Times New Roman" w:cs="Times New Roman"/>
          <w:i/>
          <w:sz w:val="24"/>
          <w:szCs w:val="24"/>
        </w:rPr>
        <w:t>Dialectical Anthropology</w:t>
      </w:r>
      <w:r w:rsidRPr="00297301">
        <w:rPr>
          <w:rFonts w:ascii="Times New Roman" w:hAnsi="Times New Roman" w:cs="Times New Roman"/>
          <w:sz w:val="24"/>
          <w:szCs w:val="24"/>
        </w:rPr>
        <w:t>. Vol. 33, pp. 309- 325.</w:t>
      </w:r>
    </w:p>
    <w:p w14:paraId="1A16AE20" w14:textId="77777777" w:rsidR="00297301" w:rsidRPr="00297301" w:rsidRDefault="00297301" w:rsidP="00297301">
      <w:pPr>
        <w:spacing w:line="360" w:lineRule="auto"/>
        <w:ind w:left="426" w:hanging="426"/>
        <w:jc w:val="both"/>
        <w:rPr>
          <w:rFonts w:ascii="Times New Roman" w:hAnsi="Times New Roman" w:cs="Times New Roman"/>
          <w:sz w:val="24"/>
          <w:szCs w:val="24"/>
        </w:rPr>
      </w:pPr>
      <w:r w:rsidRPr="00297301">
        <w:rPr>
          <w:rFonts w:ascii="Times New Roman" w:hAnsi="Times New Roman" w:cs="Times New Roman"/>
          <w:sz w:val="24"/>
          <w:szCs w:val="24"/>
        </w:rPr>
        <w:t xml:space="preserve">Lenin, V. I. (1949): </w:t>
      </w:r>
      <w:r w:rsidRPr="00297301">
        <w:rPr>
          <w:rFonts w:ascii="Times New Roman" w:hAnsi="Times New Roman" w:cs="Times New Roman"/>
          <w:i/>
          <w:sz w:val="24"/>
          <w:szCs w:val="24"/>
        </w:rPr>
        <w:t>Co dělat? Palčivé otázky našeho hnutí.</w:t>
      </w:r>
      <w:r w:rsidRPr="00297301">
        <w:rPr>
          <w:rFonts w:ascii="Times New Roman" w:hAnsi="Times New Roman" w:cs="Times New Roman"/>
          <w:sz w:val="24"/>
          <w:szCs w:val="24"/>
        </w:rPr>
        <w:t xml:space="preserve"> 2. vydání. Praha: Svoboda.</w:t>
      </w:r>
    </w:p>
    <w:p w14:paraId="7322BBD7" w14:textId="77777777" w:rsidR="00297301" w:rsidRPr="00297301" w:rsidRDefault="00297301" w:rsidP="00297301">
      <w:pPr>
        <w:spacing w:line="360" w:lineRule="auto"/>
        <w:ind w:left="426" w:hanging="426"/>
        <w:contextualSpacing/>
        <w:jc w:val="both"/>
        <w:rPr>
          <w:rFonts w:ascii="Times New Roman" w:hAnsi="Times New Roman" w:cs="Times New Roman"/>
          <w:sz w:val="24"/>
          <w:szCs w:val="24"/>
        </w:rPr>
      </w:pPr>
      <w:r w:rsidRPr="00297301">
        <w:rPr>
          <w:rFonts w:ascii="Times New Roman" w:hAnsi="Times New Roman" w:cs="Times New Roman"/>
          <w:sz w:val="24"/>
          <w:szCs w:val="24"/>
        </w:rPr>
        <w:t xml:space="preserve">Lindner, T. – Strnad, M. (2006): Světová banka a vývoj jejích strategií v boji proti chudobě. </w:t>
      </w:r>
      <w:r w:rsidRPr="00297301">
        <w:rPr>
          <w:rFonts w:ascii="Times New Roman" w:hAnsi="Times New Roman" w:cs="Times New Roman"/>
          <w:i/>
          <w:sz w:val="24"/>
          <w:szCs w:val="24"/>
        </w:rPr>
        <w:t>Mezinárodní vztahy</w:t>
      </w:r>
      <w:r w:rsidRPr="00297301">
        <w:rPr>
          <w:rFonts w:ascii="Times New Roman" w:hAnsi="Times New Roman" w:cs="Times New Roman"/>
          <w:sz w:val="24"/>
          <w:szCs w:val="24"/>
        </w:rPr>
        <w:t>. Vol. 46, No. 2, pp. 120-142</w:t>
      </w:r>
    </w:p>
    <w:p w14:paraId="168D2C7B" w14:textId="77777777" w:rsidR="00297301" w:rsidRPr="00297301" w:rsidRDefault="00297301" w:rsidP="00297301">
      <w:pPr>
        <w:spacing w:line="360" w:lineRule="auto"/>
        <w:ind w:left="425" w:hanging="425"/>
        <w:contextualSpacing/>
        <w:jc w:val="both"/>
        <w:rPr>
          <w:rFonts w:ascii="Times New Roman" w:hAnsi="Times New Roman" w:cs="Times New Roman"/>
          <w:sz w:val="24"/>
          <w:szCs w:val="24"/>
        </w:rPr>
      </w:pPr>
      <w:r w:rsidRPr="00297301">
        <w:rPr>
          <w:rFonts w:ascii="Times New Roman" w:hAnsi="Times New Roman" w:cs="Times New Roman"/>
          <w:sz w:val="24"/>
          <w:szCs w:val="24"/>
        </w:rPr>
        <w:t xml:space="preserve">Mehra, A. (2000): Naxalism in India: Revolution Or Terror? </w:t>
      </w:r>
      <w:r w:rsidRPr="00297301">
        <w:rPr>
          <w:rFonts w:ascii="Times New Roman" w:hAnsi="Times New Roman" w:cs="Times New Roman"/>
          <w:i/>
          <w:iCs/>
          <w:sz w:val="24"/>
          <w:szCs w:val="24"/>
        </w:rPr>
        <w:t>Terrorism and Political Violence</w:t>
      </w:r>
      <w:r w:rsidRPr="00297301">
        <w:rPr>
          <w:rFonts w:ascii="Times New Roman" w:hAnsi="Times New Roman" w:cs="Times New Roman"/>
          <w:sz w:val="24"/>
          <w:szCs w:val="24"/>
        </w:rPr>
        <w:t>. Vol. 12, No. 2, pp 37–66.</w:t>
      </w:r>
    </w:p>
    <w:p w14:paraId="40F02A73" w14:textId="77777777" w:rsidR="00297301" w:rsidRPr="00297301" w:rsidRDefault="00297301" w:rsidP="00297301">
      <w:pPr>
        <w:spacing w:line="360" w:lineRule="auto"/>
        <w:ind w:left="426" w:hanging="426"/>
        <w:jc w:val="both"/>
        <w:rPr>
          <w:rFonts w:ascii="Times New Roman" w:hAnsi="Times New Roman" w:cs="Times New Roman"/>
          <w:color w:val="222222"/>
          <w:sz w:val="24"/>
          <w:szCs w:val="24"/>
          <w:shd w:val="clear" w:color="auto" w:fill="FFFFFF"/>
        </w:rPr>
      </w:pPr>
      <w:r w:rsidRPr="00297301">
        <w:rPr>
          <w:rFonts w:ascii="Times New Roman" w:hAnsi="Times New Roman" w:cs="Times New Roman"/>
          <w:sz w:val="24"/>
          <w:szCs w:val="24"/>
        </w:rPr>
        <w:t xml:space="preserve">Mukherji, </w:t>
      </w:r>
      <w:r w:rsidRPr="00297301">
        <w:rPr>
          <w:rFonts w:ascii="Times New Roman" w:hAnsi="Times New Roman" w:cs="Times New Roman"/>
          <w:color w:val="222222"/>
          <w:sz w:val="24"/>
          <w:szCs w:val="24"/>
          <w:shd w:val="clear" w:color="auto" w:fill="FFFFFF"/>
        </w:rPr>
        <w:t xml:space="preserve">P.N. (1979): Naxalbari Movement and the Peasant Revolt in North Bengal. In: M.S.A. Rao (1979 ed.): </w:t>
      </w:r>
      <w:r w:rsidRPr="00297301">
        <w:rPr>
          <w:rFonts w:ascii="Times New Roman" w:hAnsi="Times New Roman" w:cs="Times New Roman"/>
          <w:i/>
          <w:color w:val="222222"/>
          <w:sz w:val="24"/>
          <w:szCs w:val="24"/>
          <w:shd w:val="clear" w:color="auto" w:fill="FFFFFF"/>
        </w:rPr>
        <w:t>Social Movements in India</w:t>
      </w:r>
      <w:r w:rsidRPr="00297301">
        <w:rPr>
          <w:rFonts w:ascii="Times New Roman" w:hAnsi="Times New Roman" w:cs="Times New Roman"/>
          <w:color w:val="222222"/>
          <w:sz w:val="24"/>
          <w:szCs w:val="24"/>
          <w:shd w:val="clear" w:color="auto" w:fill="FFFFFF"/>
        </w:rPr>
        <w:t>. New Delhi: Manohar.</w:t>
      </w:r>
    </w:p>
    <w:p w14:paraId="5899475B" w14:textId="77777777" w:rsidR="00297301" w:rsidRPr="00297301" w:rsidRDefault="00297301" w:rsidP="00297301">
      <w:pPr>
        <w:spacing w:line="360" w:lineRule="auto"/>
        <w:ind w:left="426" w:hanging="426"/>
        <w:jc w:val="both"/>
        <w:rPr>
          <w:rFonts w:ascii="Times New Roman" w:hAnsi="Times New Roman" w:cs="Times New Roman"/>
          <w:color w:val="222222"/>
          <w:sz w:val="24"/>
          <w:szCs w:val="24"/>
          <w:shd w:val="clear" w:color="auto" w:fill="FFFFFF"/>
        </w:rPr>
      </w:pPr>
      <w:r w:rsidRPr="00297301">
        <w:rPr>
          <w:rFonts w:ascii="Times New Roman" w:hAnsi="Times New Roman" w:cs="Times New Roman"/>
          <w:sz w:val="24"/>
          <w:szCs w:val="24"/>
        </w:rPr>
        <w:t>Mukherji, P.N. (1987):</w:t>
      </w:r>
      <w:r w:rsidRPr="00297301">
        <w:rPr>
          <w:rFonts w:ascii="Times New Roman" w:hAnsi="Times New Roman" w:cs="Times New Roman"/>
          <w:color w:val="222222"/>
          <w:sz w:val="24"/>
          <w:szCs w:val="24"/>
          <w:shd w:val="clear" w:color="auto" w:fill="FFFFFF"/>
        </w:rPr>
        <w:t xml:space="preserve"> </w:t>
      </w:r>
      <w:r w:rsidRPr="00297301">
        <w:rPr>
          <w:rFonts w:ascii="Times New Roman" w:hAnsi="Times New Roman" w:cs="Times New Roman"/>
          <w:i/>
          <w:color w:val="222222"/>
          <w:sz w:val="24"/>
          <w:szCs w:val="24"/>
          <w:shd w:val="clear" w:color="auto" w:fill="FFFFFF"/>
        </w:rPr>
        <w:t>Study of Social Conflicts: Case of Naxalbari Peasant Movement</w:t>
      </w:r>
      <w:r w:rsidRPr="00297301">
        <w:rPr>
          <w:rFonts w:ascii="Times New Roman" w:hAnsi="Times New Roman" w:cs="Times New Roman"/>
          <w:color w:val="222222"/>
          <w:sz w:val="24"/>
          <w:szCs w:val="24"/>
          <w:shd w:val="clear" w:color="auto" w:fill="FFFFFF"/>
        </w:rPr>
        <w:t>. EPW, Vol. 22, No. 38, pp. 1607-1617.</w:t>
      </w:r>
    </w:p>
    <w:p w14:paraId="0B535623" w14:textId="77777777" w:rsidR="00297301" w:rsidRPr="00297301" w:rsidRDefault="00297301" w:rsidP="00297301">
      <w:pPr>
        <w:spacing w:line="360" w:lineRule="auto"/>
        <w:ind w:left="426" w:hanging="426"/>
        <w:contextualSpacing/>
        <w:rPr>
          <w:rFonts w:ascii="Times New Roman" w:hAnsi="Times New Roman" w:cs="Times New Roman"/>
          <w:sz w:val="24"/>
          <w:szCs w:val="24"/>
        </w:rPr>
      </w:pPr>
      <w:r w:rsidRPr="00297301">
        <w:rPr>
          <w:rFonts w:ascii="Times New Roman" w:hAnsi="Times New Roman" w:cs="Times New Roman"/>
          <w:sz w:val="24"/>
          <w:szCs w:val="24"/>
        </w:rPr>
        <w:t xml:space="preserve">Padel, F. (2009): </w:t>
      </w:r>
      <w:r w:rsidRPr="00297301">
        <w:rPr>
          <w:rFonts w:ascii="Times New Roman" w:hAnsi="Times New Roman" w:cs="Times New Roman"/>
          <w:i/>
          <w:sz w:val="24"/>
          <w:szCs w:val="24"/>
        </w:rPr>
        <w:t>Sacrificing People: Invasion of a Tribal landscape</w:t>
      </w:r>
      <w:r w:rsidRPr="00297301">
        <w:rPr>
          <w:rFonts w:ascii="Times New Roman" w:hAnsi="Times New Roman" w:cs="Times New Roman"/>
          <w:sz w:val="24"/>
          <w:szCs w:val="24"/>
        </w:rPr>
        <w:t>. New Delhi: Orient Blackswan.</w:t>
      </w:r>
    </w:p>
    <w:p w14:paraId="171C3BA8" w14:textId="77777777" w:rsidR="00297301" w:rsidRPr="00297301" w:rsidRDefault="00297301" w:rsidP="00297301">
      <w:pPr>
        <w:spacing w:line="360" w:lineRule="auto"/>
        <w:ind w:left="426" w:hanging="426"/>
        <w:jc w:val="both"/>
        <w:rPr>
          <w:rFonts w:ascii="Times New Roman" w:hAnsi="Times New Roman" w:cs="Times New Roman"/>
          <w:sz w:val="24"/>
          <w:szCs w:val="24"/>
        </w:rPr>
      </w:pPr>
      <w:r w:rsidRPr="00297301">
        <w:rPr>
          <w:rFonts w:ascii="Times New Roman" w:hAnsi="Times New Roman" w:cs="Times New Roman"/>
          <w:sz w:val="24"/>
          <w:szCs w:val="24"/>
        </w:rPr>
        <w:t xml:space="preserve">Pavier, B. (1981): </w:t>
      </w:r>
      <w:r w:rsidRPr="00297301">
        <w:rPr>
          <w:rFonts w:ascii="Times New Roman" w:hAnsi="Times New Roman" w:cs="Times New Roman"/>
          <w:i/>
          <w:sz w:val="24"/>
          <w:szCs w:val="24"/>
        </w:rPr>
        <w:t>The Telengana Movement 1944–51</w:t>
      </w:r>
      <w:r w:rsidRPr="00297301">
        <w:rPr>
          <w:rFonts w:ascii="Times New Roman" w:hAnsi="Times New Roman" w:cs="Times New Roman"/>
          <w:sz w:val="24"/>
          <w:szCs w:val="24"/>
        </w:rPr>
        <w:t>. New Delhi: Vikash Publishing House.</w:t>
      </w:r>
    </w:p>
    <w:p w14:paraId="312965B0" w14:textId="77777777" w:rsidR="00297301" w:rsidRPr="00297301" w:rsidRDefault="00297301" w:rsidP="00297301">
      <w:pPr>
        <w:widowControl w:val="0"/>
        <w:autoSpaceDE w:val="0"/>
        <w:autoSpaceDN w:val="0"/>
        <w:adjustRightInd w:val="0"/>
        <w:spacing w:after="80" w:line="360" w:lineRule="auto"/>
        <w:ind w:left="426" w:right="-432" w:hanging="426"/>
        <w:contextualSpacing/>
        <w:rPr>
          <w:rFonts w:ascii="Times New Roman" w:hAnsi="Times New Roman" w:cs="Times New Roman"/>
          <w:sz w:val="24"/>
          <w:szCs w:val="24"/>
        </w:rPr>
      </w:pPr>
      <w:r w:rsidRPr="00297301">
        <w:rPr>
          <w:rFonts w:ascii="Times New Roman" w:hAnsi="Times New Roman" w:cs="Times New Roman"/>
          <w:sz w:val="24"/>
          <w:szCs w:val="24"/>
        </w:rPr>
        <w:t xml:space="preserve">Pšeja, P. (2003): Konflikt. In: Zeman, P. (2003): </w:t>
      </w:r>
      <w:r w:rsidRPr="00297301">
        <w:rPr>
          <w:rFonts w:ascii="Times New Roman" w:hAnsi="Times New Roman" w:cs="Times New Roman"/>
          <w:i/>
          <w:sz w:val="24"/>
          <w:szCs w:val="24"/>
        </w:rPr>
        <w:t>Česká bezpečnostní terminologie</w:t>
      </w:r>
      <w:r w:rsidRPr="00297301">
        <w:rPr>
          <w:rFonts w:ascii="Times New Roman" w:hAnsi="Times New Roman" w:cs="Times New Roman"/>
          <w:sz w:val="24"/>
          <w:szCs w:val="24"/>
        </w:rPr>
        <w:t xml:space="preserve">. Brno: MPÚ. </w:t>
      </w:r>
    </w:p>
    <w:p w14:paraId="1C2ED99F" w14:textId="77777777" w:rsidR="00297301" w:rsidRPr="00297301" w:rsidRDefault="00297301" w:rsidP="00297301">
      <w:pPr>
        <w:spacing w:line="360" w:lineRule="auto"/>
        <w:ind w:left="426" w:hanging="426"/>
        <w:jc w:val="both"/>
        <w:rPr>
          <w:rFonts w:ascii="Times New Roman" w:hAnsi="Times New Roman" w:cs="Times New Roman"/>
          <w:sz w:val="24"/>
          <w:szCs w:val="24"/>
        </w:rPr>
      </w:pPr>
      <w:r w:rsidRPr="00297301">
        <w:rPr>
          <w:rFonts w:ascii="Times New Roman" w:hAnsi="Times New Roman" w:cs="Times New Roman"/>
          <w:sz w:val="24"/>
          <w:szCs w:val="24"/>
        </w:rPr>
        <w:t xml:space="preserve">Rao, A.- Rao, B. G. (1992): </w:t>
      </w:r>
      <w:r w:rsidRPr="00297301">
        <w:rPr>
          <w:rFonts w:ascii="Times New Roman" w:hAnsi="Times New Roman" w:cs="Times New Roman"/>
          <w:i/>
          <w:sz w:val="24"/>
          <w:szCs w:val="24"/>
        </w:rPr>
        <w:t>The Blue Devil: Indigo and Colonial Bengal</w:t>
      </w:r>
      <w:r w:rsidRPr="00297301">
        <w:rPr>
          <w:rFonts w:ascii="Times New Roman" w:hAnsi="Times New Roman" w:cs="Times New Roman"/>
          <w:sz w:val="24"/>
          <w:szCs w:val="24"/>
        </w:rPr>
        <w:t>. New Delhi, New York: Oxford University Press.</w:t>
      </w:r>
    </w:p>
    <w:p w14:paraId="4C5F6394" w14:textId="77777777" w:rsidR="00297301" w:rsidRPr="00297301" w:rsidRDefault="00297301" w:rsidP="00297301">
      <w:pPr>
        <w:spacing w:line="360" w:lineRule="auto"/>
        <w:ind w:left="426" w:hanging="426"/>
        <w:contextualSpacing/>
        <w:rPr>
          <w:rFonts w:ascii="Times New Roman" w:hAnsi="Times New Roman" w:cs="Times New Roman"/>
          <w:sz w:val="24"/>
          <w:szCs w:val="24"/>
        </w:rPr>
      </w:pPr>
      <w:r w:rsidRPr="00297301">
        <w:rPr>
          <w:rFonts w:ascii="Times New Roman" w:hAnsi="Times New Roman" w:cs="Times New Roman"/>
          <w:sz w:val="24"/>
          <w:szCs w:val="24"/>
        </w:rPr>
        <w:t xml:space="preserve">Rao, D.V. (1982): </w:t>
      </w:r>
      <w:r w:rsidRPr="00297301">
        <w:rPr>
          <w:rFonts w:ascii="Times New Roman" w:hAnsi="Times New Roman" w:cs="Times New Roman"/>
          <w:i/>
          <w:sz w:val="24"/>
          <w:szCs w:val="24"/>
        </w:rPr>
        <w:t>Refutation of Wrong Trends Advocating Withdrawal of Telangana Armed Struggle</w:t>
      </w:r>
      <w:r w:rsidRPr="00297301">
        <w:rPr>
          <w:rFonts w:ascii="Times New Roman" w:hAnsi="Times New Roman" w:cs="Times New Roman"/>
          <w:sz w:val="24"/>
          <w:szCs w:val="24"/>
        </w:rPr>
        <w:t>. Hyderabad: Proletarian Line Publications.</w:t>
      </w:r>
    </w:p>
    <w:p w14:paraId="027C152A" w14:textId="77777777" w:rsidR="00297301" w:rsidRPr="00297301" w:rsidRDefault="00297301" w:rsidP="00297301">
      <w:pPr>
        <w:spacing w:line="360" w:lineRule="auto"/>
        <w:ind w:left="426" w:hanging="426"/>
        <w:jc w:val="both"/>
        <w:rPr>
          <w:rFonts w:ascii="Times New Roman" w:hAnsi="Times New Roman" w:cs="Times New Roman"/>
          <w:sz w:val="24"/>
          <w:szCs w:val="24"/>
        </w:rPr>
      </w:pPr>
      <w:r w:rsidRPr="00297301">
        <w:rPr>
          <w:rFonts w:ascii="Times New Roman" w:hAnsi="Times New Roman" w:cs="Times New Roman"/>
          <w:sz w:val="24"/>
          <w:szCs w:val="24"/>
        </w:rPr>
        <w:t>Ray Burman, J.J. (2009</w:t>
      </w:r>
      <w:r w:rsidRPr="00297301">
        <w:rPr>
          <w:rFonts w:ascii="Times New Roman" w:hAnsi="Times New Roman" w:cs="Times New Roman"/>
          <w:i/>
          <w:sz w:val="24"/>
          <w:szCs w:val="24"/>
        </w:rPr>
        <w:t>): The Naxalite Movement that was Not in Naxalbari</w:t>
      </w:r>
      <w:r w:rsidRPr="00297301">
        <w:rPr>
          <w:rFonts w:ascii="Times New Roman" w:hAnsi="Times New Roman" w:cs="Times New Roman"/>
          <w:sz w:val="24"/>
          <w:szCs w:val="24"/>
        </w:rPr>
        <w:t>. Mainstream, Vol. 47, No. 25 [on-line] (Dostupné z: http://www.mainstreamweekly.net/article1416.html) Ověřeno k 24.11.2016.</w:t>
      </w:r>
    </w:p>
    <w:p w14:paraId="6D448B0D" w14:textId="77777777" w:rsidR="00297301" w:rsidRPr="00297301" w:rsidRDefault="00297301" w:rsidP="00297301">
      <w:pPr>
        <w:widowControl w:val="0"/>
        <w:autoSpaceDE w:val="0"/>
        <w:autoSpaceDN w:val="0"/>
        <w:adjustRightInd w:val="0"/>
        <w:spacing w:line="360" w:lineRule="auto"/>
        <w:ind w:left="567" w:hanging="567"/>
        <w:contextualSpacing/>
        <w:rPr>
          <w:rFonts w:ascii="Times New Roman" w:hAnsi="Times New Roman" w:cs="Times New Roman"/>
          <w:color w:val="231F20"/>
          <w:sz w:val="24"/>
          <w:szCs w:val="24"/>
        </w:rPr>
      </w:pPr>
      <w:r w:rsidRPr="00297301">
        <w:rPr>
          <w:rFonts w:ascii="Times New Roman" w:hAnsi="Times New Roman" w:cs="Times New Roman"/>
          <w:color w:val="231F20"/>
          <w:sz w:val="24"/>
          <w:szCs w:val="24"/>
        </w:rPr>
        <w:t xml:space="preserve">Roosa, J. (2001): Passive Revolution Meets Peasant Revolution: Indian Nationalism and the Telangana Revolt. </w:t>
      </w:r>
      <w:r w:rsidRPr="00297301">
        <w:rPr>
          <w:rFonts w:ascii="Times New Roman" w:hAnsi="Times New Roman" w:cs="Times New Roman"/>
          <w:i/>
          <w:color w:val="231F20"/>
          <w:sz w:val="24"/>
          <w:szCs w:val="24"/>
        </w:rPr>
        <w:t>Journal of Peasant Studies</w:t>
      </w:r>
      <w:r w:rsidRPr="00297301">
        <w:rPr>
          <w:rFonts w:ascii="Times New Roman" w:hAnsi="Times New Roman" w:cs="Times New Roman"/>
          <w:color w:val="231F20"/>
          <w:sz w:val="24"/>
          <w:szCs w:val="24"/>
        </w:rPr>
        <w:t>. Vol. 28, No. 4, pp. 57–94.</w:t>
      </w:r>
    </w:p>
    <w:p w14:paraId="799764A9" w14:textId="77777777" w:rsidR="00297301" w:rsidRPr="00297301" w:rsidRDefault="00297301" w:rsidP="00297301">
      <w:pPr>
        <w:spacing w:line="360" w:lineRule="auto"/>
        <w:ind w:left="567" w:hanging="567"/>
        <w:contextualSpacing/>
        <w:rPr>
          <w:rFonts w:ascii="Times New Roman" w:hAnsi="Times New Roman" w:cs="Times New Roman"/>
          <w:sz w:val="24"/>
          <w:szCs w:val="24"/>
        </w:rPr>
      </w:pPr>
      <w:r w:rsidRPr="00297301">
        <w:rPr>
          <w:rFonts w:ascii="Times New Roman" w:hAnsi="Times New Roman" w:cs="Times New Roman"/>
          <w:sz w:val="24"/>
          <w:szCs w:val="24"/>
        </w:rPr>
        <w:lastRenderedPageBreak/>
        <w:t xml:space="preserve">Scott, J. (2009): </w:t>
      </w:r>
      <w:r w:rsidRPr="00297301">
        <w:rPr>
          <w:rFonts w:ascii="Times New Roman" w:hAnsi="Times New Roman" w:cs="Times New Roman"/>
          <w:i/>
          <w:sz w:val="24"/>
          <w:szCs w:val="24"/>
        </w:rPr>
        <w:t xml:space="preserve">The Art of not Being Governed: An Anarchist History of Upland Southeast Asia. </w:t>
      </w:r>
      <w:r w:rsidRPr="00297301">
        <w:rPr>
          <w:rFonts w:ascii="Times New Roman" w:hAnsi="Times New Roman" w:cs="Times New Roman"/>
          <w:sz w:val="24"/>
          <w:szCs w:val="24"/>
        </w:rPr>
        <w:t>New Haven and London: Yale University Press.</w:t>
      </w:r>
    </w:p>
    <w:p w14:paraId="3FFDB0BD" w14:textId="77777777" w:rsidR="00297301" w:rsidRPr="00297301" w:rsidRDefault="00297301" w:rsidP="00297301">
      <w:pPr>
        <w:spacing w:line="360" w:lineRule="auto"/>
        <w:ind w:left="567" w:hanging="567"/>
        <w:contextualSpacing/>
        <w:rPr>
          <w:rFonts w:ascii="Times New Roman" w:hAnsi="Times New Roman" w:cs="Times New Roman"/>
          <w:sz w:val="24"/>
          <w:szCs w:val="24"/>
        </w:rPr>
      </w:pPr>
      <w:r w:rsidRPr="00297301">
        <w:rPr>
          <w:rFonts w:ascii="Times New Roman" w:hAnsi="Times New Roman" w:cs="Times New Roman"/>
          <w:sz w:val="24"/>
          <w:szCs w:val="24"/>
        </w:rPr>
        <w:t xml:space="preserve">Singh, P. (2006): </w:t>
      </w:r>
      <w:r w:rsidRPr="00297301">
        <w:rPr>
          <w:rFonts w:ascii="Times New Roman" w:hAnsi="Times New Roman" w:cs="Times New Roman"/>
          <w:i/>
          <w:sz w:val="24"/>
          <w:szCs w:val="24"/>
        </w:rPr>
        <w:t>The Naxalite Movement in India</w:t>
      </w:r>
      <w:r w:rsidRPr="00297301">
        <w:rPr>
          <w:rFonts w:ascii="Times New Roman" w:hAnsi="Times New Roman" w:cs="Times New Roman"/>
          <w:sz w:val="24"/>
          <w:szCs w:val="24"/>
        </w:rPr>
        <w:t>. New Delhi: Rupa &amp; Co.</w:t>
      </w:r>
    </w:p>
    <w:p w14:paraId="02721A8E" w14:textId="77777777" w:rsidR="00297301" w:rsidRPr="00297301" w:rsidRDefault="00297301" w:rsidP="00297301">
      <w:pPr>
        <w:pStyle w:val="NormalWeb"/>
        <w:spacing w:line="360" w:lineRule="auto"/>
        <w:ind w:left="567" w:hanging="567"/>
        <w:contextualSpacing/>
        <w:jc w:val="both"/>
        <w:rPr>
          <w:rFonts w:ascii="Times New Roman" w:hAnsi="Times New Roman"/>
          <w:sz w:val="24"/>
          <w:szCs w:val="24"/>
          <w:lang w:val="cs-CZ"/>
        </w:rPr>
      </w:pPr>
      <w:r w:rsidRPr="00297301">
        <w:rPr>
          <w:rFonts w:ascii="Times New Roman" w:hAnsi="Times New Roman"/>
          <w:sz w:val="24"/>
          <w:szCs w:val="24"/>
          <w:lang w:val="cs-CZ"/>
        </w:rPr>
        <w:t xml:space="preserve">Šmíd, T. (2010): Teoretické koncepty výzkumu konfliktu- terminologie, příčiny a dynamika. In: Smolík, J.- Šmíd, T.(2010 eds.): </w:t>
      </w:r>
      <w:r w:rsidRPr="00297301">
        <w:rPr>
          <w:rFonts w:ascii="Times New Roman" w:hAnsi="Times New Roman"/>
          <w:i/>
          <w:sz w:val="24"/>
          <w:szCs w:val="24"/>
          <w:lang w:val="cs-CZ"/>
        </w:rPr>
        <w:t>Vybrané bezpečnostní hrozby a rizika 21. století</w:t>
      </w:r>
      <w:r w:rsidRPr="00297301">
        <w:rPr>
          <w:rFonts w:ascii="Times New Roman" w:hAnsi="Times New Roman"/>
          <w:sz w:val="24"/>
          <w:szCs w:val="24"/>
          <w:lang w:val="cs-CZ"/>
        </w:rPr>
        <w:t>. Brno: MU. Mezinárodní politologický ústav.</w:t>
      </w:r>
    </w:p>
    <w:p w14:paraId="6E716F88" w14:textId="77777777" w:rsidR="00297301" w:rsidRPr="00297301" w:rsidRDefault="00297301" w:rsidP="00297301">
      <w:pPr>
        <w:widowControl w:val="0"/>
        <w:autoSpaceDE w:val="0"/>
        <w:autoSpaceDN w:val="0"/>
        <w:adjustRightInd w:val="0"/>
        <w:spacing w:line="360" w:lineRule="auto"/>
        <w:ind w:left="567" w:hanging="567"/>
        <w:contextualSpacing/>
        <w:rPr>
          <w:rFonts w:ascii="Times New Roman" w:hAnsi="Times New Roman" w:cs="Times New Roman"/>
          <w:color w:val="231F20"/>
          <w:sz w:val="24"/>
          <w:szCs w:val="24"/>
        </w:rPr>
      </w:pPr>
      <w:r w:rsidRPr="00297301">
        <w:rPr>
          <w:rFonts w:ascii="Times New Roman" w:hAnsi="Times New Roman" w:cs="Times New Roman"/>
          <w:color w:val="231F20"/>
          <w:sz w:val="24"/>
          <w:szCs w:val="24"/>
        </w:rPr>
        <w:t xml:space="preserve">Sundarayya, P. (1972): </w:t>
      </w:r>
      <w:r w:rsidRPr="00297301">
        <w:rPr>
          <w:rFonts w:ascii="Times New Roman" w:hAnsi="Times New Roman" w:cs="Times New Roman"/>
          <w:i/>
          <w:color w:val="231F20"/>
          <w:sz w:val="24"/>
          <w:szCs w:val="24"/>
        </w:rPr>
        <w:t>Telengana People’s Struggle and Its Lessons</w:t>
      </w:r>
      <w:r w:rsidRPr="00297301">
        <w:rPr>
          <w:rFonts w:ascii="Times New Roman" w:hAnsi="Times New Roman" w:cs="Times New Roman"/>
          <w:color w:val="231F20"/>
          <w:sz w:val="24"/>
          <w:szCs w:val="24"/>
        </w:rPr>
        <w:t>. Calcutta: Communist Party of India (Marxist).</w:t>
      </w:r>
    </w:p>
    <w:p w14:paraId="10D0AC39" w14:textId="77777777" w:rsidR="00297301" w:rsidRPr="00297301" w:rsidRDefault="00297301" w:rsidP="00297301">
      <w:pPr>
        <w:widowControl w:val="0"/>
        <w:autoSpaceDE w:val="0"/>
        <w:autoSpaceDN w:val="0"/>
        <w:adjustRightInd w:val="0"/>
        <w:spacing w:line="360" w:lineRule="auto"/>
        <w:ind w:left="567" w:hanging="567"/>
        <w:contextualSpacing/>
        <w:rPr>
          <w:rFonts w:ascii="Times New Roman" w:hAnsi="Times New Roman" w:cs="Times New Roman"/>
          <w:color w:val="231F20"/>
          <w:sz w:val="24"/>
          <w:szCs w:val="24"/>
        </w:rPr>
      </w:pPr>
      <w:r w:rsidRPr="00297301">
        <w:rPr>
          <w:rFonts w:ascii="Times New Roman" w:hAnsi="Times New Roman" w:cs="Times New Roman"/>
          <w:sz w:val="24"/>
          <w:szCs w:val="24"/>
        </w:rPr>
        <w:t xml:space="preserve">Swarup, S. (1966): </w:t>
      </w:r>
      <w:r w:rsidRPr="00297301">
        <w:rPr>
          <w:rFonts w:ascii="Times New Roman" w:hAnsi="Times New Roman" w:cs="Times New Roman"/>
          <w:i/>
          <w:sz w:val="24"/>
          <w:szCs w:val="24"/>
        </w:rPr>
        <w:t>A Study of Chinese Communist Movement.</w:t>
      </w:r>
      <w:r w:rsidRPr="00297301">
        <w:rPr>
          <w:rFonts w:ascii="Times New Roman" w:hAnsi="Times New Roman" w:cs="Times New Roman"/>
          <w:sz w:val="24"/>
          <w:szCs w:val="24"/>
        </w:rPr>
        <w:t xml:space="preserve"> Oxford: Clarendon Press.</w:t>
      </w:r>
    </w:p>
    <w:p w14:paraId="306BBBD5" w14:textId="77777777" w:rsidR="00297301" w:rsidRPr="00297301" w:rsidRDefault="00297301" w:rsidP="00297301">
      <w:pPr>
        <w:spacing w:after="142" w:line="360" w:lineRule="auto"/>
        <w:contextualSpacing/>
        <w:jc w:val="both"/>
        <w:rPr>
          <w:rFonts w:ascii="Times New Roman" w:hAnsi="Times New Roman" w:cs="Times New Roman"/>
          <w:sz w:val="24"/>
          <w:szCs w:val="24"/>
        </w:rPr>
      </w:pPr>
      <w:r w:rsidRPr="00297301">
        <w:rPr>
          <w:rFonts w:ascii="Times New Roman" w:hAnsi="Times New Roman" w:cs="Times New Roman"/>
          <w:sz w:val="24"/>
          <w:szCs w:val="24"/>
        </w:rPr>
        <w:t xml:space="preserve">Sweezy, P. (1981): </w:t>
      </w:r>
      <w:r w:rsidRPr="00297301">
        <w:rPr>
          <w:rFonts w:ascii="Times New Roman" w:hAnsi="Times New Roman" w:cs="Times New Roman"/>
          <w:i/>
          <w:sz w:val="24"/>
          <w:szCs w:val="24"/>
        </w:rPr>
        <w:t>Four Lectures on Marxism</w:t>
      </w:r>
      <w:r w:rsidRPr="00297301">
        <w:rPr>
          <w:rFonts w:ascii="Times New Roman" w:hAnsi="Times New Roman" w:cs="Times New Roman"/>
          <w:sz w:val="24"/>
          <w:szCs w:val="24"/>
        </w:rPr>
        <w:t>. New York: Monthly Review Press.</w:t>
      </w:r>
    </w:p>
    <w:p w14:paraId="3011ABE7" w14:textId="77777777" w:rsidR="00297301" w:rsidRPr="00297301" w:rsidRDefault="00297301" w:rsidP="00297301">
      <w:pPr>
        <w:widowControl w:val="0"/>
        <w:autoSpaceDE w:val="0"/>
        <w:autoSpaceDN w:val="0"/>
        <w:adjustRightInd w:val="0"/>
        <w:spacing w:line="360" w:lineRule="auto"/>
        <w:ind w:left="567" w:hanging="567"/>
        <w:contextualSpacing/>
        <w:rPr>
          <w:rFonts w:ascii="Times New Roman" w:hAnsi="Times New Roman" w:cs="Times New Roman"/>
          <w:i/>
          <w:color w:val="231F20"/>
          <w:sz w:val="24"/>
          <w:szCs w:val="24"/>
        </w:rPr>
      </w:pPr>
      <w:r w:rsidRPr="00297301">
        <w:rPr>
          <w:rFonts w:ascii="Times New Roman" w:hAnsi="Times New Roman" w:cs="Times New Roman"/>
          <w:color w:val="231F20"/>
          <w:sz w:val="24"/>
          <w:szCs w:val="24"/>
        </w:rPr>
        <w:t>Thirumali, I. (2003</w:t>
      </w:r>
      <w:r w:rsidRPr="00297301">
        <w:rPr>
          <w:rFonts w:ascii="Times New Roman" w:hAnsi="Times New Roman" w:cs="Times New Roman"/>
          <w:i/>
          <w:color w:val="231F20"/>
          <w:sz w:val="24"/>
          <w:szCs w:val="24"/>
        </w:rPr>
        <w:t>): Against Dora and Nizam: People’s Movement in Telangana, 1939–1948</w:t>
      </w:r>
      <w:r w:rsidRPr="00297301">
        <w:rPr>
          <w:rFonts w:ascii="Times New Roman" w:hAnsi="Times New Roman" w:cs="Times New Roman"/>
          <w:color w:val="231F20"/>
          <w:sz w:val="24"/>
          <w:szCs w:val="24"/>
        </w:rPr>
        <w:t>. New Delhi: Kanishka Publishers.</w:t>
      </w:r>
    </w:p>
    <w:p w14:paraId="30FC885F" w14:textId="77777777" w:rsidR="00297301" w:rsidRPr="00297301" w:rsidRDefault="00297301" w:rsidP="00297301">
      <w:pPr>
        <w:spacing w:after="142" w:line="360" w:lineRule="auto"/>
        <w:ind w:left="567" w:hanging="567"/>
        <w:contextualSpacing/>
        <w:jc w:val="both"/>
        <w:rPr>
          <w:rFonts w:ascii="Times New Roman" w:hAnsi="Times New Roman" w:cs="Times New Roman"/>
          <w:sz w:val="24"/>
          <w:szCs w:val="24"/>
        </w:rPr>
      </w:pPr>
      <w:r w:rsidRPr="00297301">
        <w:rPr>
          <w:rFonts w:ascii="Times New Roman" w:hAnsi="Times New Roman" w:cs="Times New Roman"/>
          <w:sz w:val="24"/>
          <w:szCs w:val="24"/>
        </w:rPr>
        <w:t xml:space="preserve">Transparency International (2015): </w:t>
      </w:r>
      <w:r w:rsidRPr="00297301">
        <w:rPr>
          <w:rFonts w:ascii="Times New Roman" w:hAnsi="Times New Roman" w:cs="Times New Roman"/>
          <w:i/>
          <w:sz w:val="24"/>
          <w:szCs w:val="24"/>
        </w:rPr>
        <w:t xml:space="preserve">Corruption perception index (CPI) 2015. </w:t>
      </w:r>
      <w:r w:rsidRPr="00297301">
        <w:rPr>
          <w:rFonts w:ascii="Times New Roman" w:hAnsi="Times New Roman" w:cs="Times New Roman"/>
          <w:sz w:val="24"/>
          <w:szCs w:val="24"/>
        </w:rPr>
        <w:t xml:space="preserve">[on-line] (Dostupné z: </w:t>
      </w:r>
      <w:hyperlink r:id="rId12" w:anchor="results-table" w:history="1">
        <w:r w:rsidRPr="00297301">
          <w:rPr>
            <w:rStyle w:val="Hyperlink"/>
            <w:rFonts w:ascii="Times New Roman" w:hAnsi="Times New Roman" w:cs="Times New Roman"/>
            <w:sz w:val="24"/>
            <w:szCs w:val="24"/>
          </w:rPr>
          <w:t>http://www.transparency.org/cpi2015#results-table</w:t>
        </w:r>
      </w:hyperlink>
      <w:r w:rsidRPr="00297301">
        <w:rPr>
          <w:rFonts w:ascii="Times New Roman" w:hAnsi="Times New Roman" w:cs="Times New Roman"/>
          <w:sz w:val="24"/>
          <w:szCs w:val="24"/>
        </w:rPr>
        <w:t>) Ověřeno k 26.11.2016.</w:t>
      </w:r>
    </w:p>
    <w:p w14:paraId="63087AFA" w14:textId="77777777" w:rsidR="00297301" w:rsidRPr="00297301" w:rsidRDefault="00297301" w:rsidP="00297301">
      <w:pPr>
        <w:widowControl w:val="0"/>
        <w:autoSpaceDE w:val="0"/>
        <w:autoSpaceDN w:val="0"/>
        <w:adjustRightInd w:val="0"/>
        <w:spacing w:after="80" w:line="360" w:lineRule="auto"/>
        <w:ind w:right="-432"/>
        <w:contextualSpacing/>
        <w:rPr>
          <w:rFonts w:ascii="Times New Roman" w:hAnsi="Times New Roman" w:cs="Times New Roman"/>
          <w:sz w:val="24"/>
          <w:szCs w:val="24"/>
        </w:rPr>
      </w:pPr>
      <w:r w:rsidRPr="00297301">
        <w:rPr>
          <w:rFonts w:ascii="Times New Roman" w:hAnsi="Times New Roman" w:cs="Times New Roman"/>
          <w:sz w:val="24"/>
          <w:szCs w:val="24"/>
        </w:rPr>
        <w:t xml:space="preserve">Waisová, Š. (2011): </w:t>
      </w:r>
      <w:r w:rsidRPr="00297301">
        <w:rPr>
          <w:rFonts w:ascii="Times New Roman" w:hAnsi="Times New Roman" w:cs="Times New Roman"/>
          <w:i/>
          <w:sz w:val="24"/>
          <w:szCs w:val="24"/>
        </w:rPr>
        <w:t>Řešení konfliktů v mezinárodních vztazích</w:t>
      </w:r>
      <w:r w:rsidRPr="00297301">
        <w:rPr>
          <w:rFonts w:ascii="Times New Roman" w:hAnsi="Times New Roman" w:cs="Times New Roman"/>
          <w:sz w:val="24"/>
          <w:szCs w:val="24"/>
        </w:rPr>
        <w:t xml:space="preserve">. Praha: Portál. </w:t>
      </w:r>
    </w:p>
    <w:p w14:paraId="5762BA30" w14:textId="77777777" w:rsidR="00297301" w:rsidRPr="00297301" w:rsidRDefault="00297301" w:rsidP="00297301">
      <w:pPr>
        <w:spacing w:after="142" w:line="360" w:lineRule="auto"/>
        <w:ind w:left="567" w:hanging="567"/>
        <w:contextualSpacing/>
        <w:jc w:val="both"/>
        <w:rPr>
          <w:rFonts w:ascii="Times New Roman" w:hAnsi="Times New Roman" w:cs="Times New Roman"/>
          <w:sz w:val="24"/>
          <w:szCs w:val="24"/>
        </w:rPr>
      </w:pPr>
      <w:r w:rsidRPr="00297301">
        <w:rPr>
          <w:rFonts w:ascii="Times New Roman" w:hAnsi="Times New Roman" w:cs="Times New Roman"/>
          <w:sz w:val="24"/>
          <w:szCs w:val="24"/>
        </w:rPr>
        <w:t xml:space="preserve">World Bank (1990): </w:t>
      </w:r>
      <w:r w:rsidRPr="00297301">
        <w:rPr>
          <w:rFonts w:ascii="Times New Roman" w:hAnsi="Times New Roman" w:cs="Times New Roman"/>
          <w:i/>
          <w:sz w:val="24"/>
          <w:szCs w:val="24"/>
        </w:rPr>
        <w:t>World Development Report 1990: Poverty</w:t>
      </w:r>
      <w:r w:rsidRPr="00297301">
        <w:rPr>
          <w:rFonts w:ascii="Times New Roman" w:hAnsi="Times New Roman" w:cs="Times New Roman"/>
          <w:sz w:val="24"/>
          <w:szCs w:val="24"/>
        </w:rPr>
        <w:t xml:space="preserve">. Oxford University Press. </w:t>
      </w:r>
    </w:p>
    <w:p w14:paraId="018D9676" w14:textId="77777777" w:rsidR="00297301" w:rsidRPr="00297301" w:rsidRDefault="00297301" w:rsidP="00297301">
      <w:pPr>
        <w:spacing w:after="142" w:line="360" w:lineRule="auto"/>
        <w:ind w:left="567" w:hanging="567"/>
        <w:contextualSpacing/>
        <w:jc w:val="both"/>
        <w:rPr>
          <w:rFonts w:ascii="Times New Roman" w:hAnsi="Times New Roman" w:cs="Times New Roman"/>
          <w:sz w:val="24"/>
          <w:szCs w:val="24"/>
        </w:rPr>
      </w:pPr>
      <w:r w:rsidRPr="00297301">
        <w:rPr>
          <w:rFonts w:ascii="Times New Roman" w:hAnsi="Times New Roman" w:cs="Times New Roman"/>
          <w:sz w:val="24"/>
          <w:szCs w:val="24"/>
        </w:rPr>
        <w:t xml:space="preserve">World Bank (2016): </w:t>
      </w:r>
      <w:r w:rsidRPr="00297301">
        <w:rPr>
          <w:rFonts w:ascii="Times New Roman" w:hAnsi="Times New Roman" w:cs="Times New Roman"/>
          <w:i/>
          <w:sz w:val="24"/>
          <w:szCs w:val="24"/>
        </w:rPr>
        <w:t>Poverty and Equity. India</w:t>
      </w:r>
      <w:r w:rsidRPr="00297301">
        <w:rPr>
          <w:rFonts w:ascii="Times New Roman" w:hAnsi="Times New Roman" w:cs="Times New Roman"/>
          <w:sz w:val="24"/>
          <w:szCs w:val="24"/>
        </w:rPr>
        <w:t>. [on-line] (Dostupné z: http://povertydata.worldbank.org/poverty/country/IND) Ověřeno k 26.11.2016.</w:t>
      </w:r>
    </w:p>
    <w:p w14:paraId="6EBF3E35" w14:textId="6006AA0F" w:rsidR="000C65AD" w:rsidRPr="00C910D4" w:rsidRDefault="000C65AD" w:rsidP="00297301">
      <w:pPr>
        <w:pStyle w:val="Heading1"/>
        <w:rPr>
          <w:rFonts w:cs="Times New Roman"/>
          <w:sz w:val="24"/>
          <w:szCs w:val="24"/>
        </w:rPr>
      </w:pPr>
    </w:p>
    <w:sectPr w:rsidR="000C65AD" w:rsidRPr="00C910D4" w:rsidSect="00105E47">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9F2C63" w14:textId="77777777" w:rsidR="002E2007" w:rsidRDefault="002E2007" w:rsidP="00710D8A">
      <w:pPr>
        <w:spacing w:after="0" w:line="240" w:lineRule="auto"/>
      </w:pPr>
      <w:r>
        <w:separator/>
      </w:r>
    </w:p>
  </w:endnote>
  <w:endnote w:type="continuationSeparator" w:id="0">
    <w:p w14:paraId="07814349" w14:textId="77777777" w:rsidR="002E2007" w:rsidRDefault="002E2007" w:rsidP="00710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游ゴシック Light">
    <w:panose1 w:val="00000000000000000000"/>
    <w:charset w:val="80"/>
    <w:family w:val="roman"/>
    <w:notTrueType/>
    <w:pitch w:val="default"/>
  </w:font>
  <w:font w:name="Calibri Light">
    <w:charset w:val="EE"/>
    <w:family w:val="swiss"/>
    <w:pitch w:val="variable"/>
    <w:sig w:usb0="E0002AFF" w:usb1="C000247B"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50583668"/>
      <w:docPartObj>
        <w:docPartGallery w:val="Page Numbers (Bottom of Page)"/>
        <w:docPartUnique/>
      </w:docPartObj>
    </w:sdtPr>
    <w:sdtEndPr/>
    <w:sdtContent>
      <w:p w14:paraId="4725DDCC" w14:textId="60615BA1" w:rsidR="002E2007" w:rsidRDefault="002E2007">
        <w:pPr>
          <w:pStyle w:val="Footer"/>
          <w:jc w:val="center"/>
        </w:pPr>
        <w:r>
          <w:fldChar w:fldCharType="begin"/>
        </w:r>
        <w:r>
          <w:instrText>PAGE   \* MERGEFORMAT</w:instrText>
        </w:r>
        <w:r>
          <w:fldChar w:fldCharType="separate"/>
        </w:r>
        <w:r w:rsidR="00861420">
          <w:rPr>
            <w:noProof/>
          </w:rPr>
          <w:t>31</w:t>
        </w:r>
        <w:r>
          <w:fldChar w:fldCharType="end"/>
        </w:r>
      </w:p>
    </w:sdtContent>
  </w:sdt>
  <w:p w14:paraId="6242799F" w14:textId="77777777" w:rsidR="002E2007" w:rsidRDefault="002E20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184682" w14:textId="77777777" w:rsidR="002E2007" w:rsidRDefault="002E2007" w:rsidP="00710D8A">
      <w:pPr>
        <w:spacing w:after="0" w:line="240" w:lineRule="auto"/>
      </w:pPr>
      <w:r>
        <w:separator/>
      </w:r>
    </w:p>
  </w:footnote>
  <w:footnote w:type="continuationSeparator" w:id="0">
    <w:p w14:paraId="68857C47" w14:textId="77777777" w:rsidR="002E2007" w:rsidRDefault="002E2007" w:rsidP="00710D8A">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80349"/>
    <w:multiLevelType w:val="hybridMultilevel"/>
    <w:tmpl w:val="FE48A500"/>
    <w:lvl w:ilvl="0" w:tplc="25C2FD1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3F23"/>
    <w:rsid w:val="00003E71"/>
    <w:rsid w:val="00012CD0"/>
    <w:rsid w:val="000162D4"/>
    <w:rsid w:val="00020DA1"/>
    <w:rsid w:val="00045147"/>
    <w:rsid w:val="000664E1"/>
    <w:rsid w:val="000A1C2C"/>
    <w:rsid w:val="000C65AD"/>
    <w:rsid w:val="000F61CB"/>
    <w:rsid w:val="001015F5"/>
    <w:rsid w:val="00105E47"/>
    <w:rsid w:val="00117CA3"/>
    <w:rsid w:val="001577E7"/>
    <w:rsid w:val="001638F9"/>
    <w:rsid w:val="00184208"/>
    <w:rsid w:val="001900E4"/>
    <w:rsid w:val="001B6346"/>
    <w:rsid w:val="001D026B"/>
    <w:rsid w:val="001E0ABA"/>
    <w:rsid w:val="00201F5E"/>
    <w:rsid w:val="00225CBE"/>
    <w:rsid w:val="00234135"/>
    <w:rsid w:val="00264B25"/>
    <w:rsid w:val="002810B7"/>
    <w:rsid w:val="00297301"/>
    <w:rsid w:val="002B5F08"/>
    <w:rsid w:val="002D65D6"/>
    <w:rsid w:val="002E2007"/>
    <w:rsid w:val="002F06FC"/>
    <w:rsid w:val="00306BE7"/>
    <w:rsid w:val="003574D6"/>
    <w:rsid w:val="00366347"/>
    <w:rsid w:val="00381B8B"/>
    <w:rsid w:val="003953B1"/>
    <w:rsid w:val="003D3FE9"/>
    <w:rsid w:val="00442DE6"/>
    <w:rsid w:val="004460B6"/>
    <w:rsid w:val="004A6C1D"/>
    <w:rsid w:val="004D491E"/>
    <w:rsid w:val="0052306B"/>
    <w:rsid w:val="005508EF"/>
    <w:rsid w:val="00573374"/>
    <w:rsid w:val="005D44B6"/>
    <w:rsid w:val="005F1658"/>
    <w:rsid w:val="0060349A"/>
    <w:rsid w:val="00605C0F"/>
    <w:rsid w:val="00616310"/>
    <w:rsid w:val="00643A17"/>
    <w:rsid w:val="00657BE9"/>
    <w:rsid w:val="00677C48"/>
    <w:rsid w:val="0068021E"/>
    <w:rsid w:val="006B7A8F"/>
    <w:rsid w:val="006F19D7"/>
    <w:rsid w:val="00710D8A"/>
    <w:rsid w:val="00725E62"/>
    <w:rsid w:val="00731471"/>
    <w:rsid w:val="00787D07"/>
    <w:rsid w:val="00794AB7"/>
    <w:rsid w:val="007951C1"/>
    <w:rsid w:val="00796720"/>
    <w:rsid w:val="00811930"/>
    <w:rsid w:val="008231B1"/>
    <w:rsid w:val="00841EA3"/>
    <w:rsid w:val="00861420"/>
    <w:rsid w:val="00875521"/>
    <w:rsid w:val="00877349"/>
    <w:rsid w:val="00885EB6"/>
    <w:rsid w:val="008935CA"/>
    <w:rsid w:val="00894530"/>
    <w:rsid w:val="008A1EC9"/>
    <w:rsid w:val="008C0744"/>
    <w:rsid w:val="008F6510"/>
    <w:rsid w:val="00904322"/>
    <w:rsid w:val="0091678A"/>
    <w:rsid w:val="00937733"/>
    <w:rsid w:val="00967568"/>
    <w:rsid w:val="00982736"/>
    <w:rsid w:val="00A17324"/>
    <w:rsid w:val="00A626A1"/>
    <w:rsid w:val="00A766FC"/>
    <w:rsid w:val="00AE4704"/>
    <w:rsid w:val="00AE7EAF"/>
    <w:rsid w:val="00B102C4"/>
    <w:rsid w:val="00B742FA"/>
    <w:rsid w:val="00B8391B"/>
    <w:rsid w:val="00B83F23"/>
    <w:rsid w:val="00BA1619"/>
    <w:rsid w:val="00BA7BDC"/>
    <w:rsid w:val="00BF3831"/>
    <w:rsid w:val="00C02077"/>
    <w:rsid w:val="00C10ADF"/>
    <w:rsid w:val="00C11FE6"/>
    <w:rsid w:val="00C54CE2"/>
    <w:rsid w:val="00C665DD"/>
    <w:rsid w:val="00C910D4"/>
    <w:rsid w:val="00CD1F8C"/>
    <w:rsid w:val="00CF598A"/>
    <w:rsid w:val="00D160A6"/>
    <w:rsid w:val="00D408A9"/>
    <w:rsid w:val="00D529AA"/>
    <w:rsid w:val="00D7203C"/>
    <w:rsid w:val="00D87B89"/>
    <w:rsid w:val="00DD70C6"/>
    <w:rsid w:val="00E04E6B"/>
    <w:rsid w:val="00EA471D"/>
    <w:rsid w:val="00EA50DA"/>
    <w:rsid w:val="00EB3A73"/>
    <w:rsid w:val="00EE53B4"/>
    <w:rsid w:val="00F151CA"/>
    <w:rsid w:val="00F47BF3"/>
    <w:rsid w:val="00F55C47"/>
    <w:rsid w:val="00F77B83"/>
    <w:rsid w:val="00F90FB6"/>
    <w:rsid w:val="00FC4FEC"/>
    <w:rsid w:val="00FD2FD6"/>
    <w:rsid w:val="00FE3D8A"/>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3FA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7BE9"/>
    <w:pPr>
      <w:keepNext/>
      <w:keepLines/>
      <w:spacing w:before="480" w:after="0" w:line="480" w:lineRule="auto"/>
      <w:outlineLvl w:val="0"/>
    </w:pPr>
    <w:rPr>
      <w:rFonts w:ascii="Times New Roman" w:eastAsiaTheme="majorEastAsia" w:hAnsi="Times New Roman" w:cstheme="majorBidi"/>
      <w:b/>
      <w:bCs/>
      <w:sz w:val="28"/>
      <w:szCs w:val="32"/>
    </w:rPr>
  </w:style>
  <w:style w:type="paragraph" w:styleId="Heading2">
    <w:name w:val="heading 2"/>
    <w:basedOn w:val="Normal"/>
    <w:next w:val="Normal"/>
    <w:link w:val="Heading2Char"/>
    <w:uiPriority w:val="9"/>
    <w:semiHidden/>
    <w:unhideWhenUsed/>
    <w:qFormat/>
    <w:rsid w:val="003574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657BE9"/>
    <w:pPr>
      <w:spacing w:before="100" w:beforeAutospacing="1" w:after="100" w:afterAutospacing="1" w:line="240" w:lineRule="auto"/>
      <w:outlineLvl w:val="4"/>
    </w:pPr>
    <w:rPr>
      <w:rFonts w:ascii="Times New Roman" w:eastAsia="Times New Roman" w:hAnsi="Times New Roman" w:cs="Times New Roman"/>
      <w:b/>
      <w:bCs/>
      <w:sz w:val="28"/>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9D7"/>
    <w:pPr>
      <w:spacing w:before="100" w:beforeAutospacing="1" w:after="142" w:line="288" w:lineRule="auto"/>
    </w:pPr>
    <w:rPr>
      <w:rFonts w:ascii="Times" w:hAnsi="Times" w:cs="Times New Roman"/>
      <w:sz w:val="20"/>
      <w:szCs w:val="20"/>
      <w:lang w:val="en-US"/>
    </w:rPr>
  </w:style>
  <w:style w:type="paragraph" w:styleId="ListParagraph">
    <w:name w:val="List Paragraph"/>
    <w:basedOn w:val="Normal"/>
    <w:uiPriority w:val="34"/>
    <w:qFormat/>
    <w:rsid w:val="00710D8A"/>
    <w:pPr>
      <w:ind w:left="720"/>
      <w:contextualSpacing/>
    </w:pPr>
  </w:style>
  <w:style w:type="paragraph" w:styleId="FootnoteText">
    <w:name w:val="footnote text"/>
    <w:basedOn w:val="Normal"/>
    <w:link w:val="FootnoteTextChar"/>
    <w:uiPriority w:val="99"/>
    <w:unhideWhenUsed/>
    <w:rsid w:val="00710D8A"/>
    <w:pPr>
      <w:spacing w:after="0" w:line="240" w:lineRule="auto"/>
    </w:pPr>
    <w:rPr>
      <w:sz w:val="24"/>
      <w:szCs w:val="24"/>
    </w:rPr>
  </w:style>
  <w:style w:type="character" w:customStyle="1" w:styleId="FootnoteTextChar">
    <w:name w:val="Footnote Text Char"/>
    <w:basedOn w:val="DefaultParagraphFont"/>
    <w:link w:val="FootnoteText"/>
    <w:uiPriority w:val="99"/>
    <w:rsid w:val="00710D8A"/>
    <w:rPr>
      <w:sz w:val="24"/>
      <w:szCs w:val="24"/>
    </w:rPr>
  </w:style>
  <w:style w:type="character" w:styleId="FootnoteReference">
    <w:name w:val="footnote reference"/>
    <w:basedOn w:val="DefaultParagraphFont"/>
    <w:uiPriority w:val="99"/>
    <w:unhideWhenUsed/>
    <w:rsid w:val="00710D8A"/>
    <w:rPr>
      <w:vertAlign w:val="superscript"/>
    </w:rPr>
  </w:style>
  <w:style w:type="character" w:styleId="Hyperlink">
    <w:name w:val="Hyperlink"/>
    <w:basedOn w:val="DefaultParagraphFont"/>
    <w:uiPriority w:val="99"/>
    <w:unhideWhenUsed/>
    <w:rsid w:val="00F90FB6"/>
    <w:rPr>
      <w:color w:val="0563C1" w:themeColor="hyperlink"/>
      <w:u w:val="single"/>
    </w:rPr>
  </w:style>
  <w:style w:type="paragraph" w:customStyle="1" w:styleId="Default">
    <w:name w:val="Default"/>
    <w:rsid w:val="00C910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657BE9"/>
    <w:rPr>
      <w:rFonts w:ascii="Times New Roman" w:eastAsia="Times New Roman" w:hAnsi="Times New Roman" w:cs="Times New Roman"/>
      <w:b/>
      <w:bCs/>
      <w:sz w:val="28"/>
      <w:szCs w:val="20"/>
      <w:lang w:eastAsia="cs-CZ"/>
    </w:rPr>
  </w:style>
  <w:style w:type="paragraph" w:styleId="Header">
    <w:name w:val="header"/>
    <w:basedOn w:val="Normal"/>
    <w:link w:val="HeaderChar"/>
    <w:uiPriority w:val="99"/>
    <w:unhideWhenUsed/>
    <w:rsid w:val="00105E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5E47"/>
  </w:style>
  <w:style w:type="paragraph" w:styleId="Footer">
    <w:name w:val="footer"/>
    <w:basedOn w:val="Normal"/>
    <w:link w:val="FooterChar"/>
    <w:uiPriority w:val="99"/>
    <w:unhideWhenUsed/>
    <w:rsid w:val="00105E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5E47"/>
  </w:style>
  <w:style w:type="paragraph" w:styleId="BalloonText">
    <w:name w:val="Balloon Text"/>
    <w:basedOn w:val="Normal"/>
    <w:link w:val="BalloonTextChar"/>
    <w:uiPriority w:val="99"/>
    <w:semiHidden/>
    <w:unhideWhenUsed/>
    <w:rsid w:val="00FD2F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2FD6"/>
    <w:rPr>
      <w:rFonts w:ascii="Lucida Grande" w:hAnsi="Lucida Grande" w:cs="Lucida Grande"/>
      <w:sz w:val="18"/>
      <w:szCs w:val="18"/>
    </w:rPr>
  </w:style>
  <w:style w:type="character" w:styleId="Strong">
    <w:name w:val="Strong"/>
    <w:basedOn w:val="DefaultParagraphFont"/>
    <w:uiPriority w:val="22"/>
    <w:qFormat/>
    <w:rsid w:val="0068021E"/>
    <w:rPr>
      <w:b/>
      <w:bCs/>
    </w:rPr>
  </w:style>
  <w:style w:type="character" w:customStyle="1" w:styleId="Heading1Char">
    <w:name w:val="Heading 1 Char"/>
    <w:basedOn w:val="DefaultParagraphFont"/>
    <w:link w:val="Heading1"/>
    <w:uiPriority w:val="9"/>
    <w:rsid w:val="00657BE9"/>
    <w:rPr>
      <w:rFonts w:ascii="Times New Roman" w:eastAsiaTheme="majorEastAsia" w:hAnsi="Times New Roman" w:cstheme="majorBidi"/>
      <w:b/>
      <w:bCs/>
      <w:sz w:val="28"/>
      <w:szCs w:val="32"/>
    </w:rPr>
  </w:style>
  <w:style w:type="paragraph" w:styleId="TOCHeading">
    <w:name w:val="TOC Heading"/>
    <w:basedOn w:val="Heading1"/>
    <w:next w:val="Normal"/>
    <w:uiPriority w:val="39"/>
    <w:unhideWhenUsed/>
    <w:qFormat/>
    <w:rsid w:val="00E04E6B"/>
    <w:pPr>
      <w:spacing w:line="276" w:lineRule="auto"/>
      <w:outlineLvl w:val="9"/>
    </w:pPr>
    <w:rPr>
      <w:color w:val="2E74B5" w:themeColor="accent1" w:themeShade="BF"/>
      <w:szCs w:val="28"/>
      <w:lang w:val="en-US"/>
    </w:rPr>
  </w:style>
  <w:style w:type="paragraph" w:styleId="TOC1">
    <w:name w:val="toc 1"/>
    <w:basedOn w:val="Normal"/>
    <w:next w:val="Normal"/>
    <w:autoRedefine/>
    <w:uiPriority w:val="39"/>
    <w:unhideWhenUsed/>
    <w:rsid w:val="00E04E6B"/>
    <w:pPr>
      <w:spacing w:before="120" w:after="0"/>
    </w:pPr>
    <w:rPr>
      <w:b/>
      <w:sz w:val="24"/>
      <w:szCs w:val="24"/>
    </w:rPr>
  </w:style>
  <w:style w:type="paragraph" w:styleId="TOC2">
    <w:name w:val="toc 2"/>
    <w:basedOn w:val="Normal"/>
    <w:next w:val="Normal"/>
    <w:autoRedefine/>
    <w:uiPriority w:val="39"/>
    <w:semiHidden/>
    <w:unhideWhenUsed/>
    <w:rsid w:val="00E04E6B"/>
    <w:pPr>
      <w:spacing w:after="0"/>
      <w:ind w:left="220"/>
    </w:pPr>
    <w:rPr>
      <w:b/>
    </w:rPr>
  </w:style>
  <w:style w:type="paragraph" w:styleId="TOC3">
    <w:name w:val="toc 3"/>
    <w:basedOn w:val="Normal"/>
    <w:next w:val="Normal"/>
    <w:autoRedefine/>
    <w:uiPriority w:val="39"/>
    <w:semiHidden/>
    <w:unhideWhenUsed/>
    <w:rsid w:val="00E04E6B"/>
    <w:pPr>
      <w:spacing w:after="0"/>
      <w:ind w:left="440"/>
    </w:pPr>
  </w:style>
  <w:style w:type="paragraph" w:styleId="TOC4">
    <w:name w:val="toc 4"/>
    <w:basedOn w:val="Normal"/>
    <w:next w:val="Normal"/>
    <w:autoRedefine/>
    <w:uiPriority w:val="39"/>
    <w:semiHidden/>
    <w:unhideWhenUsed/>
    <w:rsid w:val="00E04E6B"/>
    <w:pPr>
      <w:spacing w:after="0"/>
      <w:ind w:left="660"/>
    </w:pPr>
    <w:rPr>
      <w:sz w:val="20"/>
      <w:szCs w:val="20"/>
    </w:rPr>
  </w:style>
  <w:style w:type="paragraph" w:styleId="TOC5">
    <w:name w:val="toc 5"/>
    <w:basedOn w:val="Normal"/>
    <w:next w:val="Normal"/>
    <w:autoRedefine/>
    <w:uiPriority w:val="39"/>
    <w:semiHidden/>
    <w:unhideWhenUsed/>
    <w:rsid w:val="00E04E6B"/>
    <w:pPr>
      <w:spacing w:after="0"/>
      <w:ind w:left="880"/>
    </w:pPr>
    <w:rPr>
      <w:sz w:val="20"/>
      <w:szCs w:val="20"/>
    </w:rPr>
  </w:style>
  <w:style w:type="paragraph" w:styleId="TOC6">
    <w:name w:val="toc 6"/>
    <w:basedOn w:val="Normal"/>
    <w:next w:val="Normal"/>
    <w:autoRedefine/>
    <w:uiPriority w:val="39"/>
    <w:semiHidden/>
    <w:unhideWhenUsed/>
    <w:rsid w:val="00E04E6B"/>
    <w:pPr>
      <w:spacing w:after="0"/>
      <w:ind w:left="1100"/>
    </w:pPr>
    <w:rPr>
      <w:sz w:val="20"/>
      <w:szCs w:val="20"/>
    </w:rPr>
  </w:style>
  <w:style w:type="paragraph" w:styleId="TOC7">
    <w:name w:val="toc 7"/>
    <w:basedOn w:val="Normal"/>
    <w:next w:val="Normal"/>
    <w:autoRedefine/>
    <w:uiPriority w:val="39"/>
    <w:semiHidden/>
    <w:unhideWhenUsed/>
    <w:rsid w:val="00E04E6B"/>
    <w:pPr>
      <w:spacing w:after="0"/>
      <w:ind w:left="1320"/>
    </w:pPr>
    <w:rPr>
      <w:sz w:val="20"/>
      <w:szCs w:val="20"/>
    </w:rPr>
  </w:style>
  <w:style w:type="paragraph" w:styleId="TOC8">
    <w:name w:val="toc 8"/>
    <w:basedOn w:val="Normal"/>
    <w:next w:val="Normal"/>
    <w:autoRedefine/>
    <w:uiPriority w:val="39"/>
    <w:semiHidden/>
    <w:unhideWhenUsed/>
    <w:rsid w:val="00E04E6B"/>
    <w:pPr>
      <w:spacing w:after="0"/>
      <w:ind w:left="1540"/>
    </w:pPr>
    <w:rPr>
      <w:sz w:val="20"/>
      <w:szCs w:val="20"/>
    </w:rPr>
  </w:style>
  <w:style w:type="paragraph" w:styleId="TOC9">
    <w:name w:val="toc 9"/>
    <w:basedOn w:val="Normal"/>
    <w:next w:val="Normal"/>
    <w:autoRedefine/>
    <w:uiPriority w:val="39"/>
    <w:semiHidden/>
    <w:unhideWhenUsed/>
    <w:rsid w:val="00E04E6B"/>
    <w:pPr>
      <w:spacing w:after="0"/>
      <w:ind w:left="1760"/>
    </w:pPr>
    <w:rPr>
      <w:sz w:val="20"/>
      <w:szCs w:val="20"/>
    </w:rPr>
  </w:style>
  <w:style w:type="character" w:customStyle="1" w:styleId="Heading2Char">
    <w:name w:val="Heading 2 Char"/>
    <w:basedOn w:val="DefaultParagraphFont"/>
    <w:link w:val="Heading2"/>
    <w:uiPriority w:val="9"/>
    <w:semiHidden/>
    <w:rsid w:val="003574D6"/>
    <w:rPr>
      <w:rFonts w:asciiTheme="majorHAnsi" w:eastAsiaTheme="majorEastAsia" w:hAnsiTheme="majorHAnsi" w:cstheme="majorBidi"/>
      <w:color w:val="2E74B5"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57BE9"/>
    <w:pPr>
      <w:keepNext/>
      <w:keepLines/>
      <w:spacing w:before="480" w:after="0" w:line="480" w:lineRule="auto"/>
      <w:outlineLvl w:val="0"/>
    </w:pPr>
    <w:rPr>
      <w:rFonts w:ascii="Times New Roman" w:eastAsiaTheme="majorEastAsia" w:hAnsi="Times New Roman" w:cstheme="majorBidi"/>
      <w:b/>
      <w:bCs/>
      <w:sz w:val="28"/>
      <w:szCs w:val="32"/>
    </w:rPr>
  </w:style>
  <w:style w:type="paragraph" w:styleId="Heading2">
    <w:name w:val="heading 2"/>
    <w:basedOn w:val="Normal"/>
    <w:next w:val="Normal"/>
    <w:link w:val="Heading2Char"/>
    <w:uiPriority w:val="9"/>
    <w:semiHidden/>
    <w:unhideWhenUsed/>
    <w:qFormat/>
    <w:rsid w:val="003574D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link w:val="Heading5Char"/>
    <w:uiPriority w:val="9"/>
    <w:qFormat/>
    <w:rsid w:val="00657BE9"/>
    <w:pPr>
      <w:spacing w:before="100" w:beforeAutospacing="1" w:after="100" w:afterAutospacing="1" w:line="240" w:lineRule="auto"/>
      <w:outlineLvl w:val="4"/>
    </w:pPr>
    <w:rPr>
      <w:rFonts w:ascii="Times New Roman" w:eastAsia="Times New Roman" w:hAnsi="Times New Roman" w:cs="Times New Roman"/>
      <w:b/>
      <w:bCs/>
      <w:sz w:val="28"/>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F19D7"/>
    <w:pPr>
      <w:spacing w:before="100" w:beforeAutospacing="1" w:after="142" w:line="288" w:lineRule="auto"/>
    </w:pPr>
    <w:rPr>
      <w:rFonts w:ascii="Times" w:hAnsi="Times" w:cs="Times New Roman"/>
      <w:sz w:val="20"/>
      <w:szCs w:val="20"/>
      <w:lang w:val="en-US"/>
    </w:rPr>
  </w:style>
  <w:style w:type="paragraph" w:styleId="ListParagraph">
    <w:name w:val="List Paragraph"/>
    <w:basedOn w:val="Normal"/>
    <w:uiPriority w:val="34"/>
    <w:qFormat/>
    <w:rsid w:val="00710D8A"/>
    <w:pPr>
      <w:ind w:left="720"/>
      <w:contextualSpacing/>
    </w:pPr>
  </w:style>
  <w:style w:type="paragraph" w:styleId="FootnoteText">
    <w:name w:val="footnote text"/>
    <w:basedOn w:val="Normal"/>
    <w:link w:val="FootnoteTextChar"/>
    <w:uiPriority w:val="99"/>
    <w:unhideWhenUsed/>
    <w:rsid w:val="00710D8A"/>
    <w:pPr>
      <w:spacing w:after="0" w:line="240" w:lineRule="auto"/>
    </w:pPr>
    <w:rPr>
      <w:sz w:val="24"/>
      <w:szCs w:val="24"/>
    </w:rPr>
  </w:style>
  <w:style w:type="character" w:customStyle="1" w:styleId="FootnoteTextChar">
    <w:name w:val="Footnote Text Char"/>
    <w:basedOn w:val="DefaultParagraphFont"/>
    <w:link w:val="FootnoteText"/>
    <w:uiPriority w:val="99"/>
    <w:rsid w:val="00710D8A"/>
    <w:rPr>
      <w:sz w:val="24"/>
      <w:szCs w:val="24"/>
    </w:rPr>
  </w:style>
  <w:style w:type="character" w:styleId="FootnoteReference">
    <w:name w:val="footnote reference"/>
    <w:basedOn w:val="DefaultParagraphFont"/>
    <w:uiPriority w:val="99"/>
    <w:unhideWhenUsed/>
    <w:rsid w:val="00710D8A"/>
    <w:rPr>
      <w:vertAlign w:val="superscript"/>
    </w:rPr>
  </w:style>
  <w:style w:type="character" w:styleId="Hyperlink">
    <w:name w:val="Hyperlink"/>
    <w:basedOn w:val="DefaultParagraphFont"/>
    <w:uiPriority w:val="99"/>
    <w:unhideWhenUsed/>
    <w:rsid w:val="00F90FB6"/>
    <w:rPr>
      <w:color w:val="0563C1" w:themeColor="hyperlink"/>
      <w:u w:val="single"/>
    </w:rPr>
  </w:style>
  <w:style w:type="paragraph" w:customStyle="1" w:styleId="Default">
    <w:name w:val="Default"/>
    <w:rsid w:val="00C910D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5Char">
    <w:name w:val="Heading 5 Char"/>
    <w:basedOn w:val="DefaultParagraphFont"/>
    <w:link w:val="Heading5"/>
    <w:uiPriority w:val="9"/>
    <w:rsid w:val="00657BE9"/>
    <w:rPr>
      <w:rFonts w:ascii="Times New Roman" w:eastAsia="Times New Roman" w:hAnsi="Times New Roman" w:cs="Times New Roman"/>
      <w:b/>
      <w:bCs/>
      <w:sz w:val="28"/>
      <w:szCs w:val="20"/>
      <w:lang w:eastAsia="cs-CZ"/>
    </w:rPr>
  </w:style>
  <w:style w:type="paragraph" w:styleId="Header">
    <w:name w:val="header"/>
    <w:basedOn w:val="Normal"/>
    <w:link w:val="HeaderChar"/>
    <w:uiPriority w:val="99"/>
    <w:unhideWhenUsed/>
    <w:rsid w:val="00105E47"/>
    <w:pPr>
      <w:tabs>
        <w:tab w:val="center" w:pos="4536"/>
        <w:tab w:val="right" w:pos="9072"/>
      </w:tabs>
      <w:spacing w:after="0" w:line="240" w:lineRule="auto"/>
    </w:pPr>
  </w:style>
  <w:style w:type="character" w:customStyle="1" w:styleId="HeaderChar">
    <w:name w:val="Header Char"/>
    <w:basedOn w:val="DefaultParagraphFont"/>
    <w:link w:val="Header"/>
    <w:uiPriority w:val="99"/>
    <w:rsid w:val="00105E47"/>
  </w:style>
  <w:style w:type="paragraph" w:styleId="Footer">
    <w:name w:val="footer"/>
    <w:basedOn w:val="Normal"/>
    <w:link w:val="FooterChar"/>
    <w:uiPriority w:val="99"/>
    <w:unhideWhenUsed/>
    <w:rsid w:val="00105E47"/>
    <w:pPr>
      <w:tabs>
        <w:tab w:val="center" w:pos="4536"/>
        <w:tab w:val="right" w:pos="9072"/>
      </w:tabs>
      <w:spacing w:after="0" w:line="240" w:lineRule="auto"/>
    </w:pPr>
  </w:style>
  <w:style w:type="character" w:customStyle="1" w:styleId="FooterChar">
    <w:name w:val="Footer Char"/>
    <w:basedOn w:val="DefaultParagraphFont"/>
    <w:link w:val="Footer"/>
    <w:uiPriority w:val="99"/>
    <w:rsid w:val="00105E47"/>
  </w:style>
  <w:style w:type="paragraph" w:styleId="BalloonText">
    <w:name w:val="Balloon Text"/>
    <w:basedOn w:val="Normal"/>
    <w:link w:val="BalloonTextChar"/>
    <w:uiPriority w:val="99"/>
    <w:semiHidden/>
    <w:unhideWhenUsed/>
    <w:rsid w:val="00FD2FD6"/>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D2FD6"/>
    <w:rPr>
      <w:rFonts w:ascii="Lucida Grande" w:hAnsi="Lucida Grande" w:cs="Lucida Grande"/>
      <w:sz w:val="18"/>
      <w:szCs w:val="18"/>
    </w:rPr>
  </w:style>
  <w:style w:type="character" w:styleId="Strong">
    <w:name w:val="Strong"/>
    <w:basedOn w:val="DefaultParagraphFont"/>
    <w:uiPriority w:val="22"/>
    <w:qFormat/>
    <w:rsid w:val="0068021E"/>
    <w:rPr>
      <w:b/>
      <w:bCs/>
    </w:rPr>
  </w:style>
  <w:style w:type="character" w:customStyle="1" w:styleId="Heading1Char">
    <w:name w:val="Heading 1 Char"/>
    <w:basedOn w:val="DefaultParagraphFont"/>
    <w:link w:val="Heading1"/>
    <w:uiPriority w:val="9"/>
    <w:rsid w:val="00657BE9"/>
    <w:rPr>
      <w:rFonts w:ascii="Times New Roman" w:eastAsiaTheme="majorEastAsia" w:hAnsi="Times New Roman" w:cstheme="majorBidi"/>
      <w:b/>
      <w:bCs/>
      <w:sz w:val="28"/>
      <w:szCs w:val="32"/>
    </w:rPr>
  </w:style>
  <w:style w:type="paragraph" w:styleId="TOCHeading">
    <w:name w:val="TOC Heading"/>
    <w:basedOn w:val="Heading1"/>
    <w:next w:val="Normal"/>
    <w:uiPriority w:val="39"/>
    <w:unhideWhenUsed/>
    <w:qFormat/>
    <w:rsid w:val="00E04E6B"/>
    <w:pPr>
      <w:spacing w:line="276" w:lineRule="auto"/>
      <w:outlineLvl w:val="9"/>
    </w:pPr>
    <w:rPr>
      <w:color w:val="2E74B5" w:themeColor="accent1" w:themeShade="BF"/>
      <w:szCs w:val="28"/>
      <w:lang w:val="en-US"/>
    </w:rPr>
  </w:style>
  <w:style w:type="paragraph" w:styleId="TOC1">
    <w:name w:val="toc 1"/>
    <w:basedOn w:val="Normal"/>
    <w:next w:val="Normal"/>
    <w:autoRedefine/>
    <w:uiPriority w:val="39"/>
    <w:unhideWhenUsed/>
    <w:rsid w:val="00E04E6B"/>
    <w:pPr>
      <w:spacing w:before="120" w:after="0"/>
    </w:pPr>
    <w:rPr>
      <w:b/>
      <w:sz w:val="24"/>
      <w:szCs w:val="24"/>
    </w:rPr>
  </w:style>
  <w:style w:type="paragraph" w:styleId="TOC2">
    <w:name w:val="toc 2"/>
    <w:basedOn w:val="Normal"/>
    <w:next w:val="Normal"/>
    <w:autoRedefine/>
    <w:uiPriority w:val="39"/>
    <w:semiHidden/>
    <w:unhideWhenUsed/>
    <w:rsid w:val="00E04E6B"/>
    <w:pPr>
      <w:spacing w:after="0"/>
      <w:ind w:left="220"/>
    </w:pPr>
    <w:rPr>
      <w:b/>
    </w:rPr>
  </w:style>
  <w:style w:type="paragraph" w:styleId="TOC3">
    <w:name w:val="toc 3"/>
    <w:basedOn w:val="Normal"/>
    <w:next w:val="Normal"/>
    <w:autoRedefine/>
    <w:uiPriority w:val="39"/>
    <w:semiHidden/>
    <w:unhideWhenUsed/>
    <w:rsid w:val="00E04E6B"/>
    <w:pPr>
      <w:spacing w:after="0"/>
      <w:ind w:left="440"/>
    </w:pPr>
  </w:style>
  <w:style w:type="paragraph" w:styleId="TOC4">
    <w:name w:val="toc 4"/>
    <w:basedOn w:val="Normal"/>
    <w:next w:val="Normal"/>
    <w:autoRedefine/>
    <w:uiPriority w:val="39"/>
    <w:semiHidden/>
    <w:unhideWhenUsed/>
    <w:rsid w:val="00E04E6B"/>
    <w:pPr>
      <w:spacing w:after="0"/>
      <w:ind w:left="660"/>
    </w:pPr>
    <w:rPr>
      <w:sz w:val="20"/>
      <w:szCs w:val="20"/>
    </w:rPr>
  </w:style>
  <w:style w:type="paragraph" w:styleId="TOC5">
    <w:name w:val="toc 5"/>
    <w:basedOn w:val="Normal"/>
    <w:next w:val="Normal"/>
    <w:autoRedefine/>
    <w:uiPriority w:val="39"/>
    <w:semiHidden/>
    <w:unhideWhenUsed/>
    <w:rsid w:val="00E04E6B"/>
    <w:pPr>
      <w:spacing w:after="0"/>
      <w:ind w:left="880"/>
    </w:pPr>
    <w:rPr>
      <w:sz w:val="20"/>
      <w:szCs w:val="20"/>
    </w:rPr>
  </w:style>
  <w:style w:type="paragraph" w:styleId="TOC6">
    <w:name w:val="toc 6"/>
    <w:basedOn w:val="Normal"/>
    <w:next w:val="Normal"/>
    <w:autoRedefine/>
    <w:uiPriority w:val="39"/>
    <w:semiHidden/>
    <w:unhideWhenUsed/>
    <w:rsid w:val="00E04E6B"/>
    <w:pPr>
      <w:spacing w:after="0"/>
      <w:ind w:left="1100"/>
    </w:pPr>
    <w:rPr>
      <w:sz w:val="20"/>
      <w:szCs w:val="20"/>
    </w:rPr>
  </w:style>
  <w:style w:type="paragraph" w:styleId="TOC7">
    <w:name w:val="toc 7"/>
    <w:basedOn w:val="Normal"/>
    <w:next w:val="Normal"/>
    <w:autoRedefine/>
    <w:uiPriority w:val="39"/>
    <w:semiHidden/>
    <w:unhideWhenUsed/>
    <w:rsid w:val="00E04E6B"/>
    <w:pPr>
      <w:spacing w:after="0"/>
      <w:ind w:left="1320"/>
    </w:pPr>
    <w:rPr>
      <w:sz w:val="20"/>
      <w:szCs w:val="20"/>
    </w:rPr>
  </w:style>
  <w:style w:type="paragraph" w:styleId="TOC8">
    <w:name w:val="toc 8"/>
    <w:basedOn w:val="Normal"/>
    <w:next w:val="Normal"/>
    <w:autoRedefine/>
    <w:uiPriority w:val="39"/>
    <w:semiHidden/>
    <w:unhideWhenUsed/>
    <w:rsid w:val="00E04E6B"/>
    <w:pPr>
      <w:spacing w:after="0"/>
      <w:ind w:left="1540"/>
    </w:pPr>
    <w:rPr>
      <w:sz w:val="20"/>
      <w:szCs w:val="20"/>
    </w:rPr>
  </w:style>
  <w:style w:type="paragraph" w:styleId="TOC9">
    <w:name w:val="toc 9"/>
    <w:basedOn w:val="Normal"/>
    <w:next w:val="Normal"/>
    <w:autoRedefine/>
    <w:uiPriority w:val="39"/>
    <w:semiHidden/>
    <w:unhideWhenUsed/>
    <w:rsid w:val="00E04E6B"/>
    <w:pPr>
      <w:spacing w:after="0"/>
      <w:ind w:left="1760"/>
    </w:pPr>
    <w:rPr>
      <w:sz w:val="20"/>
      <w:szCs w:val="20"/>
    </w:rPr>
  </w:style>
  <w:style w:type="character" w:customStyle="1" w:styleId="Heading2Char">
    <w:name w:val="Heading 2 Char"/>
    <w:basedOn w:val="DefaultParagraphFont"/>
    <w:link w:val="Heading2"/>
    <w:uiPriority w:val="9"/>
    <w:semiHidden/>
    <w:rsid w:val="003574D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7203305">
      <w:bodyDiv w:val="1"/>
      <w:marLeft w:val="0"/>
      <w:marRight w:val="0"/>
      <w:marTop w:val="0"/>
      <w:marBottom w:val="0"/>
      <w:divBdr>
        <w:top w:val="none" w:sz="0" w:space="0" w:color="auto"/>
        <w:left w:val="none" w:sz="0" w:space="0" w:color="auto"/>
        <w:bottom w:val="none" w:sz="0" w:space="0" w:color="auto"/>
        <w:right w:val="none" w:sz="0" w:space="0" w:color="auto"/>
      </w:divBdr>
    </w:div>
    <w:div w:id="770246406">
      <w:bodyDiv w:val="1"/>
      <w:marLeft w:val="0"/>
      <w:marRight w:val="0"/>
      <w:marTop w:val="0"/>
      <w:marBottom w:val="0"/>
      <w:divBdr>
        <w:top w:val="none" w:sz="0" w:space="0" w:color="auto"/>
        <w:left w:val="none" w:sz="0" w:space="0" w:color="auto"/>
        <w:bottom w:val="none" w:sz="0" w:space="0" w:color="auto"/>
        <w:right w:val="none" w:sz="0" w:space="0" w:color="auto"/>
      </w:divBdr>
    </w:div>
    <w:div w:id="172367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faqs.org/minorities/South-Asia/Adivasis-of-India.html" TargetMode="External"/><Relationship Id="rId12" Type="http://schemas.openxmlformats.org/officeDocument/2006/relationships/hyperlink" Target="http://www.transparency.org/cpi2015" TargetMode="Externa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www.cia.gov/library/publications/the-world-factbook/fields/2129.html"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0EDFB-663A-8E43-9048-1863F13407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9184</Words>
  <Characters>52349</Characters>
  <Application>Microsoft Macintosh Word</Application>
  <DocSecurity>0</DocSecurity>
  <Lines>436</Lines>
  <Paragraphs>122</Paragraphs>
  <ScaleCrop>false</ScaleCrop>
  <HeadingPairs>
    <vt:vector size="2" baseType="variant">
      <vt:variant>
        <vt:lpstr>Název</vt:lpstr>
      </vt:variant>
      <vt:variant>
        <vt:i4>1</vt:i4>
      </vt:variant>
    </vt:vector>
  </HeadingPairs>
  <TitlesOfParts>
    <vt:vector size="1" baseType="lpstr">
      <vt:lpstr/>
    </vt:vector>
  </TitlesOfParts>
  <Company>Masarykova univerzita</Company>
  <LinksUpToDate>false</LinksUpToDate>
  <CharactersWithSpaces>61411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Fena</dc:creator>
  <cp:keywords/>
  <dc:description/>
  <cp:lastModifiedBy>Petr Fena </cp:lastModifiedBy>
  <cp:revision>3</cp:revision>
  <cp:lastPrinted>2017-01-04T20:59:00Z</cp:lastPrinted>
  <dcterms:created xsi:type="dcterms:W3CDTF">2017-01-04T20:59:00Z</dcterms:created>
  <dcterms:modified xsi:type="dcterms:W3CDTF">2017-01-04T20:59:00Z</dcterms:modified>
</cp:coreProperties>
</file>