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Default Extension="xlsx" ContentType="application/vnd.openxmlformats-officedocument.spreadsheetml.sheet"/>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C87" w:rsidRPr="00AA156E" w:rsidRDefault="00193C87" w:rsidP="00193C87">
      <w:pPr>
        <w:pStyle w:val="Zkladntext"/>
        <w:jc w:val="center"/>
        <w:rPr>
          <w:rFonts w:ascii="Times New Roman" w:hAnsi="Times New Roman"/>
          <w:spacing w:val="32"/>
          <w:sz w:val="32"/>
        </w:rPr>
      </w:pPr>
      <w:r w:rsidRPr="00AA156E">
        <w:rPr>
          <w:rFonts w:ascii="Times New Roman" w:hAnsi="Times New Roman"/>
          <w:spacing w:val="32"/>
          <w:sz w:val="32"/>
        </w:rPr>
        <w:t>Masarykova univerzita</w:t>
      </w:r>
    </w:p>
    <w:p w:rsidR="00193C87" w:rsidRDefault="00193C87" w:rsidP="00193C87">
      <w:pPr>
        <w:pStyle w:val="Diplomka-textodstavce"/>
        <w:spacing w:before="0" w:after="100" w:line="240" w:lineRule="auto"/>
        <w:jc w:val="center"/>
        <w:rPr>
          <w:bCs/>
          <w:sz w:val="32"/>
        </w:rPr>
      </w:pPr>
      <w:proofErr w:type="spellStart"/>
      <w:r>
        <w:rPr>
          <w:bCs/>
          <w:sz w:val="32"/>
        </w:rPr>
        <w:t>Ekonomicko</w:t>
      </w:r>
      <w:proofErr w:type="spellEnd"/>
      <w:r>
        <w:rPr>
          <w:bCs/>
          <w:sz w:val="32"/>
        </w:rPr>
        <w:noBreakHyphen/>
        <w:t>správní fakulta</w:t>
      </w:r>
    </w:p>
    <w:p w:rsidR="00193C87" w:rsidRDefault="00193C87" w:rsidP="00193C87">
      <w:pPr>
        <w:pStyle w:val="Diplomka-textodstavce"/>
        <w:spacing w:before="100" w:after="100" w:line="240" w:lineRule="auto"/>
        <w:jc w:val="center"/>
        <w:rPr>
          <w:b/>
        </w:rPr>
      </w:pPr>
      <w:r>
        <w:rPr>
          <w:b/>
          <w:noProof/>
          <w:lang w:val="sk-SK" w:eastAsia="sk-SK"/>
        </w:rPr>
        <w:drawing>
          <wp:anchor distT="0" distB="0" distL="114935" distR="114935" simplePos="0" relativeHeight="251659264" behindDoc="0" locked="0" layoutInCell="1" allowOverlap="1">
            <wp:simplePos x="0" y="0"/>
            <wp:positionH relativeFrom="column">
              <wp:posOffset>2138680</wp:posOffset>
            </wp:positionH>
            <wp:positionV relativeFrom="paragraph">
              <wp:posOffset>588645</wp:posOffset>
            </wp:positionV>
            <wp:extent cx="1438275" cy="1438275"/>
            <wp:effectExtent l="19050" t="0" r="9525" b="0"/>
            <wp:wrapTopAndBottom/>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438275" cy="1438275"/>
                    </a:xfrm>
                    <a:prstGeom prst="rect">
                      <a:avLst/>
                    </a:prstGeom>
                    <a:solidFill>
                      <a:srgbClr val="FFFFFF"/>
                    </a:solidFill>
                    <a:ln w="9525">
                      <a:noFill/>
                      <a:miter lim="800000"/>
                      <a:headEnd/>
                      <a:tailEnd/>
                    </a:ln>
                  </pic:spPr>
                </pic:pic>
              </a:graphicData>
            </a:graphic>
          </wp:anchor>
        </w:drawing>
      </w:r>
      <w:r>
        <w:rPr>
          <w:b/>
        </w:rPr>
        <w:t>Studijní obor: Finance</w:t>
      </w:r>
    </w:p>
    <w:p w:rsidR="00193C87" w:rsidRDefault="00193C87" w:rsidP="00193C87">
      <w:pPr>
        <w:pStyle w:val="Diplomka-textodstavce"/>
        <w:spacing w:before="100" w:after="100" w:line="240" w:lineRule="auto"/>
        <w:rPr>
          <w:b/>
        </w:rPr>
      </w:pPr>
    </w:p>
    <w:p w:rsidR="00193C87" w:rsidRDefault="00193C87" w:rsidP="00193C87">
      <w:pPr>
        <w:pStyle w:val="Diplomka-textodstavce"/>
        <w:spacing w:before="100" w:after="100" w:line="240" w:lineRule="auto"/>
        <w:jc w:val="center"/>
        <w:rPr>
          <w:b/>
        </w:rPr>
      </w:pPr>
    </w:p>
    <w:p w:rsidR="00193C87" w:rsidRDefault="00193C87" w:rsidP="00193C87">
      <w:pPr>
        <w:pStyle w:val="Zkladntext"/>
        <w:jc w:val="center"/>
      </w:pPr>
    </w:p>
    <w:p w:rsidR="00193C87" w:rsidRPr="00AA156E" w:rsidRDefault="00193C87" w:rsidP="00193C87">
      <w:pPr>
        <w:pStyle w:val="Zkladntext"/>
        <w:spacing w:before="240"/>
        <w:jc w:val="center"/>
        <w:rPr>
          <w:rFonts w:ascii="Times New Roman" w:hAnsi="Times New Roman"/>
          <w:bCs/>
          <w:caps/>
          <w:sz w:val="44"/>
        </w:rPr>
      </w:pPr>
      <w:r>
        <w:rPr>
          <w:rFonts w:ascii="Times New Roman" w:hAnsi="Times New Roman"/>
          <w:bCs/>
          <w:caps/>
          <w:sz w:val="44"/>
        </w:rPr>
        <w:t>účETNí A DAŇOVÉ ASPEKTY REZERV V dŮLNÍ čINNOSTI</w:t>
      </w:r>
    </w:p>
    <w:p w:rsidR="00193C87" w:rsidRDefault="00193C87" w:rsidP="00193C87">
      <w:pPr>
        <w:spacing w:before="480"/>
        <w:jc w:val="center"/>
        <w:rPr>
          <w:bCs/>
          <w:sz w:val="32"/>
        </w:rPr>
      </w:pPr>
      <w:r>
        <w:rPr>
          <w:bCs/>
          <w:sz w:val="32"/>
        </w:rPr>
        <w:t>ACCOUNTING AND TAX ASPECTS OF RESERVE FORMATION IN MINIG BUSINESS</w:t>
      </w:r>
    </w:p>
    <w:p w:rsidR="00193C87" w:rsidRPr="00AA156E" w:rsidRDefault="00193C87" w:rsidP="00193C87">
      <w:pPr>
        <w:spacing w:before="480"/>
        <w:jc w:val="center"/>
        <w:rPr>
          <w:bCs/>
          <w:sz w:val="32"/>
        </w:rPr>
      </w:pPr>
      <w:proofErr w:type="spellStart"/>
      <w:r w:rsidRPr="00AA156E">
        <w:rPr>
          <w:bCs/>
          <w:sz w:val="32"/>
        </w:rPr>
        <w:t>Bakalářská</w:t>
      </w:r>
      <w:proofErr w:type="spellEnd"/>
      <w:r w:rsidRPr="00AA156E">
        <w:rPr>
          <w:bCs/>
          <w:sz w:val="32"/>
        </w:rPr>
        <w:t xml:space="preserve"> práce</w:t>
      </w:r>
    </w:p>
    <w:p w:rsidR="00193C87" w:rsidRPr="00AA156E" w:rsidRDefault="00A16F56" w:rsidP="00193C87">
      <w:pPr>
        <w:pStyle w:val="Zkladntext"/>
        <w:spacing w:before="3960"/>
        <w:jc w:val="left"/>
        <w:rPr>
          <w:rFonts w:ascii="Times New Roman" w:hAnsi="Times New Roman"/>
          <w:sz w:val="26"/>
        </w:rPr>
      </w:pPr>
      <w:r>
        <w:rPr>
          <w:rFonts w:ascii="Times New Roman" w:hAnsi="Times New Roman"/>
          <w:sz w:val="26"/>
        </w:rPr>
        <w:t>Vedoucí práce:</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sidR="00193C87" w:rsidRPr="00AA156E">
        <w:rPr>
          <w:rFonts w:ascii="Times New Roman" w:hAnsi="Times New Roman"/>
          <w:sz w:val="26"/>
        </w:rPr>
        <w:tab/>
      </w:r>
      <w:r w:rsidR="00193C87">
        <w:rPr>
          <w:rFonts w:ascii="Times New Roman" w:hAnsi="Times New Roman"/>
          <w:sz w:val="26"/>
        </w:rPr>
        <w:tab/>
      </w:r>
      <w:r w:rsidR="00193C87" w:rsidRPr="00AA156E">
        <w:rPr>
          <w:rFonts w:ascii="Times New Roman" w:hAnsi="Times New Roman"/>
          <w:sz w:val="26"/>
        </w:rPr>
        <w:t>Autor:</w:t>
      </w:r>
    </w:p>
    <w:p w:rsidR="00193C87" w:rsidRDefault="00193C87" w:rsidP="00193C87">
      <w:pPr>
        <w:pStyle w:val="Zkladntext"/>
        <w:jc w:val="left"/>
        <w:rPr>
          <w:rFonts w:ascii="Times New Roman" w:hAnsi="Times New Roman"/>
          <w:sz w:val="26"/>
        </w:rPr>
      </w:pPr>
      <w:r>
        <w:rPr>
          <w:rFonts w:ascii="Times New Roman" w:hAnsi="Times New Roman"/>
          <w:sz w:val="26"/>
        </w:rPr>
        <w:t>Ing. Zuzana Křížová, PhD.</w:t>
      </w:r>
      <w:r w:rsidRPr="00AA156E">
        <w:rPr>
          <w:rFonts w:ascii="Times New Roman" w:hAnsi="Times New Roman"/>
          <w:sz w:val="26"/>
        </w:rPr>
        <w:tab/>
      </w:r>
      <w:r w:rsidRPr="00AA156E">
        <w:rPr>
          <w:rFonts w:ascii="Times New Roman" w:hAnsi="Times New Roman"/>
          <w:sz w:val="26"/>
        </w:rPr>
        <w:tab/>
      </w:r>
      <w:r w:rsidRPr="00AA156E">
        <w:rPr>
          <w:rFonts w:ascii="Times New Roman" w:hAnsi="Times New Roman"/>
          <w:sz w:val="26"/>
        </w:rPr>
        <w:tab/>
      </w:r>
      <w:r w:rsidRPr="00AA156E">
        <w:rPr>
          <w:rFonts w:ascii="Times New Roman" w:hAnsi="Times New Roman"/>
          <w:sz w:val="26"/>
        </w:rPr>
        <w:tab/>
      </w:r>
      <w:r w:rsidRPr="00AA156E">
        <w:rPr>
          <w:rFonts w:ascii="Times New Roman" w:hAnsi="Times New Roman"/>
          <w:sz w:val="26"/>
        </w:rPr>
        <w:tab/>
      </w:r>
      <w:r>
        <w:rPr>
          <w:rFonts w:ascii="Times New Roman" w:hAnsi="Times New Roman"/>
          <w:sz w:val="26"/>
        </w:rPr>
        <w:tab/>
        <w:t xml:space="preserve">Erika </w:t>
      </w:r>
      <w:proofErr w:type="spellStart"/>
      <w:r>
        <w:rPr>
          <w:rFonts w:ascii="Times New Roman" w:hAnsi="Times New Roman"/>
          <w:sz w:val="26"/>
        </w:rPr>
        <w:t>Hoppanová</w:t>
      </w:r>
      <w:proofErr w:type="spellEnd"/>
    </w:p>
    <w:p w:rsidR="00193C87" w:rsidRDefault="00193C87" w:rsidP="00193C87">
      <w:pPr>
        <w:pStyle w:val="Zkladntext"/>
        <w:jc w:val="left"/>
        <w:rPr>
          <w:rFonts w:ascii="Times New Roman" w:hAnsi="Times New Roman"/>
          <w:sz w:val="26"/>
        </w:rPr>
      </w:pPr>
    </w:p>
    <w:p w:rsidR="00193C87" w:rsidRDefault="00193C87" w:rsidP="00193C87">
      <w:pPr>
        <w:pStyle w:val="Zkladntext"/>
        <w:jc w:val="left"/>
        <w:rPr>
          <w:rFonts w:ascii="Times New Roman" w:hAnsi="Times New Roman"/>
          <w:sz w:val="26"/>
        </w:rPr>
      </w:pPr>
    </w:p>
    <w:p w:rsidR="00193C87" w:rsidRPr="00C23C61" w:rsidRDefault="00193C87" w:rsidP="00193C87">
      <w:pPr>
        <w:pStyle w:val="Zkladntext"/>
        <w:jc w:val="center"/>
        <w:rPr>
          <w:rFonts w:ascii="Times New Roman" w:hAnsi="Times New Roman"/>
          <w:caps/>
          <w:sz w:val="24"/>
        </w:rPr>
      </w:pPr>
      <w:r w:rsidRPr="00F11EB2">
        <w:rPr>
          <w:rFonts w:ascii="Times New Roman" w:hAnsi="Times New Roman"/>
          <w:sz w:val="24"/>
        </w:rPr>
        <w:t>Brno, 201</w:t>
      </w:r>
      <w:r>
        <w:rPr>
          <w:rFonts w:ascii="Times New Roman" w:hAnsi="Times New Roman"/>
          <w:sz w:val="24"/>
        </w:rPr>
        <w:t>6</w:t>
      </w:r>
    </w:p>
    <w:p w:rsidR="00193C87" w:rsidRDefault="00193C87" w:rsidP="00193C87">
      <w:r>
        <w:br w:type="page"/>
      </w:r>
    </w:p>
    <w:p w:rsidR="00A16F56" w:rsidRDefault="00A16F56" w:rsidP="00A74B37">
      <w:pPr>
        <w:rPr>
          <w:rFonts w:cs="Times New Roman"/>
          <w:szCs w:val="24"/>
        </w:rPr>
      </w:pPr>
    </w:p>
    <w:p w:rsidR="00A16F56" w:rsidRDefault="00A16F56">
      <w:pPr>
        <w:rPr>
          <w:rFonts w:cs="Times New Roman"/>
          <w:szCs w:val="24"/>
        </w:rPr>
      </w:pPr>
      <w:r>
        <w:rPr>
          <w:rFonts w:cs="Times New Roman"/>
          <w:szCs w:val="24"/>
        </w:rPr>
        <w:br w:type="page"/>
      </w:r>
    </w:p>
    <w:p w:rsidR="00292073" w:rsidRDefault="00292073" w:rsidP="00A74B37">
      <w:pPr>
        <w:rPr>
          <w:rFonts w:cs="Times New Roman"/>
          <w:szCs w:val="24"/>
        </w:rPr>
      </w:pPr>
    </w:p>
    <w:p w:rsidR="00292073" w:rsidRDefault="00292073">
      <w:pPr>
        <w:rPr>
          <w:rFonts w:cs="Times New Roman"/>
          <w:szCs w:val="24"/>
        </w:rPr>
      </w:pPr>
      <w:r>
        <w:rPr>
          <w:rFonts w:cs="Times New Roman"/>
          <w:noProof/>
          <w:szCs w:val="24"/>
          <w:lang w:eastAsia="sk-SK"/>
        </w:rPr>
        <w:drawing>
          <wp:inline distT="0" distB="0" distL="0" distR="0">
            <wp:extent cx="5759450" cy="8146415"/>
            <wp:effectExtent l="19050" t="0" r="0" b="0"/>
            <wp:docPr id="5" name="Obrázok 4" descr="is_tisk-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_tisk-3-1.jpg"/>
                    <pic:cNvPicPr/>
                  </pic:nvPicPr>
                  <pic:blipFill>
                    <a:blip r:embed="rId9" cstate="print"/>
                    <a:stretch>
                      <a:fillRect/>
                    </a:stretch>
                  </pic:blipFill>
                  <pic:spPr>
                    <a:xfrm>
                      <a:off x="0" y="0"/>
                      <a:ext cx="5759450" cy="8146415"/>
                    </a:xfrm>
                    <a:prstGeom prst="rect">
                      <a:avLst/>
                    </a:prstGeom>
                  </pic:spPr>
                </pic:pic>
              </a:graphicData>
            </a:graphic>
          </wp:inline>
        </w:drawing>
      </w:r>
      <w:r>
        <w:rPr>
          <w:rFonts w:cs="Times New Roman"/>
          <w:szCs w:val="24"/>
        </w:rPr>
        <w:br w:type="page"/>
      </w:r>
    </w:p>
    <w:p w:rsidR="00292073" w:rsidRDefault="00292073" w:rsidP="00A74B37">
      <w:pPr>
        <w:rPr>
          <w:rFonts w:cs="Times New Roman"/>
          <w:szCs w:val="24"/>
        </w:rPr>
      </w:pPr>
    </w:p>
    <w:p w:rsidR="00292073" w:rsidRDefault="00292073">
      <w:pPr>
        <w:rPr>
          <w:rFonts w:cs="Times New Roman"/>
          <w:szCs w:val="24"/>
        </w:rPr>
      </w:pPr>
      <w:r>
        <w:rPr>
          <w:rFonts w:cs="Times New Roman"/>
          <w:noProof/>
          <w:szCs w:val="24"/>
          <w:lang w:eastAsia="sk-SK"/>
        </w:rPr>
        <w:drawing>
          <wp:inline distT="0" distB="0" distL="0" distR="0">
            <wp:extent cx="5759450" cy="8146415"/>
            <wp:effectExtent l="19050" t="0" r="0" b="0"/>
            <wp:docPr id="7" name="Obrázok 6" descr="is_tisk-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_tisk-3-2.jpg"/>
                    <pic:cNvPicPr/>
                  </pic:nvPicPr>
                  <pic:blipFill>
                    <a:blip r:embed="rId10" cstate="print"/>
                    <a:stretch>
                      <a:fillRect/>
                    </a:stretch>
                  </pic:blipFill>
                  <pic:spPr>
                    <a:xfrm>
                      <a:off x="0" y="0"/>
                      <a:ext cx="5759450" cy="8146415"/>
                    </a:xfrm>
                    <a:prstGeom prst="rect">
                      <a:avLst/>
                    </a:prstGeom>
                  </pic:spPr>
                </pic:pic>
              </a:graphicData>
            </a:graphic>
          </wp:inline>
        </w:drawing>
      </w:r>
      <w:r>
        <w:rPr>
          <w:rFonts w:cs="Times New Roman"/>
          <w:szCs w:val="24"/>
        </w:rPr>
        <w:br w:type="page"/>
      </w:r>
    </w:p>
    <w:p w:rsidR="00A16F56" w:rsidRDefault="00A16F56" w:rsidP="00A74B37">
      <w:pPr>
        <w:rPr>
          <w:rFonts w:cs="Times New Roman"/>
          <w:szCs w:val="24"/>
        </w:rPr>
      </w:pPr>
      <w:r>
        <w:rPr>
          <w:rFonts w:cs="Times New Roman"/>
          <w:szCs w:val="24"/>
        </w:rPr>
        <w:lastRenderedPageBreak/>
        <w:t>Meno a priezvisko autora:</w:t>
      </w:r>
      <w:r>
        <w:rPr>
          <w:rFonts w:cs="Times New Roman"/>
          <w:szCs w:val="24"/>
        </w:rPr>
        <w:tab/>
      </w:r>
      <w:r>
        <w:rPr>
          <w:rFonts w:cs="Times New Roman"/>
          <w:szCs w:val="24"/>
        </w:rPr>
        <w:tab/>
        <w:t xml:space="preserve">Erika </w:t>
      </w:r>
      <w:proofErr w:type="spellStart"/>
      <w:r>
        <w:rPr>
          <w:rFonts w:cs="Times New Roman"/>
          <w:szCs w:val="24"/>
        </w:rPr>
        <w:t>Hoppanová</w:t>
      </w:r>
      <w:proofErr w:type="spellEnd"/>
      <w:r>
        <w:rPr>
          <w:rFonts w:cs="Times New Roman"/>
          <w:szCs w:val="24"/>
        </w:rPr>
        <w:t xml:space="preserve"> </w:t>
      </w:r>
    </w:p>
    <w:p w:rsidR="00A74B37" w:rsidRDefault="00A74B37" w:rsidP="00A74B37">
      <w:pPr>
        <w:rPr>
          <w:rFonts w:cs="Times New Roman"/>
          <w:szCs w:val="24"/>
        </w:rPr>
      </w:pPr>
      <w:r>
        <w:rPr>
          <w:rFonts w:cs="Times New Roman"/>
          <w:szCs w:val="24"/>
        </w:rPr>
        <w:t>Názov bakalárskej práce:</w:t>
      </w:r>
      <w:r>
        <w:rPr>
          <w:rFonts w:cs="Times New Roman"/>
          <w:szCs w:val="24"/>
        </w:rPr>
        <w:tab/>
      </w:r>
      <w:r>
        <w:rPr>
          <w:rFonts w:cs="Times New Roman"/>
          <w:szCs w:val="24"/>
        </w:rPr>
        <w:tab/>
      </w:r>
      <w:proofErr w:type="spellStart"/>
      <w:r>
        <w:rPr>
          <w:rFonts w:cs="Times New Roman"/>
          <w:szCs w:val="24"/>
        </w:rPr>
        <w:t>Účetní</w:t>
      </w:r>
      <w:proofErr w:type="spellEnd"/>
      <w:r>
        <w:rPr>
          <w:rFonts w:cs="Times New Roman"/>
          <w:szCs w:val="24"/>
        </w:rPr>
        <w:t xml:space="preserve"> a daňové aspekty rezerv v </w:t>
      </w:r>
      <w:proofErr w:type="spellStart"/>
      <w:r>
        <w:rPr>
          <w:rFonts w:cs="Times New Roman"/>
          <w:szCs w:val="24"/>
        </w:rPr>
        <w:t>důlní</w:t>
      </w:r>
      <w:proofErr w:type="spellEnd"/>
      <w:r>
        <w:rPr>
          <w:rFonts w:cs="Times New Roman"/>
          <w:szCs w:val="24"/>
        </w:rPr>
        <w:t xml:space="preserve"> činnosti</w:t>
      </w:r>
    </w:p>
    <w:p w:rsidR="00A74B37" w:rsidRPr="0031476D" w:rsidRDefault="00A74B37" w:rsidP="00A74B37">
      <w:pPr>
        <w:shd w:val="clear" w:color="auto" w:fill="FFFFFF"/>
        <w:spacing w:line="240" w:lineRule="auto"/>
        <w:rPr>
          <w:rFonts w:ascii="Arial" w:eastAsia="Times New Roman" w:hAnsi="Arial" w:cs="Arial"/>
          <w:sz w:val="18"/>
          <w:szCs w:val="18"/>
          <w:lang w:eastAsia="sk-SK"/>
        </w:rPr>
      </w:pPr>
      <w:r>
        <w:rPr>
          <w:rFonts w:cs="Times New Roman"/>
          <w:szCs w:val="24"/>
        </w:rPr>
        <w:t>Názov práce v angličtine:</w:t>
      </w:r>
      <w:r>
        <w:rPr>
          <w:rFonts w:cs="Times New Roman"/>
          <w:szCs w:val="24"/>
        </w:rPr>
        <w:tab/>
      </w:r>
      <w:r>
        <w:rPr>
          <w:rFonts w:cs="Times New Roman"/>
          <w:szCs w:val="24"/>
        </w:rPr>
        <w:tab/>
      </w:r>
      <w:proofErr w:type="spellStart"/>
      <w:r w:rsidRPr="0031476D">
        <w:rPr>
          <w:rFonts w:eastAsia="Times New Roman" w:cs="Times New Roman"/>
          <w:szCs w:val="24"/>
          <w:lang w:eastAsia="sk-SK"/>
        </w:rPr>
        <w:t>Accounting</w:t>
      </w:r>
      <w:proofErr w:type="spellEnd"/>
      <w:r w:rsidRPr="0031476D">
        <w:rPr>
          <w:rFonts w:eastAsia="Times New Roman" w:cs="Times New Roman"/>
          <w:szCs w:val="24"/>
          <w:lang w:eastAsia="sk-SK"/>
        </w:rPr>
        <w:t xml:space="preserve"> and </w:t>
      </w:r>
      <w:proofErr w:type="spellStart"/>
      <w:r w:rsidRPr="0031476D">
        <w:rPr>
          <w:rFonts w:eastAsia="Times New Roman" w:cs="Times New Roman"/>
          <w:szCs w:val="24"/>
          <w:lang w:eastAsia="sk-SK"/>
        </w:rPr>
        <w:t>tax</w:t>
      </w:r>
      <w:proofErr w:type="spellEnd"/>
      <w:r w:rsidRPr="0031476D">
        <w:rPr>
          <w:rFonts w:eastAsia="Times New Roman" w:cs="Times New Roman"/>
          <w:szCs w:val="24"/>
          <w:lang w:eastAsia="sk-SK"/>
        </w:rPr>
        <w:t xml:space="preserve"> </w:t>
      </w:r>
      <w:proofErr w:type="spellStart"/>
      <w:r w:rsidRPr="0031476D">
        <w:rPr>
          <w:rFonts w:eastAsia="Times New Roman" w:cs="Times New Roman"/>
          <w:szCs w:val="24"/>
          <w:lang w:eastAsia="sk-SK"/>
        </w:rPr>
        <w:t>aspects</w:t>
      </w:r>
      <w:proofErr w:type="spellEnd"/>
      <w:r w:rsidRPr="0031476D">
        <w:rPr>
          <w:rFonts w:eastAsia="Times New Roman" w:cs="Times New Roman"/>
          <w:szCs w:val="24"/>
          <w:lang w:eastAsia="sk-SK"/>
        </w:rPr>
        <w:t xml:space="preserve"> </w:t>
      </w:r>
      <w:proofErr w:type="spellStart"/>
      <w:r w:rsidRPr="0031476D">
        <w:rPr>
          <w:rFonts w:eastAsia="Times New Roman" w:cs="Times New Roman"/>
          <w:szCs w:val="24"/>
          <w:lang w:eastAsia="sk-SK"/>
        </w:rPr>
        <w:t>of</w:t>
      </w:r>
      <w:proofErr w:type="spellEnd"/>
      <w:r w:rsidRPr="0031476D">
        <w:rPr>
          <w:rFonts w:eastAsia="Times New Roman" w:cs="Times New Roman"/>
          <w:szCs w:val="24"/>
          <w:lang w:eastAsia="sk-SK"/>
        </w:rPr>
        <w:t xml:space="preserve"> </w:t>
      </w:r>
      <w:proofErr w:type="spellStart"/>
      <w:r w:rsidRPr="0031476D">
        <w:rPr>
          <w:rFonts w:eastAsia="Times New Roman" w:cs="Times New Roman"/>
          <w:szCs w:val="24"/>
          <w:lang w:eastAsia="sk-SK"/>
        </w:rPr>
        <w:t>reserve</w:t>
      </w:r>
      <w:proofErr w:type="spellEnd"/>
      <w:r w:rsidRPr="0031476D">
        <w:rPr>
          <w:rFonts w:eastAsia="Times New Roman" w:cs="Times New Roman"/>
          <w:szCs w:val="24"/>
          <w:lang w:eastAsia="sk-SK"/>
        </w:rPr>
        <w:t xml:space="preserve"> </w:t>
      </w:r>
      <w:proofErr w:type="spellStart"/>
      <w:r w:rsidRPr="0031476D">
        <w:rPr>
          <w:rFonts w:eastAsia="Times New Roman" w:cs="Times New Roman"/>
          <w:szCs w:val="24"/>
          <w:lang w:eastAsia="sk-SK"/>
        </w:rPr>
        <w:t>formation</w:t>
      </w:r>
      <w:proofErr w:type="spellEnd"/>
      <w:r w:rsidRPr="0031476D">
        <w:rPr>
          <w:rFonts w:eastAsia="Times New Roman" w:cs="Times New Roman"/>
          <w:szCs w:val="24"/>
          <w:lang w:eastAsia="sk-SK"/>
        </w:rPr>
        <w:t xml:space="preserve"> in </w:t>
      </w:r>
      <w:r>
        <w:rPr>
          <w:rFonts w:eastAsia="Times New Roman" w:cs="Times New Roman"/>
          <w:szCs w:val="24"/>
          <w:lang w:eastAsia="sk-SK"/>
        </w:rPr>
        <w:tab/>
      </w:r>
      <w:r>
        <w:rPr>
          <w:rFonts w:eastAsia="Times New Roman" w:cs="Times New Roman"/>
          <w:szCs w:val="24"/>
          <w:lang w:eastAsia="sk-SK"/>
        </w:rPr>
        <w:tab/>
      </w:r>
      <w:r>
        <w:rPr>
          <w:rFonts w:eastAsia="Times New Roman" w:cs="Times New Roman"/>
          <w:szCs w:val="24"/>
          <w:lang w:eastAsia="sk-SK"/>
        </w:rPr>
        <w:tab/>
      </w:r>
      <w:r>
        <w:rPr>
          <w:rFonts w:eastAsia="Times New Roman" w:cs="Times New Roman"/>
          <w:szCs w:val="24"/>
          <w:lang w:eastAsia="sk-SK"/>
        </w:rPr>
        <w:tab/>
      </w:r>
      <w:r>
        <w:rPr>
          <w:rFonts w:eastAsia="Times New Roman" w:cs="Times New Roman"/>
          <w:szCs w:val="24"/>
          <w:lang w:eastAsia="sk-SK"/>
        </w:rPr>
        <w:tab/>
      </w:r>
      <w:r w:rsidR="00AD18A6">
        <w:rPr>
          <w:rFonts w:eastAsia="Times New Roman" w:cs="Times New Roman"/>
          <w:szCs w:val="24"/>
          <w:lang w:eastAsia="sk-SK"/>
        </w:rPr>
        <w:tab/>
      </w:r>
      <w:proofErr w:type="spellStart"/>
      <w:r w:rsidRPr="0031476D">
        <w:rPr>
          <w:rFonts w:eastAsia="Times New Roman" w:cs="Times New Roman"/>
          <w:szCs w:val="24"/>
          <w:lang w:eastAsia="sk-SK"/>
        </w:rPr>
        <w:t>mining</w:t>
      </w:r>
      <w:proofErr w:type="spellEnd"/>
      <w:r w:rsidRPr="0031476D">
        <w:rPr>
          <w:rFonts w:eastAsia="Times New Roman" w:cs="Times New Roman"/>
          <w:szCs w:val="24"/>
          <w:lang w:eastAsia="sk-SK"/>
        </w:rPr>
        <w:t xml:space="preserve"> </w:t>
      </w:r>
      <w:proofErr w:type="spellStart"/>
      <w:r w:rsidRPr="0031476D">
        <w:rPr>
          <w:rFonts w:eastAsia="Times New Roman" w:cs="Times New Roman"/>
          <w:szCs w:val="24"/>
          <w:lang w:eastAsia="sk-SK"/>
        </w:rPr>
        <w:t>business</w:t>
      </w:r>
      <w:proofErr w:type="spellEnd"/>
    </w:p>
    <w:p w:rsidR="00A74B37" w:rsidRDefault="00A74B37" w:rsidP="00A74B37">
      <w:pPr>
        <w:rPr>
          <w:rFonts w:cs="Times New Roman"/>
          <w:szCs w:val="24"/>
        </w:rPr>
      </w:pPr>
      <w:r>
        <w:rPr>
          <w:rFonts w:cs="Times New Roman"/>
          <w:szCs w:val="24"/>
        </w:rPr>
        <w:t>Katedra:</w:t>
      </w:r>
      <w:r>
        <w:rPr>
          <w:rFonts w:cs="Times New Roman"/>
          <w:szCs w:val="24"/>
        </w:rPr>
        <w:tab/>
      </w:r>
      <w:r>
        <w:rPr>
          <w:rFonts w:cs="Times New Roman"/>
          <w:szCs w:val="24"/>
        </w:rPr>
        <w:tab/>
      </w:r>
      <w:r>
        <w:rPr>
          <w:rFonts w:cs="Times New Roman"/>
          <w:szCs w:val="24"/>
        </w:rPr>
        <w:tab/>
      </w:r>
      <w:r>
        <w:rPr>
          <w:rFonts w:cs="Times New Roman"/>
          <w:szCs w:val="24"/>
        </w:rPr>
        <w:tab/>
        <w:t>Financie</w:t>
      </w:r>
      <w:r>
        <w:rPr>
          <w:rFonts w:cs="Times New Roman"/>
          <w:szCs w:val="24"/>
        </w:rPr>
        <w:tab/>
      </w:r>
    </w:p>
    <w:p w:rsidR="00A74B37" w:rsidRDefault="00A74B37" w:rsidP="00A74B37">
      <w:pPr>
        <w:rPr>
          <w:rFonts w:cs="Times New Roman"/>
          <w:szCs w:val="24"/>
        </w:rPr>
      </w:pPr>
      <w:r>
        <w:rPr>
          <w:rFonts w:cs="Times New Roman"/>
          <w:szCs w:val="24"/>
        </w:rPr>
        <w:t>Vedúci bakalárskej práce:</w:t>
      </w:r>
      <w:r>
        <w:rPr>
          <w:rFonts w:cs="Times New Roman"/>
          <w:szCs w:val="24"/>
        </w:rPr>
        <w:tab/>
      </w:r>
      <w:r>
        <w:rPr>
          <w:rFonts w:cs="Times New Roman"/>
          <w:szCs w:val="24"/>
        </w:rPr>
        <w:tab/>
      </w:r>
      <w:r w:rsidRPr="00830F7D">
        <w:rPr>
          <w:rFonts w:cs="Times New Roman"/>
          <w:color w:val="000000"/>
          <w:szCs w:val="24"/>
          <w:shd w:val="clear" w:color="auto" w:fill="FFFDFE"/>
        </w:rPr>
        <w:t xml:space="preserve">Ing. Zuzana </w:t>
      </w:r>
      <w:proofErr w:type="spellStart"/>
      <w:r w:rsidRPr="00830F7D">
        <w:rPr>
          <w:rFonts w:cs="Times New Roman"/>
          <w:color w:val="000000"/>
          <w:szCs w:val="24"/>
          <w:shd w:val="clear" w:color="auto" w:fill="FFFDFE"/>
        </w:rPr>
        <w:t>Křížová</w:t>
      </w:r>
      <w:proofErr w:type="spellEnd"/>
      <w:r w:rsidRPr="00830F7D">
        <w:rPr>
          <w:rFonts w:cs="Times New Roman"/>
          <w:color w:val="000000"/>
          <w:szCs w:val="24"/>
          <w:shd w:val="clear" w:color="auto" w:fill="FFFDFE"/>
        </w:rPr>
        <w:t xml:space="preserve">, </w:t>
      </w:r>
      <w:proofErr w:type="spellStart"/>
      <w:r w:rsidRPr="00830F7D">
        <w:rPr>
          <w:rFonts w:cs="Times New Roman"/>
          <w:color w:val="000000"/>
          <w:szCs w:val="24"/>
          <w:shd w:val="clear" w:color="auto" w:fill="FFFDFE"/>
        </w:rPr>
        <w:t>Ph.D</w:t>
      </w:r>
      <w:proofErr w:type="spellEnd"/>
      <w:r w:rsidRPr="00830F7D">
        <w:rPr>
          <w:rFonts w:cs="Times New Roman"/>
          <w:color w:val="000000"/>
          <w:szCs w:val="24"/>
          <w:shd w:val="clear" w:color="auto" w:fill="FFFDFE"/>
        </w:rPr>
        <w:t>.</w:t>
      </w:r>
    </w:p>
    <w:p w:rsidR="00A74B37" w:rsidRDefault="00A74B37" w:rsidP="00A74B37">
      <w:pPr>
        <w:rPr>
          <w:rFonts w:cs="Times New Roman"/>
          <w:szCs w:val="24"/>
        </w:rPr>
      </w:pPr>
      <w:r>
        <w:rPr>
          <w:rFonts w:cs="Times New Roman"/>
          <w:szCs w:val="24"/>
        </w:rPr>
        <w:t>Rok obhajoby:</w:t>
      </w:r>
      <w:r>
        <w:rPr>
          <w:rFonts w:cs="Times New Roman"/>
          <w:szCs w:val="24"/>
        </w:rPr>
        <w:tab/>
      </w:r>
      <w:r>
        <w:rPr>
          <w:rFonts w:cs="Times New Roman"/>
          <w:szCs w:val="24"/>
        </w:rPr>
        <w:tab/>
      </w:r>
      <w:r>
        <w:rPr>
          <w:rFonts w:cs="Times New Roman"/>
          <w:szCs w:val="24"/>
        </w:rPr>
        <w:tab/>
        <w:t>2016</w:t>
      </w:r>
    </w:p>
    <w:p w:rsidR="00A74B37" w:rsidRDefault="00A74B37" w:rsidP="00A74B37">
      <w:pPr>
        <w:rPr>
          <w:rFonts w:cs="Times New Roman"/>
          <w:szCs w:val="24"/>
        </w:rPr>
      </w:pPr>
    </w:p>
    <w:p w:rsidR="00A74B37" w:rsidRDefault="00A74B37" w:rsidP="00A74B37">
      <w:pPr>
        <w:rPr>
          <w:rFonts w:cs="Times New Roman"/>
          <w:b/>
          <w:sz w:val="32"/>
          <w:szCs w:val="32"/>
        </w:rPr>
      </w:pPr>
      <w:r w:rsidRPr="00830F7D">
        <w:rPr>
          <w:rFonts w:cs="Times New Roman"/>
          <w:b/>
          <w:sz w:val="32"/>
          <w:szCs w:val="32"/>
        </w:rPr>
        <w:t>Anotácia</w:t>
      </w:r>
    </w:p>
    <w:p w:rsidR="00A74B37" w:rsidRDefault="00A74B37" w:rsidP="00A74B37">
      <w:pPr>
        <w:rPr>
          <w:rFonts w:cs="Times New Roman"/>
          <w:szCs w:val="24"/>
        </w:rPr>
      </w:pPr>
      <w:r>
        <w:rPr>
          <w:rFonts w:cs="Times New Roman"/>
          <w:szCs w:val="24"/>
        </w:rPr>
        <w:t>Predmetom bakalárskej práce „</w:t>
      </w:r>
      <w:proofErr w:type="spellStart"/>
      <w:r>
        <w:rPr>
          <w:rFonts w:cs="Times New Roman"/>
          <w:szCs w:val="24"/>
        </w:rPr>
        <w:t>Účetní</w:t>
      </w:r>
      <w:proofErr w:type="spellEnd"/>
      <w:r>
        <w:rPr>
          <w:rFonts w:cs="Times New Roman"/>
          <w:szCs w:val="24"/>
        </w:rPr>
        <w:t xml:space="preserve"> a daňové aspekty rezerv v </w:t>
      </w:r>
      <w:proofErr w:type="spellStart"/>
      <w:r>
        <w:rPr>
          <w:rFonts w:cs="Times New Roman"/>
          <w:szCs w:val="24"/>
        </w:rPr>
        <w:t>důlní</w:t>
      </w:r>
      <w:proofErr w:type="spellEnd"/>
      <w:r>
        <w:rPr>
          <w:rFonts w:cs="Times New Roman"/>
          <w:szCs w:val="24"/>
        </w:rPr>
        <w:t xml:space="preserve"> činnosti“ je analýza tvorby rezerv v podniku Hornonitrianske bane Prievidza, akciová spoločnosť. Prvá časť je zameraná na zhrnutie teoretických poznatkov z oblasti rezerv, ich účtovné a daňové pojatie, so zameraním na rezervy vznikajúce v banskej činnosti. V praktickej časti je v stručnosti predstavená činnosť podniku a následne analyzovaná tvorba rezerv na banské škody a tvorba rezerv na likvidáciu banských diel .</w:t>
      </w:r>
    </w:p>
    <w:p w:rsidR="00AD18A6" w:rsidRDefault="00AD18A6" w:rsidP="00A74B37">
      <w:pPr>
        <w:rPr>
          <w:rFonts w:cs="Times New Roman"/>
          <w:szCs w:val="24"/>
        </w:rPr>
      </w:pPr>
    </w:p>
    <w:p w:rsidR="00A74B37" w:rsidRDefault="00A74B37" w:rsidP="00A74B37">
      <w:pPr>
        <w:rPr>
          <w:rFonts w:cs="Times New Roman"/>
          <w:b/>
          <w:sz w:val="32"/>
          <w:szCs w:val="32"/>
        </w:rPr>
      </w:pPr>
      <w:proofErr w:type="spellStart"/>
      <w:r w:rsidRPr="00830F7D">
        <w:rPr>
          <w:rFonts w:cs="Times New Roman"/>
          <w:b/>
          <w:sz w:val="32"/>
          <w:szCs w:val="32"/>
        </w:rPr>
        <w:t>Annotation</w:t>
      </w:r>
      <w:proofErr w:type="spellEnd"/>
    </w:p>
    <w:p w:rsidR="00A74B37" w:rsidRDefault="00A74B37" w:rsidP="00A74B37">
      <w:pPr>
        <w:rPr>
          <w:rFonts w:eastAsia="Times New Roman" w:cs="Times New Roman"/>
          <w:szCs w:val="24"/>
          <w:lang w:val="en-GB" w:eastAsia="sk-SK"/>
        </w:rPr>
      </w:pPr>
      <w:r w:rsidRPr="003767DD">
        <w:rPr>
          <w:rFonts w:cs="Times New Roman"/>
          <w:szCs w:val="24"/>
          <w:lang w:val="en-GB"/>
        </w:rPr>
        <w:t xml:space="preserve">The goal of the submitted thesis „ </w:t>
      </w:r>
      <w:r w:rsidRPr="003767DD">
        <w:rPr>
          <w:rFonts w:eastAsia="Times New Roman" w:cs="Times New Roman"/>
          <w:szCs w:val="24"/>
          <w:lang w:val="en-GB" w:eastAsia="sk-SK"/>
        </w:rPr>
        <w:t xml:space="preserve">Accounting and tax aspects of reserve formation in mining business“ is to analyze the creation of reserves in the company Upper Nitra mines in </w:t>
      </w:r>
      <w:proofErr w:type="spellStart"/>
      <w:r w:rsidRPr="003767DD">
        <w:rPr>
          <w:rFonts w:eastAsia="Times New Roman" w:cs="Times New Roman"/>
          <w:szCs w:val="24"/>
          <w:lang w:val="en-GB" w:eastAsia="sk-SK"/>
        </w:rPr>
        <w:t>Priviedza</w:t>
      </w:r>
      <w:proofErr w:type="spellEnd"/>
      <w:r w:rsidRPr="003767DD">
        <w:rPr>
          <w:rFonts w:eastAsia="Times New Roman" w:cs="Times New Roman"/>
          <w:szCs w:val="24"/>
          <w:lang w:val="en-GB" w:eastAsia="sk-SK"/>
        </w:rPr>
        <w:t>, joint-stock company. The first part is concentrated on summarizing t</w:t>
      </w:r>
      <w:r>
        <w:rPr>
          <w:rFonts w:eastAsia="Times New Roman" w:cs="Times New Roman"/>
          <w:szCs w:val="24"/>
          <w:lang w:val="en-GB" w:eastAsia="sk-SK"/>
        </w:rPr>
        <w:t>heoretical knowledge of reserves</w:t>
      </w:r>
      <w:r w:rsidRPr="003767DD">
        <w:rPr>
          <w:rFonts w:eastAsia="Times New Roman" w:cs="Times New Roman"/>
          <w:szCs w:val="24"/>
          <w:lang w:val="en-GB" w:eastAsia="sk-SK"/>
        </w:rPr>
        <w:t>, their accounting and tax interpretation while focusing on reserves in mining industry. In the practical part activities of the company are briefly described and the creation of reserves on mining damages and reserves on disposal of mining workings is subsequently analysed.</w:t>
      </w:r>
    </w:p>
    <w:p w:rsidR="00AD18A6" w:rsidRPr="003767DD" w:rsidRDefault="00AD18A6" w:rsidP="00A74B37">
      <w:pPr>
        <w:rPr>
          <w:rFonts w:cs="Times New Roman"/>
          <w:szCs w:val="24"/>
          <w:lang w:val="en-GB"/>
        </w:rPr>
      </w:pPr>
    </w:p>
    <w:p w:rsidR="00A74B37" w:rsidRDefault="00A74B37" w:rsidP="00A74B37">
      <w:pPr>
        <w:rPr>
          <w:rFonts w:cs="Times New Roman"/>
          <w:b/>
          <w:sz w:val="32"/>
          <w:szCs w:val="32"/>
        </w:rPr>
      </w:pPr>
      <w:r w:rsidRPr="0091403F">
        <w:rPr>
          <w:rFonts w:cs="Times New Roman"/>
          <w:b/>
          <w:sz w:val="32"/>
          <w:szCs w:val="32"/>
        </w:rPr>
        <w:t>Kľúčové slová</w:t>
      </w:r>
    </w:p>
    <w:p w:rsidR="00A74B37" w:rsidRDefault="00A74B37" w:rsidP="00A74B37">
      <w:pPr>
        <w:rPr>
          <w:rFonts w:cs="Times New Roman"/>
          <w:szCs w:val="24"/>
        </w:rPr>
      </w:pPr>
      <w:r w:rsidRPr="004A7F1F">
        <w:rPr>
          <w:rFonts w:cs="Times New Roman"/>
          <w:szCs w:val="24"/>
        </w:rPr>
        <w:t>rezervy, dane, účtovníctvo,  IFRS, diskont, baníctvo, banské diela, banské škody</w:t>
      </w:r>
    </w:p>
    <w:p w:rsidR="00AD18A6" w:rsidRPr="004A7F1F" w:rsidRDefault="00AD18A6" w:rsidP="00A74B37">
      <w:pPr>
        <w:rPr>
          <w:rFonts w:cs="Times New Roman"/>
          <w:szCs w:val="24"/>
        </w:rPr>
      </w:pPr>
    </w:p>
    <w:p w:rsidR="00A74B37" w:rsidRDefault="00A74B37" w:rsidP="00A74B37">
      <w:pPr>
        <w:rPr>
          <w:rFonts w:cs="Times New Roman"/>
          <w:b/>
          <w:sz w:val="32"/>
          <w:szCs w:val="32"/>
        </w:rPr>
      </w:pPr>
      <w:proofErr w:type="spellStart"/>
      <w:r w:rsidRPr="004A7F1F">
        <w:rPr>
          <w:rFonts w:cs="Times New Roman"/>
          <w:b/>
          <w:sz w:val="32"/>
          <w:szCs w:val="32"/>
        </w:rPr>
        <w:t>Keywords</w:t>
      </w:r>
      <w:proofErr w:type="spellEnd"/>
    </w:p>
    <w:p w:rsidR="00A74B37" w:rsidRPr="004A7F1F" w:rsidRDefault="00A74B37" w:rsidP="00A74B37">
      <w:pPr>
        <w:rPr>
          <w:rFonts w:cs="Times New Roman"/>
          <w:szCs w:val="24"/>
        </w:rPr>
      </w:pPr>
      <w:proofErr w:type="spellStart"/>
      <w:r>
        <w:rPr>
          <w:rFonts w:cs="Times New Roman"/>
          <w:szCs w:val="24"/>
        </w:rPr>
        <w:t>reserves</w:t>
      </w:r>
      <w:proofErr w:type="spellEnd"/>
      <w:r>
        <w:rPr>
          <w:rFonts w:cs="Times New Roman"/>
          <w:szCs w:val="24"/>
        </w:rPr>
        <w:t xml:space="preserve">, </w:t>
      </w:r>
      <w:proofErr w:type="spellStart"/>
      <w:r>
        <w:rPr>
          <w:rFonts w:cs="Times New Roman"/>
          <w:szCs w:val="24"/>
        </w:rPr>
        <w:t>taxes</w:t>
      </w:r>
      <w:proofErr w:type="spellEnd"/>
      <w:r>
        <w:rPr>
          <w:rFonts w:cs="Times New Roman"/>
          <w:szCs w:val="24"/>
        </w:rPr>
        <w:t xml:space="preserve">, </w:t>
      </w:r>
      <w:proofErr w:type="spellStart"/>
      <w:r>
        <w:rPr>
          <w:rFonts w:cs="Times New Roman"/>
          <w:szCs w:val="24"/>
        </w:rPr>
        <w:t>accounting</w:t>
      </w:r>
      <w:proofErr w:type="spellEnd"/>
      <w:r>
        <w:rPr>
          <w:rFonts w:cs="Times New Roman"/>
          <w:szCs w:val="24"/>
        </w:rPr>
        <w:t xml:space="preserve">, IFRS, </w:t>
      </w:r>
      <w:proofErr w:type="spellStart"/>
      <w:r>
        <w:rPr>
          <w:rFonts w:cs="Times New Roman"/>
          <w:szCs w:val="24"/>
        </w:rPr>
        <w:t>discount</w:t>
      </w:r>
      <w:proofErr w:type="spellEnd"/>
      <w:r>
        <w:rPr>
          <w:rFonts w:cs="Times New Roman"/>
          <w:szCs w:val="24"/>
        </w:rPr>
        <w:t xml:space="preserve">, </w:t>
      </w:r>
      <w:proofErr w:type="spellStart"/>
      <w:r>
        <w:rPr>
          <w:rFonts w:cs="Times New Roman"/>
          <w:szCs w:val="24"/>
        </w:rPr>
        <w:t>mining</w:t>
      </w:r>
      <w:proofErr w:type="spellEnd"/>
      <w:r>
        <w:rPr>
          <w:rFonts w:cs="Times New Roman"/>
          <w:szCs w:val="24"/>
        </w:rPr>
        <w:t xml:space="preserve"> </w:t>
      </w:r>
      <w:proofErr w:type="spellStart"/>
      <w:r>
        <w:rPr>
          <w:rFonts w:cs="Times New Roman"/>
          <w:szCs w:val="24"/>
        </w:rPr>
        <w:t>industry</w:t>
      </w:r>
      <w:proofErr w:type="spellEnd"/>
      <w:r>
        <w:rPr>
          <w:rFonts w:cs="Times New Roman"/>
          <w:szCs w:val="24"/>
        </w:rPr>
        <w:t xml:space="preserve">, </w:t>
      </w:r>
      <w:proofErr w:type="spellStart"/>
      <w:r>
        <w:rPr>
          <w:rFonts w:cs="Times New Roman"/>
          <w:szCs w:val="24"/>
        </w:rPr>
        <w:t>mining</w:t>
      </w:r>
      <w:proofErr w:type="spellEnd"/>
      <w:r>
        <w:rPr>
          <w:rFonts w:cs="Times New Roman"/>
          <w:szCs w:val="24"/>
        </w:rPr>
        <w:t xml:space="preserve"> </w:t>
      </w:r>
      <w:proofErr w:type="spellStart"/>
      <w:r>
        <w:rPr>
          <w:rFonts w:cs="Times New Roman"/>
          <w:szCs w:val="24"/>
        </w:rPr>
        <w:t>works</w:t>
      </w:r>
      <w:proofErr w:type="spellEnd"/>
      <w:r>
        <w:rPr>
          <w:rFonts w:cs="Times New Roman"/>
          <w:szCs w:val="24"/>
        </w:rPr>
        <w:t xml:space="preserve">, </w:t>
      </w:r>
      <w:proofErr w:type="spellStart"/>
      <w:r>
        <w:rPr>
          <w:rFonts w:cs="Times New Roman"/>
          <w:szCs w:val="24"/>
        </w:rPr>
        <w:t>mining</w:t>
      </w:r>
      <w:proofErr w:type="spellEnd"/>
      <w:r>
        <w:rPr>
          <w:rFonts w:cs="Times New Roman"/>
          <w:szCs w:val="24"/>
        </w:rPr>
        <w:t xml:space="preserve"> </w:t>
      </w:r>
      <w:proofErr w:type="spellStart"/>
      <w:r>
        <w:rPr>
          <w:rFonts w:cs="Times New Roman"/>
          <w:szCs w:val="24"/>
        </w:rPr>
        <w:t>damages</w:t>
      </w:r>
      <w:proofErr w:type="spellEnd"/>
    </w:p>
    <w:p w:rsidR="00A74B37" w:rsidRPr="0091403F" w:rsidRDefault="00A74B37" w:rsidP="00A74B37">
      <w:pPr>
        <w:rPr>
          <w:rFonts w:cs="Times New Roman"/>
          <w:b/>
          <w:sz w:val="32"/>
          <w:szCs w:val="32"/>
        </w:rPr>
      </w:pPr>
    </w:p>
    <w:p w:rsidR="00801F18" w:rsidRDefault="00801F18" w:rsidP="00801F18">
      <w:r>
        <w:br w:type="page"/>
      </w:r>
    </w:p>
    <w:p w:rsidR="00801F18" w:rsidRDefault="00801F18" w:rsidP="00A01CDB">
      <w:pPr>
        <w:pStyle w:val="Hlavikaobsahu"/>
        <w:jc w:val="both"/>
        <w:rPr>
          <w:rFonts w:ascii="Times New Roman" w:eastAsiaTheme="minorHAnsi" w:hAnsi="Times New Roman" w:cstheme="minorBidi"/>
          <w:b w:val="0"/>
          <w:bCs w:val="0"/>
          <w:color w:val="auto"/>
          <w:sz w:val="24"/>
          <w:szCs w:val="22"/>
        </w:rPr>
      </w:pPr>
    </w:p>
    <w:p w:rsidR="00801F18" w:rsidRDefault="00801F18" w:rsidP="00801F18">
      <w:r>
        <w:br w:type="page"/>
      </w:r>
    </w:p>
    <w:p w:rsidR="002B6F02" w:rsidRDefault="002B6F02" w:rsidP="00A01CDB">
      <w:pPr>
        <w:pStyle w:val="Hlavikaobsahu"/>
        <w:jc w:val="both"/>
        <w:rPr>
          <w:rFonts w:ascii="Times New Roman" w:eastAsiaTheme="minorHAnsi" w:hAnsi="Times New Roman" w:cstheme="minorBidi"/>
          <w:b w:val="0"/>
          <w:bCs w:val="0"/>
          <w:color w:val="auto"/>
          <w:sz w:val="24"/>
          <w:szCs w:val="22"/>
        </w:rPr>
      </w:pPr>
    </w:p>
    <w:p w:rsidR="002B6F02" w:rsidRDefault="002B6F02" w:rsidP="002B6F02"/>
    <w:p w:rsidR="002B6F02" w:rsidRDefault="002B6F02" w:rsidP="002B6F02"/>
    <w:p w:rsidR="002B6F02" w:rsidRDefault="002B6F02" w:rsidP="002B6F02"/>
    <w:p w:rsidR="002B6F02" w:rsidRDefault="002B6F02" w:rsidP="002B6F02"/>
    <w:p w:rsidR="002B6F02" w:rsidRDefault="002B6F02" w:rsidP="002B6F02"/>
    <w:p w:rsidR="00801F18" w:rsidRDefault="00801F18" w:rsidP="002B6F02"/>
    <w:p w:rsidR="00801F18" w:rsidRDefault="00801F18" w:rsidP="002B6F02"/>
    <w:p w:rsidR="00801F18" w:rsidRDefault="00801F18" w:rsidP="002B6F02"/>
    <w:p w:rsidR="00801F18" w:rsidRDefault="00801F18" w:rsidP="002B6F02"/>
    <w:p w:rsidR="00801F18" w:rsidRDefault="00801F18" w:rsidP="002B6F02"/>
    <w:p w:rsidR="00801F18" w:rsidRDefault="00801F18" w:rsidP="002B6F02"/>
    <w:p w:rsidR="00801F18" w:rsidRDefault="00801F18" w:rsidP="002B6F02"/>
    <w:p w:rsidR="00801F18" w:rsidRDefault="00801F18" w:rsidP="002B6F02"/>
    <w:p w:rsidR="00801F18" w:rsidRDefault="00801F18" w:rsidP="002B6F02"/>
    <w:p w:rsidR="00801F18" w:rsidRDefault="00801F18" w:rsidP="002B6F02"/>
    <w:p w:rsidR="00801F18" w:rsidRDefault="00801F18" w:rsidP="002B6F02"/>
    <w:p w:rsidR="00801F18" w:rsidRDefault="00801F18" w:rsidP="002B6F02"/>
    <w:p w:rsidR="00801F18" w:rsidRDefault="00801F18" w:rsidP="002B6F02"/>
    <w:p w:rsidR="00801F18" w:rsidRDefault="00801F18" w:rsidP="002B6F02"/>
    <w:p w:rsidR="002B6F02" w:rsidRDefault="002B6F02" w:rsidP="002B6F02"/>
    <w:p w:rsidR="00801F18" w:rsidRPr="007351C2" w:rsidRDefault="00801F18" w:rsidP="00801F18">
      <w:pPr>
        <w:rPr>
          <w:b/>
          <w:sz w:val="28"/>
          <w:szCs w:val="28"/>
        </w:rPr>
      </w:pPr>
      <w:r w:rsidRPr="007351C2">
        <w:rPr>
          <w:b/>
          <w:sz w:val="28"/>
          <w:szCs w:val="28"/>
        </w:rPr>
        <w:t>Čestné prehlásenie</w:t>
      </w:r>
    </w:p>
    <w:p w:rsidR="00801F18" w:rsidRDefault="00801F18" w:rsidP="00801F18">
      <w:r>
        <w:t xml:space="preserve">Prehlasujem, že som bakalársku prácu </w:t>
      </w:r>
      <w:r w:rsidRPr="00791D42">
        <w:rPr>
          <w:i/>
        </w:rPr>
        <w:t>Účtovné a daňové aspekty rezerv v banskej činnosti</w:t>
      </w:r>
      <w:r>
        <w:t xml:space="preserve"> vypracovala samostatne pod vedením Ing. Zuzany </w:t>
      </w:r>
      <w:proofErr w:type="spellStart"/>
      <w:r>
        <w:t>Křížovej</w:t>
      </w:r>
      <w:proofErr w:type="spellEnd"/>
      <w:r>
        <w:t xml:space="preserve"> PhD. a uviedla v nej všetky použité literárne a iné odborné zdroje v súlade s právnymi predpismi, vnútornými predpismi Masarykovej univerzity a vnútornými aktmi riadenia Masarykovej univerzity a Ekonomicko-správnej fakulty MU.</w:t>
      </w:r>
    </w:p>
    <w:p w:rsidR="00801F18" w:rsidRDefault="00801F18" w:rsidP="00801F18"/>
    <w:p w:rsidR="00801F18" w:rsidRDefault="00801F18" w:rsidP="00801F18">
      <w:r>
        <w:t xml:space="preserve">V Brne, dňa ....... apríla 2016. </w:t>
      </w:r>
      <w:r>
        <w:tab/>
      </w:r>
    </w:p>
    <w:p w:rsidR="00801F18" w:rsidRDefault="00801F18" w:rsidP="00801F18">
      <w:r>
        <w:tab/>
      </w:r>
      <w:r>
        <w:tab/>
      </w:r>
      <w:r>
        <w:tab/>
      </w:r>
      <w:r>
        <w:tab/>
      </w:r>
      <w:r>
        <w:tab/>
      </w:r>
      <w:r>
        <w:tab/>
      </w:r>
      <w:r>
        <w:tab/>
      </w:r>
      <w:r>
        <w:tab/>
      </w:r>
      <w:r>
        <w:tab/>
        <w:t>...........................................</w:t>
      </w:r>
    </w:p>
    <w:p w:rsidR="00801F18" w:rsidRDefault="00801F18" w:rsidP="00801F18">
      <w:r>
        <w:tab/>
      </w:r>
      <w:r>
        <w:tab/>
      </w:r>
      <w:r>
        <w:tab/>
      </w:r>
      <w:r>
        <w:tab/>
      </w:r>
      <w:r>
        <w:tab/>
      </w:r>
      <w:r>
        <w:tab/>
      </w:r>
      <w:r>
        <w:tab/>
      </w:r>
      <w:r>
        <w:tab/>
      </w:r>
      <w:r>
        <w:tab/>
        <w:t xml:space="preserve">     vlastnoručný podpis</w:t>
      </w:r>
    </w:p>
    <w:p w:rsidR="002B6F02" w:rsidRDefault="002B6F02">
      <w:r>
        <w:br w:type="page"/>
      </w:r>
    </w:p>
    <w:p w:rsidR="002B6F02" w:rsidRDefault="002B6F02" w:rsidP="002B6F02"/>
    <w:p w:rsidR="002B6F02" w:rsidRDefault="002B6F02"/>
    <w:p w:rsidR="002B6F02" w:rsidRDefault="002B6F02"/>
    <w:p w:rsidR="002B6F02" w:rsidRDefault="002B6F02"/>
    <w:p w:rsidR="002B6F02" w:rsidRDefault="002B6F02"/>
    <w:p w:rsidR="002B6F02" w:rsidRDefault="002B6F02"/>
    <w:p w:rsidR="002B6F02" w:rsidRDefault="002B6F02"/>
    <w:p w:rsidR="002B6F02" w:rsidRDefault="002B6F02"/>
    <w:p w:rsidR="002B6F02" w:rsidRDefault="002B6F02"/>
    <w:p w:rsidR="002B6F02" w:rsidRDefault="002B6F02"/>
    <w:p w:rsidR="002B6F02" w:rsidRDefault="002B6F02"/>
    <w:p w:rsidR="002B6F02" w:rsidRDefault="002B6F02"/>
    <w:p w:rsidR="002B6F02" w:rsidRDefault="002B6F02"/>
    <w:p w:rsidR="002B6F02" w:rsidRDefault="002B6F02"/>
    <w:p w:rsidR="002B6F02" w:rsidRDefault="002B6F02"/>
    <w:p w:rsidR="002B6F02" w:rsidRDefault="002B6F02"/>
    <w:p w:rsidR="002B6F02" w:rsidRDefault="002B6F02"/>
    <w:p w:rsidR="002B6F02" w:rsidRDefault="002B6F02"/>
    <w:p w:rsidR="002B6F02" w:rsidRDefault="002B6F02"/>
    <w:p w:rsidR="002B6F02" w:rsidRDefault="002B6F02"/>
    <w:p w:rsidR="002B6F02" w:rsidRDefault="002B6F02"/>
    <w:p w:rsidR="002B6F02" w:rsidRDefault="002B6F02"/>
    <w:p w:rsidR="002B6F02" w:rsidRDefault="002B6F02"/>
    <w:p w:rsidR="002B6F02" w:rsidRDefault="002B6F02">
      <w:r>
        <w:br w:type="page"/>
      </w:r>
    </w:p>
    <w:p w:rsidR="002B6F02" w:rsidRDefault="002B6F02" w:rsidP="002B6F02"/>
    <w:p w:rsidR="00801F18" w:rsidRDefault="00801F18"/>
    <w:p w:rsidR="00801F18" w:rsidRDefault="00801F18"/>
    <w:p w:rsidR="00801F18" w:rsidRDefault="00801F18"/>
    <w:p w:rsidR="00801F18" w:rsidRDefault="00801F18"/>
    <w:p w:rsidR="00801F18" w:rsidRDefault="00801F18"/>
    <w:p w:rsidR="00801F18" w:rsidRDefault="00801F18"/>
    <w:p w:rsidR="00801F18" w:rsidRDefault="00801F18"/>
    <w:p w:rsidR="00801F18" w:rsidRDefault="00801F18"/>
    <w:p w:rsidR="00801F18" w:rsidRDefault="00801F18"/>
    <w:p w:rsidR="00801F18" w:rsidRDefault="00801F18"/>
    <w:p w:rsidR="00801F18" w:rsidRDefault="00801F18"/>
    <w:p w:rsidR="00801F18" w:rsidRDefault="00801F18"/>
    <w:p w:rsidR="00801F18" w:rsidRDefault="00801F18"/>
    <w:p w:rsidR="00801F18" w:rsidRDefault="00801F18"/>
    <w:p w:rsidR="00801F18" w:rsidRDefault="00801F18"/>
    <w:p w:rsidR="00801F18" w:rsidRDefault="00801F18"/>
    <w:p w:rsidR="004B1638" w:rsidRDefault="004B1638"/>
    <w:p w:rsidR="004B1638" w:rsidRDefault="004B1638"/>
    <w:p w:rsidR="00801F18" w:rsidRDefault="00801F18"/>
    <w:p w:rsidR="00801F18" w:rsidRDefault="00801F18"/>
    <w:p w:rsidR="00801F18" w:rsidRDefault="00801F18"/>
    <w:p w:rsidR="00801F18" w:rsidRDefault="00801F18"/>
    <w:p w:rsidR="00801F18" w:rsidRDefault="00801F18"/>
    <w:p w:rsidR="00801F18" w:rsidRDefault="00801F18"/>
    <w:p w:rsidR="00801F18" w:rsidRDefault="00801F18" w:rsidP="00801F18">
      <w:pPr>
        <w:rPr>
          <w:b/>
          <w:sz w:val="32"/>
          <w:szCs w:val="32"/>
        </w:rPr>
      </w:pPr>
      <w:r>
        <w:rPr>
          <w:b/>
          <w:sz w:val="32"/>
          <w:szCs w:val="32"/>
        </w:rPr>
        <w:t>Poďakovanie</w:t>
      </w:r>
    </w:p>
    <w:p w:rsidR="00801F18" w:rsidRDefault="00801F18" w:rsidP="00801F18">
      <w:pPr>
        <w:rPr>
          <w:szCs w:val="24"/>
        </w:rPr>
      </w:pPr>
      <w:r w:rsidRPr="00D82F8B">
        <w:rPr>
          <w:szCs w:val="24"/>
        </w:rPr>
        <w:t xml:space="preserve">Na tomto mieste by som sa chcela poďakovať vedúcej mojej bakalárskej práce Ing. Zuzane </w:t>
      </w:r>
      <w:proofErr w:type="spellStart"/>
      <w:r w:rsidRPr="00D82F8B">
        <w:rPr>
          <w:szCs w:val="24"/>
        </w:rPr>
        <w:t>Křížovej</w:t>
      </w:r>
      <w:proofErr w:type="spellEnd"/>
      <w:r w:rsidRPr="00D82F8B">
        <w:rPr>
          <w:szCs w:val="24"/>
        </w:rPr>
        <w:t xml:space="preserve"> PhD. za cenné rady a odborné pripomienky, ktoré prispeli k vypracovaniu tejto prá</w:t>
      </w:r>
      <w:r w:rsidR="00D03CC2">
        <w:rPr>
          <w:szCs w:val="24"/>
        </w:rPr>
        <w:t xml:space="preserve">ce. Ďalej ďakujem mojim rodičom za podporu </w:t>
      </w:r>
      <w:r w:rsidRPr="00D82F8B">
        <w:rPr>
          <w:szCs w:val="24"/>
        </w:rPr>
        <w:t xml:space="preserve">a firme Hornonitrianske bane Prievidza, a.s. za poskytnuté informácie a konzultácie. </w:t>
      </w:r>
    </w:p>
    <w:p w:rsidR="002B6F02" w:rsidRDefault="002B6F02" w:rsidP="002B6F02"/>
    <w:p w:rsidR="002B6F02" w:rsidRDefault="002B6F02" w:rsidP="002B6F02"/>
    <w:p w:rsidR="002B6F02" w:rsidRDefault="002B6F02" w:rsidP="002B6F02"/>
    <w:p w:rsidR="002B6F02" w:rsidRDefault="002B6F02" w:rsidP="002B6F02"/>
    <w:p w:rsidR="002B6F02" w:rsidRDefault="002B6F02" w:rsidP="002B6F02"/>
    <w:p w:rsidR="002B6F02" w:rsidRDefault="002B6F02" w:rsidP="002B6F02"/>
    <w:p w:rsidR="002B6F02" w:rsidRDefault="002B6F02" w:rsidP="002B6F02"/>
    <w:p w:rsidR="002B6F02" w:rsidRDefault="002B6F02" w:rsidP="002B6F02"/>
    <w:p w:rsidR="002B6F02" w:rsidRDefault="002B6F02" w:rsidP="002B6F02"/>
    <w:p w:rsidR="002B6F02" w:rsidRDefault="002B6F02" w:rsidP="002B6F02"/>
    <w:p w:rsidR="00193C87" w:rsidRDefault="00193C87" w:rsidP="002B6F02"/>
    <w:p w:rsidR="00193C87" w:rsidRDefault="00193C87" w:rsidP="002B6F02"/>
    <w:p w:rsidR="00193C87" w:rsidRDefault="00193C87" w:rsidP="002B6F02"/>
    <w:p w:rsidR="00193C87" w:rsidRDefault="00193C87" w:rsidP="002B6F02"/>
    <w:p w:rsidR="00193C87" w:rsidRDefault="00193C87" w:rsidP="002B6F02"/>
    <w:p w:rsidR="00193C87" w:rsidRDefault="00193C87" w:rsidP="002B6F02"/>
    <w:p w:rsidR="00193C87" w:rsidRDefault="00193C87" w:rsidP="002B6F02"/>
    <w:p w:rsidR="00193C87" w:rsidRDefault="00193C87" w:rsidP="002B6F02"/>
    <w:p w:rsidR="00193C87" w:rsidRDefault="00193C87" w:rsidP="002B6F02"/>
    <w:p w:rsidR="00193C87" w:rsidRDefault="00193C87" w:rsidP="002B6F02"/>
    <w:p w:rsidR="00193C87" w:rsidRDefault="00193C87" w:rsidP="002B6F02"/>
    <w:p w:rsidR="00193C87" w:rsidRDefault="00193C87" w:rsidP="002B6F02"/>
    <w:p w:rsidR="00193C87" w:rsidRDefault="00193C87" w:rsidP="002B6F02"/>
    <w:p w:rsidR="00193C87" w:rsidRDefault="00193C87" w:rsidP="002B6F02"/>
    <w:p w:rsidR="00193C87" w:rsidRDefault="00193C87" w:rsidP="002B6F02"/>
    <w:p w:rsidR="00193C87" w:rsidRDefault="00193C87" w:rsidP="002B6F02"/>
    <w:p w:rsidR="00193C87" w:rsidRDefault="00193C87" w:rsidP="002B6F02"/>
    <w:p w:rsidR="00193C87" w:rsidRDefault="00193C87" w:rsidP="002B6F02"/>
    <w:p w:rsidR="00495F76" w:rsidRDefault="00495F76" w:rsidP="002B6F02"/>
    <w:p w:rsidR="00193C87" w:rsidRDefault="00193C87" w:rsidP="002B6F02"/>
    <w:p w:rsidR="002B6F02" w:rsidRDefault="002B6F02" w:rsidP="002B6F02"/>
    <w:p w:rsidR="00193C87" w:rsidRDefault="00193C87" w:rsidP="002B6F02"/>
    <w:p w:rsidR="002B6F02" w:rsidRDefault="002B6F02" w:rsidP="002B6F02"/>
    <w:p w:rsidR="002B6F02" w:rsidRDefault="002B6F02" w:rsidP="00A01CDB">
      <w:pPr>
        <w:pStyle w:val="Hlavikaobsahu"/>
        <w:jc w:val="both"/>
        <w:rPr>
          <w:rFonts w:ascii="Times New Roman" w:eastAsiaTheme="minorHAnsi" w:hAnsi="Times New Roman" w:cstheme="minorBidi"/>
          <w:b w:val="0"/>
          <w:bCs w:val="0"/>
          <w:color w:val="auto"/>
          <w:sz w:val="24"/>
          <w:szCs w:val="22"/>
        </w:rPr>
      </w:pPr>
    </w:p>
    <w:p w:rsidR="00801F18" w:rsidRDefault="00801F18" w:rsidP="00801F18"/>
    <w:p w:rsidR="00801F18" w:rsidRDefault="00801F18" w:rsidP="00801F18"/>
    <w:p w:rsidR="002B6F02" w:rsidRDefault="002B6F02" w:rsidP="002B6F02"/>
    <w:p w:rsidR="00193C87" w:rsidRDefault="00193C87" w:rsidP="002B6F02"/>
    <w:sdt>
      <w:sdtPr>
        <w:rPr>
          <w:rFonts w:ascii="Times New Roman" w:eastAsiaTheme="minorHAnsi" w:hAnsi="Times New Roman" w:cstheme="minorBidi"/>
          <w:b w:val="0"/>
          <w:bCs w:val="0"/>
          <w:color w:val="auto"/>
          <w:sz w:val="24"/>
          <w:szCs w:val="22"/>
        </w:rPr>
        <w:id w:val="933428646"/>
        <w:docPartObj>
          <w:docPartGallery w:val="Table of Contents"/>
          <w:docPartUnique/>
        </w:docPartObj>
      </w:sdtPr>
      <w:sdtContent>
        <w:p w:rsidR="00801F18" w:rsidRDefault="00801F18">
          <w:pPr>
            <w:pStyle w:val="Hlavikaobsahu"/>
          </w:pPr>
          <w:r w:rsidRPr="00801F18">
            <w:rPr>
              <w:color w:val="auto"/>
            </w:rPr>
            <w:t>Obsah</w:t>
          </w:r>
        </w:p>
        <w:p w:rsidR="00801F18" w:rsidRDefault="003D19E2">
          <w:pPr>
            <w:pStyle w:val="Obsah1"/>
            <w:tabs>
              <w:tab w:val="right" w:leader="dot" w:pos="9060"/>
            </w:tabs>
            <w:rPr>
              <w:rFonts w:asciiTheme="minorHAnsi" w:eastAsiaTheme="minorEastAsia" w:hAnsiTheme="minorHAnsi"/>
              <w:noProof/>
              <w:sz w:val="22"/>
              <w:lang w:eastAsia="sk-SK"/>
            </w:rPr>
          </w:pPr>
          <w:r>
            <w:fldChar w:fldCharType="begin"/>
          </w:r>
          <w:r w:rsidR="00801F18">
            <w:instrText xml:space="preserve"> TOC \o "1-3" \h \z \u </w:instrText>
          </w:r>
          <w:r>
            <w:fldChar w:fldCharType="separate"/>
          </w:r>
          <w:hyperlink w:anchor="_Toc447622239" w:history="1">
            <w:r w:rsidR="00801F18" w:rsidRPr="00FE2E68">
              <w:rPr>
                <w:rStyle w:val="Hypertextovprepojenie"/>
                <w:noProof/>
              </w:rPr>
              <w:t>Úvod</w:t>
            </w:r>
            <w:r w:rsidR="00801F18">
              <w:rPr>
                <w:noProof/>
                <w:webHidden/>
              </w:rPr>
              <w:tab/>
            </w:r>
            <w:r>
              <w:rPr>
                <w:noProof/>
                <w:webHidden/>
              </w:rPr>
              <w:fldChar w:fldCharType="begin"/>
            </w:r>
            <w:r w:rsidR="00801F18">
              <w:rPr>
                <w:noProof/>
                <w:webHidden/>
              </w:rPr>
              <w:instrText xml:space="preserve"> PAGEREF _Toc447622239 \h </w:instrText>
            </w:r>
            <w:r>
              <w:rPr>
                <w:noProof/>
                <w:webHidden/>
              </w:rPr>
            </w:r>
            <w:r>
              <w:rPr>
                <w:noProof/>
                <w:webHidden/>
              </w:rPr>
              <w:fldChar w:fldCharType="separate"/>
            </w:r>
            <w:r w:rsidR="00EC4F5C">
              <w:rPr>
                <w:noProof/>
                <w:webHidden/>
              </w:rPr>
              <w:t>13</w:t>
            </w:r>
            <w:r>
              <w:rPr>
                <w:noProof/>
                <w:webHidden/>
              </w:rPr>
              <w:fldChar w:fldCharType="end"/>
            </w:r>
          </w:hyperlink>
        </w:p>
        <w:p w:rsidR="00801F18" w:rsidRDefault="003D19E2">
          <w:pPr>
            <w:pStyle w:val="Obsah1"/>
            <w:tabs>
              <w:tab w:val="right" w:leader="dot" w:pos="9060"/>
            </w:tabs>
            <w:rPr>
              <w:rFonts w:asciiTheme="minorHAnsi" w:eastAsiaTheme="minorEastAsia" w:hAnsiTheme="minorHAnsi"/>
              <w:noProof/>
              <w:sz w:val="22"/>
              <w:lang w:eastAsia="sk-SK"/>
            </w:rPr>
          </w:pPr>
          <w:hyperlink w:anchor="_Toc447622240" w:history="1">
            <w:r w:rsidR="00801F18" w:rsidRPr="00FE2E68">
              <w:rPr>
                <w:rStyle w:val="Hypertextovprepojenie"/>
                <w:noProof/>
              </w:rPr>
              <w:t>1. Právna úprava a vymedzenie rezerv</w:t>
            </w:r>
            <w:r w:rsidR="00801F18">
              <w:rPr>
                <w:noProof/>
                <w:webHidden/>
              </w:rPr>
              <w:tab/>
            </w:r>
            <w:r>
              <w:rPr>
                <w:noProof/>
                <w:webHidden/>
              </w:rPr>
              <w:fldChar w:fldCharType="begin"/>
            </w:r>
            <w:r w:rsidR="00801F18">
              <w:rPr>
                <w:noProof/>
                <w:webHidden/>
              </w:rPr>
              <w:instrText xml:space="preserve"> PAGEREF _Toc447622240 \h </w:instrText>
            </w:r>
            <w:r>
              <w:rPr>
                <w:noProof/>
                <w:webHidden/>
              </w:rPr>
            </w:r>
            <w:r>
              <w:rPr>
                <w:noProof/>
                <w:webHidden/>
              </w:rPr>
              <w:fldChar w:fldCharType="separate"/>
            </w:r>
            <w:r w:rsidR="00EC4F5C">
              <w:rPr>
                <w:noProof/>
                <w:webHidden/>
              </w:rPr>
              <w:t>15</w:t>
            </w:r>
            <w:r>
              <w:rPr>
                <w:noProof/>
                <w:webHidden/>
              </w:rPr>
              <w:fldChar w:fldCharType="end"/>
            </w:r>
          </w:hyperlink>
        </w:p>
        <w:p w:rsidR="00801F18" w:rsidRDefault="003D19E2">
          <w:pPr>
            <w:pStyle w:val="Obsah2"/>
            <w:tabs>
              <w:tab w:val="left" w:pos="880"/>
              <w:tab w:val="right" w:leader="dot" w:pos="9060"/>
            </w:tabs>
            <w:rPr>
              <w:rFonts w:asciiTheme="minorHAnsi" w:eastAsiaTheme="minorEastAsia" w:hAnsiTheme="minorHAnsi"/>
              <w:noProof/>
              <w:sz w:val="22"/>
              <w:lang w:eastAsia="sk-SK"/>
            </w:rPr>
          </w:pPr>
          <w:hyperlink w:anchor="_Toc447622241" w:history="1">
            <w:r w:rsidR="00801F18" w:rsidRPr="00FE2E68">
              <w:rPr>
                <w:rStyle w:val="Hypertextovprepojenie"/>
                <w:noProof/>
              </w:rPr>
              <w:t>1.1</w:t>
            </w:r>
            <w:r w:rsidR="00801F18">
              <w:rPr>
                <w:rFonts w:asciiTheme="minorHAnsi" w:eastAsiaTheme="minorEastAsia" w:hAnsiTheme="minorHAnsi"/>
                <w:noProof/>
                <w:sz w:val="22"/>
                <w:lang w:eastAsia="sk-SK"/>
              </w:rPr>
              <w:tab/>
            </w:r>
            <w:r w:rsidR="00801F18" w:rsidRPr="00FE2E68">
              <w:rPr>
                <w:rStyle w:val="Hypertextovprepojenie"/>
                <w:noProof/>
              </w:rPr>
              <w:t>Vymedzenie podľa slovenskej právnej úpravy</w:t>
            </w:r>
            <w:r w:rsidR="00801F18">
              <w:rPr>
                <w:noProof/>
                <w:webHidden/>
              </w:rPr>
              <w:tab/>
            </w:r>
            <w:r>
              <w:rPr>
                <w:noProof/>
                <w:webHidden/>
              </w:rPr>
              <w:fldChar w:fldCharType="begin"/>
            </w:r>
            <w:r w:rsidR="00801F18">
              <w:rPr>
                <w:noProof/>
                <w:webHidden/>
              </w:rPr>
              <w:instrText xml:space="preserve"> PAGEREF _Toc447622241 \h </w:instrText>
            </w:r>
            <w:r>
              <w:rPr>
                <w:noProof/>
                <w:webHidden/>
              </w:rPr>
            </w:r>
            <w:r>
              <w:rPr>
                <w:noProof/>
                <w:webHidden/>
              </w:rPr>
              <w:fldChar w:fldCharType="separate"/>
            </w:r>
            <w:r w:rsidR="00EC4F5C">
              <w:rPr>
                <w:noProof/>
                <w:webHidden/>
              </w:rPr>
              <w:t>15</w:t>
            </w:r>
            <w:r>
              <w:rPr>
                <w:noProof/>
                <w:webHidden/>
              </w:rPr>
              <w:fldChar w:fldCharType="end"/>
            </w:r>
          </w:hyperlink>
        </w:p>
        <w:p w:rsidR="00801F18" w:rsidRDefault="003D19E2">
          <w:pPr>
            <w:pStyle w:val="Obsah2"/>
            <w:tabs>
              <w:tab w:val="left" w:pos="880"/>
              <w:tab w:val="right" w:leader="dot" w:pos="9060"/>
            </w:tabs>
            <w:rPr>
              <w:rFonts w:asciiTheme="minorHAnsi" w:eastAsiaTheme="minorEastAsia" w:hAnsiTheme="minorHAnsi"/>
              <w:noProof/>
              <w:sz w:val="22"/>
              <w:lang w:eastAsia="sk-SK"/>
            </w:rPr>
          </w:pPr>
          <w:hyperlink w:anchor="_Toc447622242" w:history="1">
            <w:r w:rsidR="00801F18" w:rsidRPr="00FE2E68">
              <w:rPr>
                <w:rStyle w:val="Hypertextovprepojenie"/>
                <w:noProof/>
              </w:rPr>
              <w:t>1.2</w:t>
            </w:r>
            <w:r w:rsidR="00801F18">
              <w:rPr>
                <w:rFonts w:asciiTheme="minorHAnsi" w:eastAsiaTheme="minorEastAsia" w:hAnsiTheme="minorHAnsi"/>
                <w:noProof/>
                <w:sz w:val="22"/>
                <w:lang w:eastAsia="sk-SK"/>
              </w:rPr>
              <w:tab/>
            </w:r>
            <w:r w:rsidR="00801F18" w:rsidRPr="00FE2E68">
              <w:rPr>
                <w:rStyle w:val="Hypertextovprepojenie"/>
                <w:noProof/>
              </w:rPr>
              <w:t>Právna úprava a vymedzenie v Českej republike a rozdiely oproti slovenskej právnej úprave</w:t>
            </w:r>
            <w:r w:rsidR="00801F18">
              <w:rPr>
                <w:noProof/>
                <w:webHidden/>
              </w:rPr>
              <w:tab/>
            </w:r>
            <w:r>
              <w:rPr>
                <w:noProof/>
                <w:webHidden/>
              </w:rPr>
              <w:fldChar w:fldCharType="begin"/>
            </w:r>
            <w:r w:rsidR="00801F18">
              <w:rPr>
                <w:noProof/>
                <w:webHidden/>
              </w:rPr>
              <w:instrText xml:space="preserve"> PAGEREF _Toc447622242 \h </w:instrText>
            </w:r>
            <w:r>
              <w:rPr>
                <w:noProof/>
                <w:webHidden/>
              </w:rPr>
            </w:r>
            <w:r>
              <w:rPr>
                <w:noProof/>
                <w:webHidden/>
              </w:rPr>
              <w:fldChar w:fldCharType="separate"/>
            </w:r>
            <w:r w:rsidR="00EC4F5C">
              <w:rPr>
                <w:noProof/>
                <w:webHidden/>
              </w:rPr>
              <w:t>16</w:t>
            </w:r>
            <w:r>
              <w:rPr>
                <w:noProof/>
                <w:webHidden/>
              </w:rPr>
              <w:fldChar w:fldCharType="end"/>
            </w:r>
          </w:hyperlink>
        </w:p>
        <w:p w:rsidR="00801F18" w:rsidRDefault="003D19E2">
          <w:pPr>
            <w:pStyle w:val="Obsah2"/>
            <w:tabs>
              <w:tab w:val="left" w:pos="880"/>
              <w:tab w:val="right" w:leader="dot" w:pos="9060"/>
            </w:tabs>
            <w:rPr>
              <w:rFonts w:asciiTheme="minorHAnsi" w:eastAsiaTheme="minorEastAsia" w:hAnsiTheme="minorHAnsi"/>
              <w:noProof/>
              <w:sz w:val="22"/>
              <w:lang w:eastAsia="sk-SK"/>
            </w:rPr>
          </w:pPr>
          <w:hyperlink w:anchor="_Toc447622243" w:history="1">
            <w:r w:rsidR="00801F18" w:rsidRPr="00FE2E68">
              <w:rPr>
                <w:rStyle w:val="Hypertextovprepojenie"/>
                <w:noProof/>
              </w:rPr>
              <w:t>1.3</w:t>
            </w:r>
            <w:r w:rsidR="00801F18">
              <w:rPr>
                <w:rFonts w:asciiTheme="minorHAnsi" w:eastAsiaTheme="minorEastAsia" w:hAnsiTheme="minorHAnsi"/>
                <w:noProof/>
                <w:sz w:val="22"/>
                <w:lang w:eastAsia="sk-SK"/>
              </w:rPr>
              <w:tab/>
            </w:r>
            <w:r w:rsidR="00801F18" w:rsidRPr="00FE2E68">
              <w:rPr>
                <w:rStyle w:val="Hypertextovprepojenie"/>
                <w:noProof/>
              </w:rPr>
              <w:t>Vymedzenie podľa IFRS</w:t>
            </w:r>
            <w:r w:rsidR="00801F18">
              <w:rPr>
                <w:noProof/>
                <w:webHidden/>
              </w:rPr>
              <w:tab/>
            </w:r>
            <w:r>
              <w:rPr>
                <w:noProof/>
                <w:webHidden/>
              </w:rPr>
              <w:fldChar w:fldCharType="begin"/>
            </w:r>
            <w:r w:rsidR="00801F18">
              <w:rPr>
                <w:noProof/>
                <w:webHidden/>
              </w:rPr>
              <w:instrText xml:space="preserve"> PAGEREF _Toc447622243 \h </w:instrText>
            </w:r>
            <w:r>
              <w:rPr>
                <w:noProof/>
                <w:webHidden/>
              </w:rPr>
            </w:r>
            <w:r>
              <w:rPr>
                <w:noProof/>
                <w:webHidden/>
              </w:rPr>
              <w:fldChar w:fldCharType="separate"/>
            </w:r>
            <w:r w:rsidR="00EC4F5C">
              <w:rPr>
                <w:noProof/>
                <w:webHidden/>
              </w:rPr>
              <w:t>17</w:t>
            </w:r>
            <w:r>
              <w:rPr>
                <w:noProof/>
                <w:webHidden/>
              </w:rPr>
              <w:fldChar w:fldCharType="end"/>
            </w:r>
          </w:hyperlink>
        </w:p>
        <w:p w:rsidR="00801F18" w:rsidRDefault="003D19E2">
          <w:pPr>
            <w:pStyle w:val="Obsah3"/>
            <w:tabs>
              <w:tab w:val="left" w:pos="1320"/>
              <w:tab w:val="right" w:leader="dot" w:pos="9060"/>
            </w:tabs>
            <w:rPr>
              <w:rFonts w:asciiTheme="minorHAnsi" w:eastAsiaTheme="minorEastAsia" w:hAnsiTheme="minorHAnsi"/>
              <w:noProof/>
              <w:sz w:val="22"/>
              <w:lang w:eastAsia="sk-SK"/>
            </w:rPr>
          </w:pPr>
          <w:hyperlink w:anchor="_Toc447622244" w:history="1">
            <w:r w:rsidR="00801F18" w:rsidRPr="00FE2E68">
              <w:rPr>
                <w:rStyle w:val="Hypertextovprepojenie"/>
                <w:noProof/>
              </w:rPr>
              <w:t>1.3.1</w:t>
            </w:r>
            <w:r w:rsidR="00801F18">
              <w:rPr>
                <w:rFonts w:asciiTheme="minorHAnsi" w:eastAsiaTheme="minorEastAsia" w:hAnsiTheme="minorHAnsi"/>
                <w:noProof/>
                <w:sz w:val="22"/>
                <w:lang w:eastAsia="sk-SK"/>
              </w:rPr>
              <w:tab/>
            </w:r>
            <w:r w:rsidR="00801F18" w:rsidRPr="00FE2E68">
              <w:rPr>
                <w:rStyle w:val="Hypertextovprepojenie"/>
                <w:noProof/>
              </w:rPr>
              <w:t>Vznik IFRS</w:t>
            </w:r>
            <w:r w:rsidR="00801F18">
              <w:rPr>
                <w:noProof/>
                <w:webHidden/>
              </w:rPr>
              <w:tab/>
            </w:r>
            <w:r>
              <w:rPr>
                <w:noProof/>
                <w:webHidden/>
              </w:rPr>
              <w:fldChar w:fldCharType="begin"/>
            </w:r>
            <w:r w:rsidR="00801F18">
              <w:rPr>
                <w:noProof/>
                <w:webHidden/>
              </w:rPr>
              <w:instrText xml:space="preserve"> PAGEREF _Toc447622244 \h </w:instrText>
            </w:r>
            <w:r>
              <w:rPr>
                <w:noProof/>
                <w:webHidden/>
              </w:rPr>
            </w:r>
            <w:r>
              <w:rPr>
                <w:noProof/>
                <w:webHidden/>
              </w:rPr>
              <w:fldChar w:fldCharType="separate"/>
            </w:r>
            <w:r w:rsidR="00EC4F5C">
              <w:rPr>
                <w:noProof/>
                <w:webHidden/>
              </w:rPr>
              <w:t>18</w:t>
            </w:r>
            <w:r>
              <w:rPr>
                <w:noProof/>
                <w:webHidden/>
              </w:rPr>
              <w:fldChar w:fldCharType="end"/>
            </w:r>
          </w:hyperlink>
        </w:p>
        <w:p w:rsidR="00801F18" w:rsidRDefault="003D19E2">
          <w:pPr>
            <w:pStyle w:val="Obsah3"/>
            <w:tabs>
              <w:tab w:val="left" w:pos="1320"/>
              <w:tab w:val="right" w:leader="dot" w:pos="9060"/>
            </w:tabs>
            <w:rPr>
              <w:rFonts w:asciiTheme="minorHAnsi" w:eastAsiaTheme="minorEastAsia" w:hAnsiTheme="minorHAnsi"/>
              <w:noProof/>
              <w:sz w:val="22"/>
              <w:lang w:eastAsia="sk-SK"/>
            </w:rPr>
          </w:pPr>
          <w:hyperlink w:anchor="_Toc447622245" w:history="1">
            <w:r w:rsidR="00801F18" w:rsidRPr="00FE2E68">
              <w:rPr>
                <w:rStyle w:val="Hypertextovprepojenie"/>
                <w:noProof/>
              </w:rPr>
              <w:t>1.3.2</w:t>
            </w:r>
            <w:r w:rsidR="00801F18">
              <w:rPr>
                <w:rFonts w:asciiTheme="minorHAnsi" w:eastAsiaTheme="minorEastAsia" w:hAnsiTheme="minorHAnsi"/>
                <w:noProof/>
                <w:sz w:val="22"/>
                <w:lang w:eastAsia="sk-SK"/>
              </w:rPr>
              <w:tab/>
            </w:r>
            <w:r w:rsidR="00801F18" w:rsidRPr="00FE2E68">
              <w:rPr>
                <w:rStyle w:val="Hypertextovprepojenie"/>
                <w:noProof/>
              </w:rPr>
              <w:t>Medzinárodný účtovný štandard 37</w:t>
            </w:r>
            <w:r w:rsidR="00801F18">
              <w:rPr>
                <w:noProof/>
                <w:webHidden/>
              </w:rPr>
              <w:tab/>
            </w:r>
            <w:r>
              <w:rPr>
                <w:noProof/>
                <w:webHidden/>
              </w:rPr>
              <w:fldChar w:fldCharType="begin"/>
            </w:r>
            <w:r w:rsidR="00801F18">
              <w:rPr>
                <w:noProof/>
                <w:webHidden/>
              </w:rPr>
              <w:instrText xml:space="preserve"> PAGEREF _Toc447622245 \h </w:instrText>
            </w:r>
            <w:r>
              <w:rPr>
                <w:noProof/>
                <w:webHidden/>
              </w:rPr>
            </w:r>
            <w:r>
              <w:rPr>
                <w:noProof/>
                <w:webHidden/>
              </w:rPr>
              <w:fldChar w:fldCharType="separate"/>
            </w:r>
            <w:r w:rsidR="00EC4F5C">
              <w:rPr>
                <w:noProof/>
                <w:webHidden/>
              </w:rPr>
              <w:t>18</w:t>
            </w:r>
            <w:r>
              <w:rPr>
                <w:noProof/>
                <w:webHidden/>
              </w:rPr>
              <w:fldChar w:fldCharType="end"/>
            </w:r>
          </w:hyperlink>
        </w:p>
        <w:p w:rsidR="00801F18" w:rsidRDefault="003D19E2">
          <w:pPr>
            <w:pStyle w:val="Obsah2"/>
            <w:tabs>
              <w:tab w:val="left" w:pos="880"/>
              <w:tab w:val="right" w:leader="dot" w:pos="9060"/>
            </w:tabs>
            <w:rPr>
              <w:rFonts w:asciiTheme="minorHAnsi" w:eastAsiaTheme="minorEastAsia" w:hAnsiTheme="minorHAnsi"/>
              <w:noProof/>
              <w:sz w:val="22"/>
              <w:lang w:eastAsia="sk-SK"/>
            </w:rPr>
          </w:pPr>
          <w:hyperlink w:anchor="_Toc447622246" w:history="1">
            <w:r w:rsidR="00801F18" w:rsidRPr="00FE2E68">
              <w:rPr>
                <w:rStyle w:val="Hypertextovprepojenie"/>
                <w:noProof/>
              </w:rPr>
              <w:t>1.4</w:t>
            </w:r>
            <w:r w:rsidR="00801F18">
              <w:rPr>
                <w:rFonts w:asciiTheme="minorHAnsi" w:eastAsiaTheme="minorEastAsia" w:hAnsiTheme="minorHAnsi"/>
                <w:noProof/>
                <w:sz w:val="22"/>
                <w:lang w:eastAsia="sk-SK"/>
              </w:rPr>
              <w:tab/>
            </w:r>
            <w:r w:rsidR="00801F18" w:rsidRPr="00FE2E68">
              <w:rPr>
                <w:rStyle w:val="Hypertextovprepojenie"/>
                <w:noProof/>
              </w:rPr>
              <w:t>Klasifikácia rezerv podľa jednotlivých kategórií</w:t>
            </w:r>
            <w:r w:rsidR="00801F18">
              <w:rPr>
                <w:noProof/>
                <w:webHidden/>
              </w:rPr>
              <w:tab/>
            </w:r>
            <w:r>
              <w:rPr>
                <w:noProof/>
                <w:webHidden/>
              </w:rPr>
              <w:fldChar w:fldCharType="begin"/>
            </w:r>
            <w:r w:rsidR="00801F18">
              <w:rPr>
                <w:noProof/>
                <w:webHidden/>
              </w:rPr>
              <w:instrText xml:space="preserve"> PAGEREF _Toc447622246 \h </w:instrText>
            </w:r>
            <w:r>
              <w:rPr>
                <w:noProof/>
                <w:webHidden/>
              </w:rPr>
            </w:r>
            <w:r>
              <w:rPr>
                <w:noProof/>
                <w:webHidden/>
              </w:rPr>
              <w:fldChar w:fldCharType="separate"/>
            </w:r>
            <w:r w:rsidR="00EC4F5C">
              <w:rPr>
                <w:noProof/>
                <w:webHidden/>
              </w:rPr>
              <w:t>20</w:t>
            </w:r>
            <w:r>
              <w:rPr>
                <w:noProof/>
                <w:webHidden/>
              </w:rPr>
              <w:fldChar w:fldCharType="end"/>
            </w:r>
          </w:hyperlink>
        </w:p>
        <w:p w:rsidR="00801F18" w:rsidRDefault="003D19E2">
          <w:pPr>
            <w:pStyle w:val="Obsah2"/>
            <w:tabs>
              <w:tab w:val="left" w:pos="880"/>
              <w:tab w:val="right" w:leader="dot" w:pos="9060"/>
            </w:tabs>
            <w:rPr>
              <w:rFonts w:asciiTheme="minorHAnsi" w:eastAsiaTheme="minorEastAsia" w:hAnsiTheme="minorHAnsi"/>
              <w:noProof/>
              <w:sz w:val="22"/>
              <w:lang w:eastAsia="sk-SK"/>
            </w:rPr>
          </w:pPr>
          <w:hyperlink w:anchor="_Toc447622247" w:history="1">
            <w:r w:rsidR="00801F18" w:rsidRPr="00FE2E68">
              <w:rPr>
                <w:rStyle w:val="Hypertextovprepojenie"/>
                <w:noProof/>
              </w:rPr>
              <w:t>1.5</w:t>
            </w:r>
            <w:r w:rsidR="00801F18">
              <w:rPr>
                <w:rFonts w:asciiTheme="minorHAnsi" w:eastAsiaTheme="minorEastAsia" w:hAnsiTheme="minorHAnsi"/>
                <w:noProof/>
                <w:sz w:val="22"/>
                <w:lang w:eastAsia="sk-SK"/>
              </w:rPr>
              <w:tab/>
            </w:r>
            <w:r w:rsidR="00801F18" w:rsidRPr="00FE2E68">
              <w:rPr>
                <w:rStyle w:val="Hypertextovprepojenie"/>
                <w:noProof/>
              </w:rPr>
              <w:t>Oceňovanie rezerv v účtovníctve</w:t>
            </w:r>
            <w:r w:rsidR="00801F18">
              <w:rPr>
                <w:noProof/>
                <w:webHidden/>
              </w:rPr>
              <w:tab/>
            </w:r>
            <w:r>
              <w:rPr>
                <w:noProof/>
                <w:webHidden/>
              </w:rPr>
              <w:fldChar w:fldCharType="begin"/>
            </w:r>
            <w:r w:rsidR="00801F18">
              <w:rPr>
                <w:noProof/>
                <w:webHidden/>
              </w:rPr>
              <w:instrText xml:space="preserve"> PAGEREF _Toc447622247 \h </w:instrText>
            </w:r>
            <w:r>
              <w:rPr>
                <w:noProof/>
                <w:webHidden/>
              </w:rPr>
            </w:r>
            <w:r>
              <w:rPr>
                <w:noProof/>
                <w:webHidden/>
              </w:rPr>
              <w:fldChar w:fldCharType="separate"/>
            </w:r>
            <w:r w:rsidR="00EC4F5C">
              <w:rPr>
                <w:noProof/>
                <w:webHidden/>
              </w:rPr>
              <w:t>22</w:t>
            </w:r>
            <w:r>
              <w:rPr>
                <w:noProof/>
                <w:webHidden/>
              </w:rPr>
              <w:fldChar w:fldCharType="end"/>
            </w:r>
          </w:hyperlink>
        </w:p>
        <w:p w:rsidR="00801F18" w:rsidRDefault="003D19E2">
          <w:pPr>
            <w:pStyle w:val="Obsah1"/>
            <w:tabs>
              <w:tab w:val="left" w:pos="480"/>
              <w:tab w:val="right" w:leader="dot" w:pos="9060"/>
            </w:tabs>
            <w:rPr>
              <w:rFonts w:asciiTheme="minorHAnsi" w:eastAsiaTheme="minorEastAsia" w:hAnsiTheme="minorHAnsi"/>
              <w:noProof/>
              <w:sz w:val="22"/>
              <w:lang w:eastAsia="sk-SK"/>
            </w:rPr>
          </w:pPr>
          <w:hyperlink w:anchor="_Toc447622248" w:history="1">
            <w:r w:rsidR="00801F18" w:rsidRPr="00FE2E68">
              <w:rPr>
                <w:rStyle w:val="Hypertextovprepojenie"/>
                <w:noProof/>
              </w:rPr>
              <w:t>2</w:t>
            </w:r>
            <w:r w:rsidR="00801F18">
              <w:rPr>
                <w:rFonts w:asciiTheme="minorHAnsi" w:eastAsiaTheme="minorEastAsia" w:hAnsiTheme="minorHAnsi"/>
                <w:noProof/>
                <w:sz w:val="22"/>
                <w:lang w:eastAsia="sk-SK"/>
              </w:rPr>
              <w:tab/>
            </w:r>
            <w:r w:rsidR="00801F18" w:rsidRPr="00FE2E68">
              <w:rPr>
                <w:rStyle w:val="Hypertextovprepojenie"/>
                <w:noProof/>
              </w:rPr>
              <w:t>Účtovanie rezerv a ich vplyv na daňovú povinnosť</w:t>
            </w:r>
            <w:r w:rsidR="00801F18">
              <w:rPr>
                <w:noProof/>
                <w:webHidden/>
              </w:rPr>
              <w:tab/>
            </w:r>
            <w:r>
              <w:rPr>
                <w:noProof/>
                <w:webHidden/>
              </w:rPr>
              <w:fldChar w:fldCharType="begin"/>
            </w:r>
            <w:r w:rsidR="00801F18">
              <w:rPr>
                <w:noProof/>
                <w:webHidden/>
              </w:rPr>
              <w:instrText xml:space="preserve"> PAGEREF _Toc447622248 \h </w:instrText>
            </w:r>
            <w:r>
              <w:rPr>
                <w:noProof/>
                <w:webHidden/>
              </w:rPr>
            </w:r>
            <w:r>
              <w:rPr>
                <w:noProof/>
                <w:webHidden/>
              </w:rPr>
              <w:fldChar w:fldCharType="separate"/>
            </w:r>
            <w:r w:rsidR="00EC4F5C">
              <w:rPr>
                <w:noProof/>
                <w:webHidden/>
              </w:rPr>
              <w:t>23</w:t>
            </w:r>
            <w:r>
              <w:rPr>
                <w:noProof/>
                <w:webHidden/>
              </w:rPr>
              <w:fldChar w:fldCharType="end"/>
            </w:r>
          </w:hyperlink>
        </w:p>
        <w:p w:rsidR="00801F18" w:rsidRDefault="003D19E2">
          <w:pPr>
            <w:pStyle w:val="Obsah2"/>
            <w:tabs>
              <w:tab w:val="left" w:pos="880"/>
              <w:tab w:val="right" w:leader="dot" w:pos="9060"/>
            </w:tabs>
            <w:rPr>
              <w:rFonts w:asciiTheme="minorHAnsi" w:eastAsiaTheme="minorEastAsia" w:hAnsiTheme="minorHAnsi"/>
              <w:noProof/>
              <w:sz w:val="22"/>
              <w:lang w:eastAsia="sk-SK"/>
            </w:rPr>
          </w:pPr>
          <w:hyperlink w:anchor="_Toc447622249" w:history="1">
            <w:r w:rsidR="00801F18" w:rsidRPr="00FE2E68">
              <w:rPr>
                <w:rStyle w:val="Hypertextovprepojenie"/>
                <w:noProof/>
              </w:rPr>
              <w:t>2.1</w:t>
            </w:r>
            <w:r w:rsidR="00801F18">
              <w:rPr>
                <w:rFonts w:asciiTheme="minorHAnsi" w:eastAsiaTheme="minorEastAsia" w:hAnsiTheme="minorHAnsi"/>
                <w:noProof/>
                <w:sz w:val="22"/>
                <w:lang w:eastAsia="sk-SK"/>
              </w:rPr>
              <w:tab/>
            </w:r>
            <w:r w:rsidR="00801F18" w:rsidRPr="00FE2E68">
              <w:rPr>
                <w:rStyle w:val="Hypertextovprepojenie"/>
                <w:noProof/>
              </w:rPr>
              <w:t>Účtovanie rezerv na Slovensku</w:t>
            </w:r>
            <w:r w:rsidR="00801F18">
              <w:rPr>
                <w:noProof/>
                <w:webHidden/>
              </w:rPr>
              <w:tab/>
            </w:r>
            <w:r>
              <w:rPr>
                <w:noProof/>
                <w:webHidden/>
              </w:rPr>
              <w:fldChar w:fldCharType="begin"/>
            </w:r>
            <w:r w:rsidR="00801F18">
              <w:rPr>
                <w:noProof/>
                <w:webHidden/>
              </w:rPr>
              <w:instrText xml:space="preserve"> PAGEREF _Toc447622249 \h </w:instrText>
            </w:r>
            <w:r>
              <w:rPr>
                <w:noProof/>
                <w:webHidden/>
              </w:rPr>
            </w:r>
            <w:r>
              <w:rPr>
                <w:noProof/>
                <w:webHidden/>
              </w:rPr>
              <w:fldChar w:fldCharType="separate"/>
            </w:r>
            <w:r w:rsidR="00EC4F5C">
              <w:rPr>
                <w:noProof/>
                <w:webHidden/>
              </w:rPr>
              <w:t>23</w:t>
            </w:r>
            <w:r>
              <w:rPr>
                <w:noProof/>
                <w:webHidden/>
              </w:rPr>
              <w:fldChar w:fldCharType="end"/>
            </w:r>
          </w:hyperlink>
        </w:p>
        <w:p w:rsidR="00801F18" w:rsidRDefault="003D19E2">
          <w:pPr>
            <w:pStyle w:val="Obsah2"/>
            <w:tabs>
              <w:tab w:val="left" w:pos="880"/>
              <w:tab w:val="right" w:leader="dot" w:pos="9060"/>
            </w:tabs>
            <w:rPr>
              <w:rFonts w:asciiTheme="minorHAnsi" w:eastAsiaTheme="minorEastAsia" w:hAnsiTheme="minorHAnsi"/>
              <w:noProof/>
              <w:sz w:val="22"/>
              <w:lang w:eastAsia="sk-SK"/>
            </w:rPr>
          </w:pPr>
          <w:hyperlink w:anchor="_Toc447622250" w:history="1">
            <w:r w:rsidR="00801F18" w:rsidRPr="00FE2E68">
              <w:rPr>
                <w:rStyle w:val="Hypertextovprepojenie"/>
                <w:noProof/>
              </w:rPr>
              <w:t>2.2</w:t>
            </w:r>
            <w:r w:rsidR="00801F18">
              <w:rPr>
                <w:rFonts w:asciiTheme="minorHAnsi" w:eastAsiaTheme="minorEastAsia" w:hAnsiTheme="minorHAnsi"/>
                <w:noProof/>
                <w:sz w:val="22"/>
                <w:lang w:eastAsia="sk-SK"/>
              </w:rPr>
              <w:tab/>
            </w:r>
            <w:r w:rsidR="00801F18" w:rsidRPr="00FE2E68">
              <w:rPr>
                <w:rStyle w:val="Hypertextovprepojenie"/>
                <w:noProof/>
              </w:rPr>
              <w:t>Účtovanie rezerv v Česku</w:t>
            </w:r>
            <w:r w:rsidR="00801F18">
              <w:rPr>
                <w:noProof/>
                <w:webHidden/>
              </w:rPr>
              <w:tab/>
            </w:r>
            <w:r>
              <w:rPr>
                <w:noProof/>
                <w:webHidden/>
              </w:rPr>
              <w:fldChar w:fldCharType="begin"/>
            </w:r>
            <w:r w:rsidR="00801F18">
              <w:rPr>
                <w:noProof/>
                <w:webHidden/>
              </w:rPr>
              <w:instrText xml:space="preserve"> PAGEREF _Toc447622250 \h </w:instrText>
            </w:r>
            <w:r>
              <w:rPr>
                <w:noProof/>
                <w:webHidden/>
              </w:rPr>
            </w:r>
            <w:r>
              <w:rPr>
                <w:noProof/>
                <w:webHidden/>
              </w:rPr>
              <w:fldChar w:fldCharType="separate"/>
            </w:r>
            <w:r w:rsidR="00EC4F5C">
              <w:rPr>
                <w:noProof/>
                <w:webHidden/>
              </w:rPr>
              <w:t>24</w:t>
            </w:r>
            <w:r>
              <w:rPr>
                <w:noProof/>
                <w:webHidden/>
              </w:rPr>
              <w:fldChar w:fldCharType="end"/>
            </w:r>
          </w:hyperlink>
        </w:p>
        <w:p w:rsidR="00801F18" w:rsidRDefault="003D19E2">
          <w:pPr>
            <w:pStyle w:val="Obsah2"/>
            <w:tabs>
              <w:tab w:val="left" w:pos="880"/>
              <w:tab w:val="right" w:leader="dot" w:pos="9060"/>
            </w:tabs>
            <w:rPr>
              <w:rFonts w:asciiTheme="minorHAnsi" w:eastAsiaTheme="minorEastAsia" w:hAnsiTheme="minorHAnsi"/>
              <w:noProof/>
              <w:sz w:val="22"/>
              <w:lang w:eastAsia="sk-SK"/>
            </w:rPr>
          </w:pPr>
          <w:hyperlink w:anchor="_Toc447622251" w:history="1">
            <w:r w:rsidR="00801F18" w:rsidRPr="00FE2E68">
              <w:rPr>
                <w:rStyle w:val="Hypertextovprepojenie"/>
                <w:noProof/>
              </w:rPr>
              <w:t>2.3</w:t>
            </w:r>
            <w:r w:rsidR="00801F18">
              <w:rPr>
                <w:rFonts w:asciiTheme="minorHAnsi" w:eastAsiaTheme="minorEastAsia" w:hAnsiTheme="minorHAnsi"/>
                <w:noProof/>
                <w:sz w:val="22"/>
                <w:lang w:eastAsia="sk-SK"/>
              </w:rPr>
              <w:tab/>
            </w:r>
            <w:r w:rsidR="00801F18" w:rsidRPr="00FE2E68">
              <w:rPr>
                <w:rStyle w:val="Hypertextovprepojenie"/>
                <w:noProof/>
              </w:rPr>
              <w:t>Daňový systém na Slovensku a v Česku</w:t>
            </w:r>
            <w:r w:rsidR="00801F18">
              <w:rPr>
                <w:noProof/>
                <w:webHidden/>
              </w:rPr>
              <w:tab/>
            </w:r>
            <w:r>
              <w:rPr>
                <w:noProof/>
                <w:webHidden/>
              </w:rPr>
              <w:fldChar w:fldCharType="begin"/>
            </w:r>
            <w:r w:rsidR="00801F18">
              <w:rPr>
                <w:noProof/>
                <w:webHidden/>
              </w:rPr>
              <w:instrText xml:space="preserve"> PAGEREF _Toc447622251 \h </w:instrText>
            </w:r>
            <w:r>
              <w:rPr>
                <w:noProof/>
                <w:webHidden/>
              </w:rPr>
            </w:r>
            <w:r>
              <w:rPr>
                <w:noProof/>
                <w:webHidden/>
              </w:rPr>
              <w:fldChar w:fldCharType="separate"/>
            </w:r>
            <w:r w:rsidR="00EC4F5C">
              <w:rPr>
                <w:noProof/>
                <w:webHidden/>
              </w:rPr>
              <w:t>25</w:t>
            </w:r>
            <w:r>
              <w:rPr>
                <w:noProof/>
                <w:webHidden/>
              </w:rPr>
              <w:fldChar w:fldCharType="end"/>
            </w:r>
          </w:hyperlink>
        </w:p>
        <w:p w:rsidR="00801F18" w:rsidRDefault="003D19E2">
          <w:pPr>
            <w:pStyle w:val="Obsah3"/>
            <w:tabs>
              <w:tab w:val="left" w:pos="1320"/>
              <w:tab w:val="right" w:leader="dot" w:pos="9060"/>
            </w:tabs>
            <w:rPr>
              <w:rFonts w:asciiTheme="minorHAnsi" w:eastAsiaTheme="minorEastAsia" w:hAnsiTheme="minorHAnsi"/>
              <w:noProof/>
              <w:sz w:val="22"/>
              <w:lang w:eastAsia="sk-SK"/>
            </w:rPr>
          </w:pPr>
          <w:hyperlink w:anchor="_Toc447622252" w:history="1">
            <w:r w:rsidR="00801F18" w:rsidRPr="00FE2E68">
              <w:rPr>
                <w:rStyle w:val="Hypertextovprepojenie"/>
                <w:noProof/>
              </w:rPr>
              <w:t>2.3.1</w:t>
            </w:r>
            <w:r w:rsidR="00801F18">
              <w:rPr>
                <w:rFonts w:asciiTheme="minorHAnsi" w:eastAsiaTheme="minorEastAsia" w:hAnsiTheme="minorHAnsi"/>
                <w:noProof/>
                <w:sz w:val="22"/>
                <w:lang w:eastAsia="sk-SK"/>
              </w:rPr>
              <w:tab/>
            </w:r>
            <w:r w:rsidR="00801F18" w:rsidRPr="00FE2E68">
              <w:rPr>
                <w:rStyle w:val="Hypertextovprepojenie"/>
                <w:noProof/>
              </w:rPr>
              <w:t>Daňový systém na Slovensku</w:t>
            </w:r>
            <w:r w:rsidR="00801F18">
              <w:rPr>
                <w:noProof/>
                <w:webHidden/>
              </w:rPr>
              <w:tab/>
            </w:r>
            <w:r>
              <w:rPr>
                <w:noProof/>
                <w:webHidden/>
              </w:rPr>
              <w:fldChar w:fldCharType="begin"/>
            </w:r>
            <w:r w:rsidR="00801F18">
              <w:rPr>
                <w:noProof/>
                <w:webHidden/>
              </w:rPr>
              <w:instrText xml:space="preserve"> PAGEREF _Toc447622252 \h </w:instrText>
            </w:r>
            <w:r>
              <w:rPr>
                <w:noProof/>
                <w:webHidden/>
              </w:rPr>
            </w:r>
            <w:r>
              <w:rPr>
                <w:noProof/>
                <w:webHidden/>
              </w:rPr>
              <w:fldChar w:fldCharType="separate"/>
            </w:r>
            <w:r w:rsidR="00EC4F5C">
              <w:rPr>
                <w:noProof/>
                <w:webHidden/>
              </w:rPr>
              <w:t>25</w:t>
            </w:r>
            <w:r>
              <w:rPr>
                <w:noProof/>
                <w:webHidden/>
              </w:rPr>
              <w:fldChar w:fldCharType="end"/>
            </w:r>
          </w:hyperlink>
        </w:p>
        <w:p w:rsidR="00801F18" w:rsidRDefault="003D19E2">
          <w:pPr>
            <w:pStyle w:val="Obsah3"/>
            <w:tabs>
              <w:tab w:val="left" w:pos="1320"/>
              <w:tab w:val="right" w:leader="dot" w:pos="9060"/>
            </w:tabs>
            <w:rPr>
              <w:rFonts w:asciiTheme="minorHAnsi" w:eastAsiaTheme="minorEastAsia" w:hAnsiTheme="minorHAnsi"/>
              <w:noProof/>
              <w:sz w:val="22"/>
              <w:lang w:eastAsia="sk-SK"/>
            </w:rPr>
          </w:pPr>
          <w:hyperlink w:anchor="_Toc447622253" w:history="1">
            <w:r w:rsidR="00801F18" w:rsidRPr="00FE2E68">
              <w:rPr>
                <w:rStyle w:val="Hypertextovprepojenie"/>
                <w:noProof/>
              </w:rPr>
              <w:t>2.3.2</w:t>
            </w:r>
            <w:r w:rsidR="00801F18">
              <w:rPr>
                <w:rFonts w:asciiTheme="minorHAnsi" w:eastAsiaTheme="minorEastAsia" w:hAnsiTheme="minorHAnsi"/>
                <w:noProof/>
                <w:sz w:val="22"/>
                <w:lang w:eastAsia="sk-SK"/>
              </w:rPr>
              <w:tab/>
            </w:r>
            <w:r w:rsidR="00801F18" w:rsidRPr="00FE2E68">
              <w:rPr>
                <w:rStyle w:val="Hypertextovprepojenie"/>
                <w:noProof/>
              </w:rPr>
              <w:t>Daňový systém v Českej republike</w:t>
            </w:r>
            <w:r w:rsidR="00801F18">
              <w:rPr>
                <w:noProof/>
                <w:webHidden/>
              </w:rPr>
              <w:tab/>
            </w:r>
            <w:r>
              <w:rPr>
                <w:noProof/>
                <w:webHidden/>
              </w:rPr>
              <w:fldChar w:fldCharType="begin"/>
            </w:r>
            <w:r w:rsidR="00801F18">
              <w:rPr>
                <w:noProof/>
                <w:webHidden/>
              </w:rPr>
              <w:instrText xml:space="preserve"> PAGEREF _Toc447622253 \h </w:instrText>
            </w:r>
            <w:r>
              <w:rPr>
                <w:noProof/>
                <w:webHidden/>
              </w:rPr>
            </w:r>
            <w:r>
              <w:rPr>
                <w:noProof/>
                <w:webHidden/>
              </w:rPr>
              <w:fldChar w:fldCharType="separate"/>
            </w:r>
            <w:r w:rsidR="00EC4F5C">
              <w:rPr>
                <w:noProof/>
                <w:webHidden/>
              </w:rPr>
              <w:t>26</w:t>
            </w:r>
            <w:r>
              <w:rPr>
                <w:noProof/>
                <w:webHidden/>
              </w:rPr>
              <w:fldChar w:fldCharType="end"/>
            </w:r>
          </w:hyperlink>
        </w:p>
        <w:p w:rsidR="00801F18" w:rsidRDefault="003D19E2">
          <w:pPr>
            <w:pStyle w:val="Obsah2"/>
            <w:tabs>
              <w:tab w:val="left" w:pos="880"/>
              <w:tab w:val="right" w:leader="dot" w:pos="9060"/>
            </w:tabs>
            <w:rPr>
              <w:rFonts w:asciiTheme="minorHAnsi" w:eastAsiaTheme="minorEastAsia" w:hAnsiTheme="minorHAnsi"/>
              <w:noProof/>
              <w:sz w:val="22"/>
              <w:lang w:eastAsia="sk-SK"/>
            </w:rPr>
          </w:pPr>
          <w:hyperlink w:anchor="_Toc447622254" w:history="1">
            <w:r w:rsidR="00801F18" w:rsidRPr="00FE2E68">
              <w:rPr>
                <w:rStyle w:val="Hypertextovprepojenie"/>
                <w:noProof/>
              </w:rPr>
              <w:t>2.4</w:t>
            </w:r>
            <w:r w:rsidR="00801F18">
              <w:rPr>
                <w:rFonts w:asciiTheme="minorHAnsi" w:eastAsiaTheme="minorEastAsia" w:hAnsiTheme="minorHAnsi"/>
                <w:noProof/>
                <w:sz w:val="22"/>
                <w:lang w:eastAsia="sk-SK"/>
              </w:rPr>
              <w:tab/>
            </w:r>
            <w:r w:rsidR="00801F18" w:rsidRPr="00FE2E68">
              <w:rPr>
                <w:rStyle w:val="Hypertextovprepojenie"/>
                <w:noProof/>
              </w:rPr>
              <w:t>Daňové rezervy</w:t>
            </w:r>
            <w:r w:rsidR="00801F18">
              <w:rPr>
                <w:noProof/>
                <w:webHidden/>
              </w:rPr>
              <w:tab/>
            </w:r>
            <w:r>
              <w:rPr>
                <w:noProof/>
                <w:webHidden/>
              </w:rPr>
              <w:fldChar w:fldCharType="begin"/>
            </w:r>
            <w:r w:rsidR="00801F18">
              <w:rPr>
                <w:noProof/>
                <w:webHidden/>
              </w:rPr>
              <w:instrText xml:space="preserve"> PAGEREF _Toc447622254 \h </w:instrText>
            </w:r>
            <w:r>
              <w:rPr>
                <w:noProof/>
                <w:webHidden/>
              </w:rPr>
            </w:r>
            <w:r>
              <w:rPr>
                <w:noProof/>
                <w:webHidden/>
              </w:rPr>
              <w:fldChar w:fldCharType="separate"/>
            </w:r>
            <w:r w:rsidR="00EC4F5C">
              <w:rPr>
                <w:noProof/>
                <w:webHidden/>
              </w:rPr>
              <w:t>27</w:t>
            </w:r>
            <w:r>
              <w:rPr>
                <w:noProof/>
                <w:webHidden/>
              </w:rPr>
              <w:fldChar w:fldCharType="end"/>
            </w:r>
          </w:hyperlink>
        </w:p>
        <w:p w:rsidR="00801F18" w:rsidRDefault="003D19E2">
          <w:pPr>
            <w:pStyle w:val="Obsah3"/>
            <w:tabs>
              <w:tab w:val="left" w:pos="1320"/>
              <w:tab w:val="right" w:leader="dot" w:pos="9060"/>
            </w:tabs>
            <w:rPr>
              <w:rFonts w:asciiTheme="minorHAnsi" w:eastAsiaTheme="minorEastAsia" w:hAnsiTheme="minorHAnsi"/>
              <w:noProof/>
              <w:sz w:val="22"/>
              <w:lang w:eastAsia="sk-SK"/>
            </w:rPr>
          </w:pPr>
          <w:hyperlink w:anchor="_Toc447622255" w:history="1">
            <w:r w:rsidR="00801F18" w:rsidRPr="00FE2E68">
              <w:rPr>
                <w:rStyle w:val="Hypertextovprepojenie"/>
                <w:noProof/>
              </w:rPr>
              <w:t>2.4.1</w:t>
            </w:r>
            <w:r w:rsidR="00801F18">
              <w:rPr>
                <w:rFonts w:asciiTheme="minorHAnsi" w:eastAsiaTheme="minorEastAsia" w:hAnsiTheme="minorHAnsi"/>
                <w:noProof/>
                <w:sz w:val="22"/>
                <w:lang w:eastAsia="sk-SK"/>
              </w:rPr>
              <w:tab/>
            </w:r>
            <w:r w:rsidR="00801F18" w:rsidRPr="00FE2E68">
              <w:rPr>
                <w:rStyle w:val="Hypertextovprepojenie"/>
                <w:noProof/>
              </w:rPr>
              <w:t>Daňové a nedaňové výdavky</w:t>
            </w:r>
            <w:r w:rsidR="00801F18">
              <w:rPr>
                <w:noProof/>
                <w:webHidden/>
              </w:rPr>
              <w:tab/>
            </w:r>
            <w:r>
              <w:rPr>
                <w:noProof/>
                <w:webHidden/>
              </w:rPr>
              <w:fldChar w:fldCharType="begin"/>
            </w:r>
            <w:r w:rsidR="00801F18">
              <w:rPr>
                <w:noProof/>
                <w:webHidden/>
              </w:rPr>
              <w:instrText xml:space="preserve"> PAGEREF _Toc447622255 \h </w:instrText>
            </w:r>
            <w:r>
              <w:rPr>
                <w:noProof/>
                <w:webHidden/>
              </w:rPr>
            </w:r>
            <w:r>
              <w:rPr>
                <w:noProof/>
                <w:webHidden/>
              </w:rPr>
              <w:fldChar w:fldCharType="separate"/>
            </w:r>
            <w:r w:rsidR="00EC4F5C">
              <w:rPr>
                <w:noProof/>
                <w:webHidden/>
              </w:rPr>
              <w:t>27</w:t>
            </w:r>
            <w:r>
              <w:rPr>
                <w:noProof/>
                <w:webHidden/>
              </w:rPr>
              <w:fldChar w:fldCharType="end"/>
            </w:r>
          </w:hyperlink>
        </w:p>
        <w:p w:rsidR="00801F18" w:rsidRDefault="003D19E2">
          <w:pPr>
            <w:pStyle w:val="Obsah3"/>
            <w:tabs>
              <w:tab w:val="left" w:pos="1320"/>
              <w:tab w:val="right" w:leader="dot" w:pos="9060"/>
            </w:tabs>
            <w:rPr>
              <w:rFonts w:asciiTheme="minorHAnsi" w:eastAsiaTheme="minorEastAsia" w:hAnsiTheme="minorHAnsi"/>
              <w:noProof/>
              <w:sz w:val="22"/>
              <w:lang w:eastAsia="sk-SK"/>
            </w:rPr>
          </w:pPr>
          <w:hyperlink w:anchor="_Toc447622256" w:history="1">
            <w:r w:rsidR="00801F18" w:rsidRPr="00FE2E68">
              <w:rPr>
                <w:rStyle w:val="Hypertextovprepojenie"/>
                <w:noProof/>
              </w:rPr>
              <w:t>2.4.2</w:t>
            </w:r>
            <w:r w:rsidR="00801F18">
              <w:rPr>
                <w:rFonts w:asciiTheme="minorHAnsi" w:eastAsiaTheme="minorEastAsia" w:hAnsiTheme="minorHAnsi"/>
                <w:noProof/>
                <w:sz w:val="22"/>
                <w:lang w:eastAsia="sk-SK"/>
              </w:rPr>
              <w:tab/>
            </w:r>
            <w:r w:rsidR="00801F18" w:rsidRPr="00FE2E68">
              <w:rPr>
                <w:rStyle w:val="Hypertextovprepojenie"/>
                <w:noProof/>
              </w:rPr>
              <w:t>Daňové rezervy</w:t>
            </w:r>
            <w:r w:rsidR="00801F18">
              <w:rPr>
                <w:noProof/>
                <w:webHidden/>
              </w:rPr>
              <w:tab/>
            </w:r>
            <w:r>
              <w:rPr>
                <w:noProof/>
                <w:webHidden/>
              </w:rPr>
              <w:fldChar w:fldCharType="begin"/>
            </w:r>
            <w:r w:rsidR="00801F18">
              <w:rPr>
                <w:noProof/>
                <w:webHidden/>
              </w:rPr>
              <w:instrText xml:space="preserve"> PAGEREF _Toc447622256 \h </w:instrText>
            </w:r>
            <w:r>
              <w:rPr>
                <w:noProof/>
                <w:webHidden/>
              </w:rPr>
            </w:r>
            <w:r>
              <w:rPr>
                <w:noProof/>
                <w:webHidden/>
              </w:rPr>
              <w:fldChar w:fldCharType="separate"/>
            </w:r>
            <w:r w:rsidR="00EC4F5C">
              <w:rPr>
                <w:noProof/>
                <w:webHidden/>
              </w:rPr>
              <w:t>28</w:t>
            </w:r>
            <w:r>
              <w:rPr>
                <w:noProof/>
                <w:webHidden/>
              </w:rPr>
              <w:fldChar w:fldCharType="end"/>
            </w:r>
          </w:hyperlink>
        </w:p>
        <w:p w:rsidR="00801F18" w:rsidRDefault="003D19E2">
          <w:pPr>
            <w:pStyle w:val="Obsah2"/>
            <w:tabs>
              <w:tab w:val="left" w:pos="880"/>
              <w:tab w:val="right" w:leader="dot" w:pos="9060"/>
            </w:tabs>
            <w:rPr>
              <w:rFonts w:asciiTheme="minorHAnsi" w:eastAsiaTheme="minorEastAsia" w:hAnsiTheme="minorHAnsi"/>
              <w:noProof/>
              <w:sz w:val="22"/>
              <w:lang w:eastAsia="sk-SK"/>
            </w:rPr>
          </w:pPr>
          <w:hyperlink w:anchor="_Toc447622257" w:history="1">
            <w:r w:rsidR="00801F18" w:rsidRPr="00FE2E68">
              <w:rPr>
                <w:rStyle w:val="Hypertextovprepojenie"/>
                <w:noProof/>
              </w:rPr>
              <w:t>2.5</w:t>
            </w:r>
            <w:r w:rsidR="00801F18">
              <w:rPr>
                <w:rFonts w:asciiTheme="minorHAnsi" w:eastAsiaTheme="minorEastAsia" w:hAnsiTheme="minorHAnsi"/>
                <w:noProof/>
                <w:sz w:val="22"/>
                <w:lang w:eastAsia="sk-SK"/>
              </w:rPr>
              <w:tab/>
            </w:r>
            <w:r w:rsidR="00801F18" w:rsidRPr="00FE2E68">
              <w:rPr>
                <w:rStyle w:val="Hypertextovprepojenie"/>
                <w:noProof/>
              </w:rPr>
              <w:t>Účtovné rezervy</w:t>
            </w:r>
            <w:r w:rsidR="00801F18">
              <w:rPr>
                <w:noProof/>
                <w:webHidden/>
              </w:rPr>
              <w:tab/>
            </w:r>
            <w:r>
              <w:rPr>
                <w:noProof/>
                <w:webHidden/>
              </w:rPr>
              <w:fldChar w:fldCharType="begin"/>
            </w:r>
            <w:r w:rsidR="00801F18">
              <w:rPr>
                <w:noProof/>
                <w:webHidden/>
              </w:rPr>
              <w:instrText xml:space="preserve"> PAGEREF _Toc447622257 \h </w:instrText>
            </w:r>
            <w:r>
              <w:rPr>
                <w:noProof/>
                <w:webHidden/>
              </w:rPr>
            </w:r>
            <w:r>
              <w:rPr>
                <w:noProof/>
                <w:webHidden/>
              </w:rPr>
              <w:fldChar w:fldCharType="separate"/>
            </w:r>
            <w:r w:rsidR="00EC4F5C">
              <w:rPr>
                <w:noProof/>
                <w:webHidden/>
              </w:rPr>
              <w:t>30</w:t>
            </w:r>
            <w:r>
              <w:rPr>
                <w:noProof/>
                <w:webHidden/>
              </w:rPr>
              <w:fldChar w:fldCharType="end"/>
            </w:r>
          </w:hyperlink>
        </w:p>
        <w:p w:rsidR="00801F18" w:rsidRDefault="003D19E2">
          <w:pPr>
            <w:pStyle w:val="Obsah2"/>
            <w:tabs>
              <w:tab w:val="left" w:pos="880"/>
              <w:tab w:val="right" w:leader="dot" w:pos="9060"/>
            </w:tabs>
            <w:rPr>
              <w:rFonts w:asciiTheme="minorHAnsi" w:eastAsiaTheme="minorEastAsia" w:hAnsiTheme="minorHAnsi"/>
              <w:noProof/>
              <w:sz w:val="22"/>
              <w:lang w:eastAsia="sk-SK"/>
            </w:rPr>
          </w:pPr>
          <w:hyperlink w:anchor="_Toc447622258" w:history="1">
            <w:r w:rsidR="00801F18" w:rsidRPr="00FE2E68">
              <w:rPr>
                <w:rStyle w:val="Hypertextovprepojenie"/>
                <w:noProof/>
              </w:rPr>
              <w:t>2.6</w:t>
            </w:r>
            <w:r w:rsidR="00801F18">
              <w:rPr>
                <w:rFonts w:asciiTheme="minorHAnsi" w:eastAsiaTheme="minorEastAsia" w:hAnsiTheme="minorHAnsi"/>
                <w:noProof/>
                <w:sz w:val="22"/>
                <w:lang w:eastAsia="sk-SK"/>
              </w:rPr>
              <w:tab/>
            </w:r>
            <w:r w:rsidR="00801F18" w:rsidRPr="00FE2E68">
              <w:rPr>
                <w:rStyle w:val="Hypertextovprepojenie"/>
                <w:noProof/>
              </w:rPr>
              <w:t>Rezervy v banskej činnosti</w:t>
            </w:r>
            <w:r w:rsidR="00801F18">
              <w:rPr>
                <w:noProof/>
                <w:webHidden/>
              </w:rPr>
              <w:tab/>
            </w:r>
            <w:r>
              <w:rPr>
                <w:noProof/>
                <w:webHidden/>
              </w:rPr>
              <w:fldChar w:fldCharType="begin"/>
            </w:r>
            <w:r w:rsidR="00801F18">
              <w:rPr>
                <w:noProof/>
                <w:webHidden/>
              </w:rPr>
              <w:instrText xml:space="preserve"> PAGEREF _Toc447622258 \h </w:instrText>
            </w:r>
            <w:r>
              <w:rPr>
                <w:noProof/>
                <w:webHidden/>
              </w:rPr>
            </w:r>
            <w:r>
              <w:rPr>
                <w:noProof/>
                <w:webHidden/>
              </w:rPr>
              <w:fldChar w:fldCharType="separate"/>
            </w:r>
            <w:r w:rsidR="00EC4F5C">
              <w:rPr>
                <w:noProof/>
                <w:webHidden/>
              </w:rPr>
              <w:t>30</w:t>
            </w:r>
            <w:r>
              <w:rPr>
                <w:noProof/>
                <w:webHidden/>
              </w:rPr>
              <w:fldChar w:fldCharType="end"/>
            </w:r>
          </w:hyperlink>
        </w:p>
        <w:p w:rsidR="00801F18" w:rsidRDefault="003D19E2">
          <w:pPr>
            <w:pStyle w:val="Obsah1"/>
            <w:tabs>
              <w:tab w:val="left" w:pos="480"/>
              <w:tab w:val="right" w:leader="dot" w:pos="9060"/>
            </w:tabs>
            <w:rPr>
              <w:rFonts w:asciiTheme="minorHAnsi" w:eastAsiaTheme="minorEastAsia" w:hAnsiTheme="minorHAnsi"/>
              <w:noProof/>
              <w:sz w:val="22"/>
              <w:lang w:eastAsia="sk-SK"/>
            </w:rPr>
          </w:pPr>
          <w:hyperlink w:anchor="_Toc447622259" w:history="1">
            <w:r w:rsidR="00801F18" w:rsidRPr="00FE2E68">
              <w:rPr>
                <w:rStyle w:val="Hypertextovprepojenie"/>
                <w:noProof/>
              </w:rPr>
              <w:t>3</w:t>
            </w:r>
            <w:r w:rsidR="00801F18">
              <w:rPr>
                <w:rFonts w:asciiTheme="minorHAnsi" w:eastAsiaTheme="minorEastAsia" w:hAnsiTheme="minorHAnsi"/>
                <w:noProof/>
                <w:sz w:val="22"/>
                <w:lang w:eastAsia="sk-SK"/>
              </w:rPr>
              <w:tab/>
            </w:r>
            <w:r w:rsidR="00801F18" w:rsidRPr="00FE2E68">
              <w:rPr>
                <w:rStyle w:val="Hypertextovprepojenie"/>
                <w:noProof/>
              </w:rPr>
              <w:t>Analýza tvorby rezerv v konkrétnom podniku</w:t>
            </w:r>
            <w:r w:rsidR="00801F18">
              <w:rPr>
                <w:noProof/>
                <w:webHidden/>
              </w:rPr>
              <w:tab/>
            </w:r>
            <w:r>
              <w:rPr>
                <w:noProof/>
                <w:webHidden/>
              </w:rPr>
              <w:fldChar w:fldCharType="begin"/>
            </w:r>
            <w:r w:rsidR="00801F18">
              <w:rPr>
                <w:noProof/>
                <w:webHidden/>
              </w:rPr>
              <w:instrText xml:space="preserve"> PAGEREF _Toc447622259 \h </w:instrText>
            </w:r>
            <w:r>
              <w:rPr>
                <w:noProof/>
                <w:webHidden/>
              </w:rPr>
            </w:r>
            <w:r>
              <w:rPr>
                <w:noProof/>
                <w:webHidden/>
              </w:rPr>
              <w:fldChar w:fldCharType="separate"/>
            </w:r>
            <w:r w:rsidR="00EC4F5C">
              <w:rPr>
                <w:noProof/>
                <w:webHidden/>
              </w:rPr>
              <w:t>33</w:t>
            </w:r>
            <w:r>
              <w:rPr>
                <w:noProof/>
                <w:webHidden/>
              </w:rPr>
              <w:fldChar w:fldCharType="end"/>
            </w:r>
          </w:hyperlink>
        </w:p>
        <w:p w:rsidR="00801F18" w:rsidRDefault="003D19E2">
          <w:pPr>
            <w:pStyle w:val="Obsah2"/>
            <w:tabs>
              <w:tab w:val="left" w:pos="880"/>
              <w:tab w:val="right" w:leader="dot" w:pos="9060"/>
            </w:tabs>
            <w:rPr>
              <w:rFonts w:asciiTheme="minorHAnsi" w:eastAsiaTheme="minorEastAsia" w:hAnsiTheme="minorHAnsi"/>
              <w:noProof/>
              <w:sz w:val="22"/>
              <w:lang w:eastAsia="sk-SK"/>
            </w:rPr>
          </w:pPr>
          <w:hyperlink w:anchor="_Toc447622260" w:history="1">
            <w:r w:rsidR="00801F18" w:rsidRPr="00FE2E68">
              <w:rPr>
                <w:rStyle w:val="Hypertextovprepojenie"/>
                <w:noProof/>
              </w:rPr>
              <w:t>3.1</w:t>
            </w:r>
            <w:r w:rsidR="00801F18">
              <w:rPr>
                <w:rFonts w:asciiTheme="minorHAnsi" w:eastAsiaTheme="minorEastAsia" w:hAnsiTheme="minorHAnsi"/>
                <w:noProof/>
                <w:sz w:val="22"/>
                <w:lang w:eastAsia="sk-SK"/>
              </w:rPr>
              <w:tab/>
            </w:r>
            <w:r w:rsidR="00801F18" w:rsidRPr="00FE2E68">
              <w:rPr>
                <w:rStyle w:val="Hypertextovprepojenie"/>
                <w:noProof/>
              </w:rPr>
              <w:t>Charakteristika spoločnosti Hornonitrianske bane Prievidza, a.s.</w:t>
            </w:r>
            <w:r w:rsidR="00801F18">
              <w:rPr>
                <w:noProof/>
                <w:webHidden/>
              </w:rPr>
              <w:tab/>
            </w:r>
            <w:r>
              <w:rPr>
                <w:noProof/>
                <w:webHidden/>
              </w:rPr>
              <w:fldChar w:fldCharType="begin"/>
            </w:r>
            <w:r w:rsidR="00801F18">
              <w:rPr>
                <w:noProof/>
                <w:webHidden/>
              </w:rPr>
              <w:instrText xml:space="preserve"> PAGEREF _Toc447622260 \h </w:instrText>
            </w:r>
            <w:r>
              <w:rPr>
                <w:noProof/>
                <w:webHidden/>
              </w:rPr>
            </w:r>
            <w:r>
              <w:rPr>
                <w:noProof/>
                <w:webHidden/>
              </w:rPr>
              <w:fldChar w:fldCharType="separate"/>
            </w:r>
            <w:r w:rsidR="00EC4F5C">
              <w:rPr>
                <w:noProof/>
                <w:webHidden/>
              </w:rPr>
              <w:t>33</w:t>
            </w:r>
            <w:r>
              <w:rPr>
                <w:noProof/>
                <w:webHidden/>
              </w:rPr>
              <w:fldChar w:fldCharType="end"/>
            </w:r>
          </w:hyperlink>
        </w:p>
        <w:p w:rsidR="00801F18" w:rsidRDefault="003D19E2">
          <w:pPr>
            <w:pStyle w:val="Obsah2"/>
            <w:tabs>
              <w:tab w:val="left" w:pos="880"/>
              <w:tab w:val="right" w:leader="dot" w:pos="9060"/>
            </w:tabs>
            <w:rPr>
              <w:rFonts w:asciiTheme="minorHAnsi" w:eastAsiaTheme="minorEastAsia" w:hAnsiTheme="minorHAnsi"/>
              <w:noProof/>
              <w:sz w:val="22"/>
              <w:lang w:eastAsia="sk-SK"/>
            </w:rPr>
          </w:pPr>
          <w:hyperlink w:anchor="_Toc447622261" w:history="1">
            <w:r w:rsidR="00801F18" w:rsidRPr="00FE2E68">
              <w:rPr>
                <w:rStyle w:val="Hypertextovprepojenie"/>
                <w:noProof/>
              </w:rPr>
              <w:t>3.2</w:t>
            </w:r>
            <w:r w:rsidR="00801F18">
              <w:rPr>
                <w:rFonts w:asciiTheme="minorHAnsi" w:eastAsiaTheme="minorEastAsia" w:hAnsiTheme="minorHAnsi"/>
                <w:noProof/>
                <w:sz w:val="22"/>
                <w:lang w:eastAsia="sk-SK"/>
              </w:rPr>
              <w:tab/>
            </w:r>
            <w:r w:rsidR="00801F18" w:rsidRPr="00FE2E68">
              <w:rPr>
                <w:rStyle w:val="Hypertextovprepojenie"/>
                <w:noProof/>
              </w:rPr>
              <w:t>Tvorba rezerv v HBP, a.s.</w:t>
            </w:r>
            <w:r w:rsidR="00801F18">
              <w:rPr>
                <w:noProof/>
                <w:webHidden/>
              </w:rPr>
              <w:tab/>
            </w:r>
            <w:r>
              <w:rPr>
                <w:noProof/>
                <w:webHidden/>
              </w:rPr>
              <w:fldChar w:fldCharType="begin"/>
            </w:r>
            <w:r w:rsidR="00801F18">
              <w:rPr>
                <w:noProof/>
                <w:webHidden/>
              </w:rPr>
              <w:instrText xml:space="preserve"> PAGEREF _Toc447622261 \h </w:instrText>
            </w:r>
            <w:r>
              <w:rPr>
                <w:noProof/>
                <w:webHidden/>
              </w:rPr>
            </w:r>
            <w:r>
              <w:rPr>
                <w:noProof/>
                <w:webHidden/>
              </w:rPr>
              <w:fldChar w:fldCharType="separate"/>
            </w:r>
            <w:r w:rsidR="00EC4F5C">
              <w:rPr>
                <w:noProof/>
                <w:webHidden/>
              </w:rPr>
              <w:t>35</w:t>
            </w:r>
            <w:r>
              <w:rPr>
                <w:noProof/>
                <w:webHidden/>
              </w:rPr>
              <w:fldChar w:fldCharType="end"/>
            </w:r>
          </w:hyperlink>
        </w:p>
        <w:p w:rsidR="00801F18" w:rsidRDefault="003D19E2">
          <w:pPr>
            <w:pStyle w:val="Obsah2"/>
            <w:tabs>
              <w:tab w:val="left" w:pos="880"/>
              <w:tab w:val="right" w:leader="dot" w:pos="9060"/>
            </w:tabs>
            <w:rPr>
              <w:rFonts w:asciiTheme="minorHAnsi" w:eastAsiaTheme="minorEastAsia" w:hAnsiTheme="minorHAnsi"/>
              <w:noProof/>
              <w:sz w:val="22"/>
              <w:lang w:eastAsia="sk-SK"/>
            </w:rPr>
          </w:pPr>
          <w:hyperlink w:anchor="_Toc447622262" w:history="1">
            <w:r w:rsidR="00801F18" w:rsidRPr="00FE2E68">
              <w:rPr>
                <w:rStyle w:val="Hypertextovprepojenie"/>
                <w:noProof/>
              </w:rPr>
              <w:t>3.3</w:t>
            </w:r>
            <w:r w:rsidR="00801F18">
              <w:rPr>
                <w:rFonts w:asciiTheme="minorHAnsi" w:eastAsiaTheme="minorEastAsia" w:hAnsiTheme="minorHAnsi"/>
                <w:noProof/>
                <w:sz w:val="22"/>
                <w:lang w:eastAsia="sk-SK"/>
              </w:rPr>
              <w:tab/>
            </w:r>
            <w:r w:rsidR="00801F18" w:rsidRPr="00FE2E68">
              <w:rPr>
                <w:rStyle w:val="Hypertextovprepojenie"/>
                <w:noProof/>
              </w:rPr>
              <w:t>Tvorba a použitie rezerv na banské škody</w:t>
            </w:r>
            <w:r w:rsidR="00801F18">
              <w:rPr>
                <w:noProof/>
                <w:webHidden/>
              </w:rPr>
              <w:tab/>
            </w:r>
            <w:r>
              <w:rPr>
                <w:noProof/>
                <w:webHidden/>
              </w:rPr>
              <w:fldChar w:fldCharType="begin"/>
            </w:r>
            <w:r w:rsidR="00801F18">
              <w:rPr>
                <w:noProof/>
                <w:webHidden/>
              </w:rPr>
              <w:instrText xml:space="preserve"> PAGEREF _Toc447622262 \h </w:instrText>
            </w:r>
            <w:r>
              <w:rPr>
                <w:noProof/>
                <w:webHidden/>
              </w:rPr>
            </w:r>
            <w:r>
              <w:rPr>
                <w:noProof/>
                <w:webHidden/>
              </w:rPr>
              <w:fldChar w:fldCharType="separate"/>
            </w:r>
            <w:r w:rsidR="00EC4F5C">
              <w:rPr>
                <w:noProof/>
                <w:webHidden/>
              </w:rPr>
              <w:t>36</w:t>
            </w:r>
            <w:r>
              <w:rPr>
                <w:noProof/>
                <w:webHidden/>
              </w:rPr>
              <w:fldChar w:fldCharType="end"/>
            </w:r>
          </w:hyperlink>
        </w:p>
        <w:p w:rsidR="00801F18" w:rsidRDefault="003D19E2">
          <w:pPr>
            <w:pStyle w:val="Obsah3"/>
            <w:tabs>
              <w:tab w:val="left" w:pos="1320"/>
              <w:tab w:val="right" w:leader="dot" w:pos="9060"/>
            </w:tabs>
            <w:rPr>
              <w:rFonts w:asciiTheme="minorHAnsi" w:eastAsiaTheme="minorEastAsia" w:hAnsiTheme="minorHAnsi"/>
              <w:noProof/>
              <w:sz w:val="22"/>
              <w:lang w:eastAsia="sk-SK"/>
            </w:rPr>
          </w:pPr>
          <w:hyperlink w:anchor="_Toc447622263" w:history="1">
            <w:r w:rsidR="00801F18" w:rsidRPr="00FE2E68">
              <w:rPr>
                <w:rStyle w:val="Hypertextovprepojenie"/>
                <w:noProof/>
              </w:rPr>
              <w:t>3.3.1</w:t>
            </w:r>
            <w:r w:rsidR="00801F18">
              <w:rPr>
                <w:rFonts w:asciiTheme="minorHAnsi" w:eastAsiaTheme="minorEastAsia" w:hAnsiTheme="minorHAnsi"/>
                <w:noProof/>
                <w:sz w:val="22"/>
                <w:lang w:eastAsia="sk-SK"/>
              </w:rPr>
              <w:tab/>
            </w:r>
            <w:r w:rsidR="00801F18" w:rsidRPr="00FE2E68">
              <w:rPr>
                <w:rStyle w:val="Hypertextovprepojenie"/>
                <w:noProof/>
              </w:rPr>
              <w:t>Tvorba rezerv</w:t>
            </w:r>
            <w:r w:rsidR="00801F18">
              <w:rPr>
                <w:noProof/>
                <w:webHidden/>
              </w:rPr>
              <w:tab/>
            </w:r>
            <w:r>
              <w:rPr>
                <w:noProof/>
                <w:webHidden/>
              </w:rPr>
              <w:fldChar w:fldCharType="begin"/>
            </w:r>
            <w:r w:rsidR="00801F18">
              <w:rPr>
                <w:noProof/>
                <w:webHidden/>
              </w:rPr>
              <w:instrText xml:space="preserve"> PAGEREF _Toc447622263 \h </w:instrText>
            </w:r>
            <w:r>
              <w:rPr>
                <w:noProof/>
                <w:webHidden/>
              </w:rPr>
            </w:r>
            <w:r>
              <w:rPr>
                <w:noProof/>
                <w:webHidden/>
              </w:rPr>
              <w:fldChar w:fldCharType="separate"/>
            </w:r>
            <w:r w:rsidR="00EC4F5C">
              <w:rPr>
                <w:noProof/>
                <w:webHidden/>
              </w:rPr>
              <w:t>36</w:t>
            </w:r>
            <w:r>
              <w:rPr>
                <w:noProof/>
                <w:webHidden/>
              </w:rPr>
              <w:fldChar w:fldCharType="end"/>
            </w:r>
          </w:hyperlink>
        </w:p>
        <w:p w:rsidR="00801F18" w:rsidRDefault="003D19E2">
          <w:pPr>
            <w:pStyle w:val="Obsah3"/>
            <w:tabs>
              <w:tab w:val="left" w:pos="1320"/>
              <w:tab w:val="right" w:leader="dot" w:pos="9060"/>
            </w:tabs>
            <w:rPr>
              <w:rFonts w:asciiTheme="minorHAnsi" w:eastAsiaTheme="minorEastAsia" w:hAnsiTheme="minorHAnsi"/>
              <w:noProof/>
              <w:sz w:val="22"/>
              <w:lang w:eastAsia="sk-SK"/>
            </w:rPr>
          </w:pPr>
          <w:hyperlink w:anchor="_Toc447622264" w:history="1">
            <w:r w:rsidR="00801F18" w:rsidRPr="00FE2E68">
              <w:rPr>
                <w:rStyle w:val="Hypertextovprepojenie"/>
                <w:noProof/>
              </w:rPr>
              <w:t>3.3.2</w:t>
            </w:r>
            <w:r w:rsidR="00801F18">
              <w:rPr>
                <w:rFonts w:asciiTheme="minorHAnsi" w:eastAsiaTheme="minorEastAsia" w:hAnsiTheme="minorHAnsi"/>
                <w:noProof/>
                <w:sz w:val="22"/>
                <w:lang w:eastAsia="sk-SK"/>
              </w:rPr>
              <w:tab/>
            </w:r>
            <w:r w:rsidR="00801F18" w:rsidRPr="00FE2E68">
              <w:rPr>
                <w:rStyle w:val="Hypertextovprepojenie"/>
                <w:noProof/>
              </w:rPr>
              <w:t>Použitie rezerv</w:t>
            </w:r>
            <w:r w:rsidR="00801F18">
              <w:rPr>
                <w:noProof/>
                <w:webHidden/>
              </w:rPr>
              <w:tab/>
            </w:r>
            <w:r>
              <w:rPr>
                <w:noProof/>
                <w:webHidden/>
              </w:rPr>
              <w:fldChar w:fldCharType="begin"/>
            </w:r>
            <w:r w:rsidR="00801F18">
              <w:rPr>
                <w:noProof/>
                <w:webHidden/>
              </w:rPr>
              <w:instrText xml:space="preserve"> PAGEREF _Toc447622264 \h </w:instrText>
            </w:r>
            <w:r>
              <w:rPr>
                <w:noProof/>
                <w:webHidden/>
              </w:rPr>
            </w:r>
            <w:r>
              <w:rPr>
                <w:noProof/>
                <w:webHidden/>
              </w:rPr>
              <w:fldChar w:fldCharType="separate"/>
            </w:r>
            <w:r w:rsidR="00EC4F5C">
              <w:rPr>
                <w:noProof/>
                <w:webHidden/>
              </w:rPr>
              <w:t>37</w:t>
            </w:r>
            <w:r>
              <w:rPr>
                <w:noProof/>
                <w:webHidden/>
              </w:rPr>
              <w:fldChar w:fldCharType="end"/>
            </w:r>
          </w:hyperlink>
        </w:p>
        <w:p w:rsidR="00801F18" w:rsidRDefault="003D19E2">
          <w:pPr>
            <w:pStyle w:val="Obsah3"/>
            <w:tabs>
              <w:tab w:val="left" w:pos="1320"/>
              <w:tab w:val="right" w:leader="dot" w:pos="9060"/>
            </w:tabs>
            <w:rPr>
              <w:rFonts w:asciiTheme="minorHAnsi" w:eastAsiaTheme="minorEastAsia" w:hAnsiTheme="minorHAnsi"/>
              <w:noProof/>
              <w:sz w:val="22"/>
              <w:lang w:eastAsia="sk-SK"/>
            </w:rPr>
          </w:pPr>
          <w:hyperlink w:anchor="_Toc447622265" w:history="1">
            <w:r w:rsidR="00801F18" w:rsidRPr="00FE2E68">
              <w:rPr>
                <w:rStyle w:val="Hypertextovprepojenie"/>
                <w:noProof/>
              </w:rPr>
              <w:t>3.3.3</w:t>
            </w:r>
            <w:r w:rsidR="00801F18">
              <w:rPr>
                <w:rFonts w:asciiTheme="minorHAnsi" w:eastAsiaTheme="minorEastAsia" w:hAnsiTheme="minorHAnsi"/>
                <w:noProof/>
                <w:sz w:val="22"/>
                <w:lang w:eastAsia="sk-SK"/>
              </w:rPr>
              <w:tab/>
            </w:r>
            <w:r w:rsidR="00801F18" w:rsidRPr="00FE2E68">
              <w:rPr>
                <w:rStyle w:val="Hypertextovprepojenie"/>
                <w:noProof/>
              </w:rPr>
              <w:t>Čerpanie a účtovanie rezerv</w:t>
            </w:r>
            <w:r w:rsidR="00801F18">
              <w:rPr>
                <w:noProof/>
                <w:webHidden/>
              </w:rPr>
              <w:tab/>
            </w:r>
            <w:r>
              <w:rPr>
                <w:noProof/>
                <w:webHidden/>
              </w:rPr>
              <w:fldChar w:fldCharType="begin"/>
            </w:r>
            <w:r w:rsidR="00801F18">
              <w:rPr>
                <w:noProof/>
                <w:webHidden/>
              </w:rPr>
              <w:instrText xml:space="preserve"> PAGEREF _Toc447622265 \h </w:instrText>
            </w:r>
            <w:r>
              <w:rPr>
                <w:noProof/>
                <w:webHidden/>
              </w:rPr>
            </w:r>
            <w:r>
              <w:rPr>
                <w:noProof/>
                <w:webHidden/>
              </w:rPr>
              <w:fldChar w:fldCharType="separate"/>
            </w:r>
            <w:r w:rsidR="00EC4F5C">
              <w:rPr>
                <w:noProof/>
                <w:webHidden/>
              </w:rPr>
              <w:t>39</w:t>
            </w:r>
            <w:r>
              <w:rPr>
                <w:noProof/>
                <w:webHidden/>
              </w:rPr>
              <w:fldChar w:fldCharType="end"/>
            </w:r>
          </w:hyperlink>
        </w:p>
        <w:p w:rsidR="00801F18" w:rsidRDefault="003D19E2">
          <w:pPr>
            <w:pStyle w:val="Obsah2"/>
            <w:tabs>
              <w:tab w:val="left" w:pos="880"/>
              <w:tab w:val="right" w:leader="dot" w:pos="9060"/>
            </w:tabs>
            <w:rPr>
              <w:rFonts w:asciiTheme="minorHAnsi" w:eastAsiaTheme="minorEastAsia" w:hAnsiTheme="minorHAnsi"/>
              <w:noProof/>
              <w:sz w:val="22"/>
              <w:lang w:eastAsia="sk-SK"/>
            </w:rPr>
          </w:pPr>
          <w:hyperlink w:anchor="_Toc447622266" w:history="1">
            <w:r w:rsidR="00801F18" w:rsidRPr="00FE2E68">
              <w:rPr>
                <w:rStyle w:val="Hypertextovprepojenie"/>
                <w:noProof/>
              </w:rPr>
              <w:t>3.4</w:t>
            </w:r>
            <w:r w:rsidR="00801F18">
              <w:rPr>
                <w:rFonts w:asciiTheme="minorHAnsi" w:eastAsiaTheme="minorEastAsia" w:hAnsiTheme="minorHAnsi"/>
                <w:noProof/>
                <w:sz w:val="22"/>
                <w:lang w:eastAsia="sk-SK"/>
              </w:rPr>
              <w:tab/>
            </w:r>
            <w:r w:rsidR="00801F18" w:rsidRPr="00FE2E68">
              <w:rPr>
                <w:rStyle w:val="Hypertextovprepojenie"/>
                <w:noProof/>
              </w:rPr>
              <w:t>Analýza konkrétnych príkladov tvorby rezerv na banské škody v HBP, a.s.</w:t>
            </w:r>
            <w:r w:rsidR="00801F18">
              <w:rPr>
                <w:noProof/>
                <w:webHidden/>
              </w:rPr>
              <w:tab/>
            </w:r>
            <w:r>
              <w:rPr>
                <w:noProof/>
                <w:webHidden/>
              </w:rPr>
              <w:fldChar w:fldCharType="begin"/>
            </w:r>
            <w:r w:rsidR="00801F18">
              <w:rPr>
                <w:noProof/>
                <w:webHidden/>
              </w:rPr>
              <w:instrText xml:space="preserve"> PAGEREF _Toc447622266 \h </w:instrText>
            </w:r>
            <w:r>
              <w:rPr>
                <w:noProof/>
                <w:webHidden/>
              </w:rPr>
            </w:r>
            <w:r>
              <w:rPr>
                <w:noProof/>
                <w:webHidden/>
              </w:rPr>
              <w:fldChar w:fldCharType="separate"/>
            </w:r>
            <w:r w:rsidR="00EC4F5C">
              <w:rPr>
                <w:noProof/>
                <w:webHidden/>
              </w:rPr>
              <w:t>40</w:t>
            </w:r>
            <w:r>
              <w:rPr>
                <w:noProof/>
                <w:webHidden/>
              </w:rPr>
              <w:fldChar w:fldCharType="end"/>
            </w:r>
          </w:hyperlink>
        </w:p>
        <w:p w:rsidR="00801F18" w:rsidRDefault="003D19E2">
          <w:pPr>
            <w:pStyle w:val="Obsah3"/>
            <w:tabs>
              <w:tab w:val="left" w:pos="1320"/>
              <w:tab w:val="right" w:leader="dot" w:pos="9060"/>
            </w:tabs>
            <w:rPr>
              <w:rFonts w:asciiTheme="minorHAnsi" w:eastAsiaTheme="minorEastAsia" w:hAnsiTheme="minorHAnsi"/>
              <w:noProof/>
              <w:sz w:val="22"/>
              <w:lang w:eastAsia="sk-SK"/>
            </w:rPr>
          </w:pPr>
          <w:hyperlink w:anchor="_Toc447622267" w:history="1">
            <w:r w:rsidR="00801F18" w:rsidRPr="00FE2E68">
              <w:rPr>
                <w:rStyle w:val="Hypertextovprepojenie"/>
                <w:noProof/>
              </w:rPr>
              <w:t>3.4.1</w:t>
            </w:r>
            <w:r w:rsidR="00801F18">
              <w:rPr>
                <w:rFonts w:asciiTheme="minorHAnsi" w:eastAsiaTheme="minorEastAsia" w:hAnsiTheme="minorHAnsi"/>
                <w:noProof/>
                <w:sz w:val="22"/>
                <w:lang w:eastAsia="sk-SK"/>
              </w:rPr>
              <w:tab/>
            </w:r>
            <w:r w:rsidR="00801F18" w:rsidRPr="00FE2E68">
              <w:rPr>
                <w:rStyle w:val="Hypertextovprepojenie"/>
                <w:noProof/>
              </w:rPr>
              <w:t>Analýza tvorby podľa IFRS</w:t>
            </w:r>
            <w:r w:rsidR="00801F18">
              <w:rPr>
                <w:noProof/>
                <w:webHidden/>
              </w:rPr>
              <w:tab/>
            </w:r>
            <w:r>
              <w:rPr>
                <w:noProof/>
                <w:webHidden/>
              </w:rPr>
              <w:fldChar w:fldCharType="begin"/>
            </w:r>
            <w:r w:rsidR="00801F18">
              <w:rPr>
                <w:noProof/>
                <w:webHidden/>
              </w:rPr>
              <w:instrText xml:space="preserve"> PAGEREF _Toc447622267 \h </w:instrText>
            </w:r>
            <w:r>
              <w:rPr>
                <w:noProof/>
                <w:webHidden/>
              </w:rPr>
            </w:r>
            <w:r>
              <w:rPr>
                <w:noProof/>
                <w:webHidden/>
              </w:rPr>
              <w:fldChar w:fldCharType="separate"/>
            </w:r>
            <w:r w:rsidR="00EC4F5C">
              <w:rPr>
                <w:noProof/>
                <w:webHidden/>
              </w:rPr>
              <w:t>40</w:t>
            </w:r>
            <w:r>
              <w:rPr>
                <w:noProof/>
                <w:webHidden/>
              </w:rPr>
              <w:fldChar w:fldCharType="end"/>
            </w:r>
          </w:hyperlink>
        </w:p>
        <w:p w:rsidR="00801F18" w:rsidRDefault="003D19E2">
          <w:pPr>
            <w:pStyle w:val="Obsah3"/>
            <w:tabs>
              <w:tab w:val="left" w:pos="1320"/>
              <w:tab w:val="right" w:leader="dot" w:pos="9060"/>
            </w:tabs>
            <w:rPr>
              <w:rFonts w:asciiTheme="minorHAnsi" w:eastAsiaTheme="minorEastAsia" w:hAnsiTheme="minorHAnsi"/>
              <w:noProof/>
              <w:sz w:val="22"/>
              <w:lang w:eastAsia="sk-SK"/>
            </w:rPr>
          </w:pPr>
          <w:hyperlink w:anchor="_Toc447622268" w:history="1">
            <w:r w:rsidR="00801F18" w:rsidRPr="00FE2E68">
              <w:rPr>
                <w:rStyle w:val="Hypertextovprepojenie"/>
                <w:noProof/>
              </w:rPr>
              <w:t>3.4.2</w:t>
            </w:r>
            <w:r w:rsidR="00801F18">
              <w:rPr>
                <w:rFonts w:asciiTheme="minorHAnsi" w:eastAsiaTheme="minorEastAsia" w:hAnsiTheme="minorHAnsi"/>
                <w:noProof/>
                <w:sz w:val="22"/>
                <w:lang w:eastAsia="sk-SK"/>
              </w:rPr>
              <w:tab/>
            </w:r>
            <w:r w:rsidR="00801F18" w:rsidRPr="00FE2E68">
              <w:rPr>
                <w:rStyle w:val="Hypertextovprepojenie"/>
                <w:noProof/>
              </w:rPr>
              <w:t>Analýza tvorby podľa slovenskej právnej úpravy - nedaňovo</w:t>
            </w:r>
            <w:r w:rsidR="00801F18">
              <w:rPr>
                <w:noProof/>
                <w:webHidden/>
              </w:rPr>
              <w:tab/>
            </w:r>
            <w:r>
              <w:rPr>
                <w:noProof/>
                <w:webHidden/>
              </w:rPr>
              <w:fldChar w:fldCharType="begin"/>
            </w:r>
            <w:r w:rsidR="00801F18">
              <w:rPr>
                <w:noProof/>
                <w:webHidden/>
              </w:rPr>
              <w:instrText xml:space="preserve"> PAGEREF _Toc447622268 \h </w:instrText>
            </w:r>
            <w:r>
              <w:rPr>
                <w:noProof/>
                <w:webHidden/>
              </w:rPr>
            </w:r>
            <w:r>
              <w:rPr>
                <w:noProof/>
                <w:webHidden/>
              </w:rPr>
              <w:fldChar w:fldCharType="separate"/>
            </w:r>
            <w:r w:rsidR="00EC4F5C">
              <w:rPr>
                <w:noProof/>
                <w:webHidden/>
              </w:rPr>
              <w:t>42</w:t>
            </w:r>
            <w:r>
              <w:rPr>
                <w:noProof/>
                <w:webHidden/>
              </w:rPr>
              <w:fldChar w:fldCharType="end"/>
            </w:r>
          </w:hyperlink>
        </w:p>
        <w:p w:rsidR="00801F18" w:rsidRDefault="003D19E2">
          <w:pPr>
            <w:pStyle w:val="Obsah3"/>
            <w:tabs>
              <w:tab w:val="left" w:pos="1320"/>
              <w:tab w:val="right" w:leader="dot" w:pos="9060"/>
            </w:tabs>
            <w:rPr>
              <w:rFonts w:asciiTheme="minorHAnsi" w:eastAsiaTheme="minorEastAsia" w:hAnsiTheme="minorHAnsi"/>
              <w:noProof/>
              <w:sz w:val="22"/>
              <w:lang w:eastAsia="sk-SK"/>
            </w:rPr>
          </w:pPr>
          <w:hyperlink w:anchor="_Toc447622269" w:history="1">
            <w:r w:rsidR="00801F18" w:rsidRPr="00FE2E68">
              <w:rPr>
                <w:rStyle w:val="Hypertextovprepojenie"/>
                <w:noProof/>
              </w:rPr>
              <w:t>3.4.3</w:t>
            </w:r>
            <w:r w:rsidR="00801F18">
              <w:rPr>
                <w:rFonts w:asciiTheme="minorHAnsi" w:eastAsiaTheme="minorEastAsia" w:hAnsiTheme="minorHAnsi"/>
                <w:noProof/>
                <w:sz w:val="22"/>
                <w:lang w:eastAsia="sk-SK"/>
              </w:rPr>
              <w:tab/>
            </w:r>
            <w:r w:rsidR="00801F18" w:rsidRPr="00FE2E68">
              <w:rPr>
                <w:rStyle w:val="Hypertextovprepojenie"/>
                <w:noProof/>
              </w:rPr>
              <w:t>Analýza tvorby podľa slovenskej právnej úpravy - daňovo</w:t>
            </w:r>
            <w:r w:rsidR="00801F18">
              <w:rPr>
                <w:noProof/>
                <w:webHidden/>
              </w:rPr>
              <w:tab/>
            </w:r>
            <w:r>
              <w:rPr>
                <w:noProof/>
                <w:webHidden/>
              </w:rPr>
              <w:fldChar w:fldCharType="begin"/>
            </w:r>
            <w:r w:rsidR="00801F18">
              <w:rPr>
                <w:noProof/>
                <w:webHidden/>
              </w:rPr>
              <w:instrText xml:space="preserve"> PAGEREF _Toc447622269 \h </w:instrText>
            </w:r>
            <w:r>
              <w:rPr>
                <w:noProof/>
                <w:webHidden/>
              </w:rPr>
            </w:r>
            <w:r>
              <w:rPr>
                <w:noProof/>
                <w:webHidden/>
              </w:rPr>
              <w:fldChar w:fldCharType="separate"/>
            </w:r>
            <w:r w:rsidR="00EC4F5C">
              <w:rPr>
                <w:noProof/>
                <w:webHidden/>
              </w:rPr>
              <w:t>43</w:t>
            </w:r>
            <w:r>
              <w:rPr>
                <w:noProof/>
                <w:webHidden/>
              </w:rPr>
              <w:fldChar w:fldCharType="end"/>
            </w:r>
          </w:hyperlink>
        </w:p>
        <w:p w:rsidR="00801F18" w:rsidRDefault="003D19E2">
          <w:pPr>
            <w:pStyle w:val="Obsah3"/>
            <w:tabs>
              <w:tab w:val="left" w:pos="1320"/>
              <w:tab w:val="right" w:leader="dot" w:pos="9060"/>
            </w:tabs>
            <w:rPr>
              <w:rFonts w:asciiTheme="minorHAnsi" w:eastAsiaTheme="minorEastAsia" w:hAnsiTheme="minorHAnsi"/>
              <w:noProof/>
              <w:sz w:val="22"/>
              <w:lang w:eastAsia="sk-SK"/>
            </w:rPr>
          </w:pPr>
          <w:hyperlink w:anchor="_Toc447622270" w:history="1">
            <w:r w:rsidR="00801F18" w:rsidRPr="00FE2E68">
              <w:rPr>
                <w:rStyle w:val="Hypertextovprepojenie"/>
                <w:noProof/>
              </w:rPr>
              <w:t>3.4.4</w:t>
            </w:r>
            <w:r w:rsidR="00801F18">
              <w:rPr>
                <w:rFonts w:asciiTheme="minorHAnsi" w:eastAsiaTheme="minorEastAsia" w:hAnsiTheme="minorHAnsi"/>
                <w:noProof/>
                <w:sz w:val="22"/>
                <w:lang w:eastAsia="sk-SK"/>
              </w:rPr>
              <w:tab/>
            </w:r>
            <w:r w:rsidR="00801F18" w:rsidRPr="00FE2E68">
              <w:rPr>
                <w:rStyle w:val="Hypertextovprepojenie"/>
                <w:noProof/>
              </w:rPr>
              <w:t>Čerpanie a likvidácia rezerv</w:t>
            </w:r>
            <w:r w:rsidR="00801F18">
              <w:rPr>
                <w:noProof/>
                <w:webHidden/>
              </w:rPr>
              <w:tab/>
            </w:r>
            <w:r>
              <w:rPr>
                <w:noProof/>
                <w:webHidden/>
              </w:rPr>
              <w:fldChar w:fldCharType="begin"/>
            </w:r>
            <w:r w:rsidR="00801F18">
              <w:rPr>
                <w:noProof/>
                <w:webHidden/>
              </w:rPr>
              <w:instrText xml:space="preserve"> PAGEREF _Toc447622270 \h </w:instrText>
            </w:r>
            <w:r>
              <w:rPr>
                <w:noProof/>
                <w:webHidden/>
              </w:rPr>
            </w:r>
            <w:r>
              <w:rPr>
                <w:noProof/>
                <w:webHidden/>
              </w:rPr>
              <w:fldChar w:fldCharType="separate"/>
            </w:r>
            <w:r w:rsidR="00EC4F5C">
              <w:rPr>
                <w:noProof/>
                <w:webHidden/>
              </w:rPr>
              <w:t>45</w:t>
            </w:r>
            <w:r>
              <w:rPr>
                <w:noProof/>
                <w:webHidden/>
              </w:rPr>
              <w:fldChar w:fldCharType="end"/>
            </w:r>
          </w:hyperlink>
        </w:p>
        <w:p w:rsidR="00801F18" w:rsidRDefault="003D19E2">
          <w:pPr>
            <w:pStyle w:val="Obsah2"/>
            <w:tabs>
              <w:tab w:val="left" w:pos="880"/>
              <w:tab w:val="right" w:leader="dot" w:pos="9060"/>
            </w:tabs>
            <w:rPr>
              <w:rFonts w:asciiTheme="minorHAnsi" w:eastAsiaTheme="minorEastAsia" w:hAnsiTheme="minorHAnsi"/>
              <w:noProof/>
              <w:sz w:val="22"/>
              <w:lang w:eastAsia="sk-SK"/>
            </w:rPr>
          </w:pPr>
          <w:hyperlink w:anchor="_Toc447622271" w:history="1">
            <w:r w:rsidR="00801F18" w:rsidRPr="00FE2E68">
              <w:rPr>
                <w:rStyle w:val="Hypertextovprepojenie"/>
                <w:noProof/>
              </w:rPr>
              <w:t>3.5</w:t>
            </w:r>
            <w:r w:rsidR="00801F18">
              <w:rPr>
                <w:rFonts w:asciiTheme="minorHAnsi" w:eastAsiaTheme="minorEastAsia" w:hAnsiTheme="minorHAnsi"/>
                <w:noProof/>
                <w:sz w:val="22"/>
                <w:lang w:eastAsia="sk-SK"/>
              </w:rPr>
              <w:tab/>
            </w:r>
            <w:r w:rsidR="00801F18" w:rsidRPr="00FE2E68">
              <w:rPr>
                <w:rStyle w:val="Hypertextovprepojenie"/>
                <w:noProof/>
              </w:rPr>
              <w:t>Tvorba a použitie rezerv na likvidáciu banských diel</w:t>
            </w:r>
            <w:r w:rsidR="00801F18">
              <w:rPr>
                <w:noProof/>
                <w:webHidden/>
              </w:rPr>
              <w:tab/>
            </w:r>
            <w:r>
              <w:rPr>
                <w:noProof/>
                <w:webHidden/>
              </w:rPr>
              <w:fldChar w:fldCharType="begin"/>
            </w:r>
            <w:r w:rsidR="00801F18">
              <w:rPr>
                <w:noProof/>
                <w:webHidden/>
              </w:rPr>
              <w:instrText xml:space="preserve"> PAGEREF _Toc447622271 \h </w:instrText>
            </w:r>
            <w:r>
              <w:rPr>
                <w:noProof/>
                <w:webHidden/>
              </w:rPr>
            </w:r>
            <w:r>
              <w:rPr>
                <w:noProof/>
                <w:webHidden/>
              </w:rPr>
              <w:fldChar w:fldCharType="separate"/>
            </w:r>
            <w:r w:rsidR="00EC4F5C">
              <w:rPr>
                <w:noProof/>
                <w:webHidden/>
              </w:rPr>
              <w:t>46</w:t>
            </w:r>
            <w:r>
              <w:rPr>
                <w:noProof/>
                <w:webHidden/>
              </w:rPr>
              <w:fldChar w:fldCharType="end"/>
            </w:r>
          </w:hyperlink>
        </w:p>
        <w:p w:rsidR="00801F18" w:rsidRDefault="003D19E2">
          <w:pPr>
            <w:pStyle w:val="Obsah3"/>
            <w:tabs>
              <w:tab w:val="left" w:pos="1320"/>
              <w:tab w:val="right" w:leader="dot" w:pos="9060"/>
            </w:tabs>
            <w:rPr>
              <w:rFonts w:asciiTheme="minorHAnsi" w:eastAsiaTheme="minorEastAsia" w:hAnsiTheme="minorHAnsi"/>
              <w:noProof/>
              <w:sz w:val="22"/>
              <w:lang w:eastAsia="sk-SK"/>
            </w:rPr>
          </w:pPr>
          <w:hyperlink w:anchor="_Toc447622272" w:history="1">
            <w:r w:rsidR="00801F18" w:rsidRPr="00FE2E68">
              <w:rPr>
                <w:rStyle w:val="Hypertextovprepojenie"/>
                <w:noProof/>
              </w:rPr>
              <w:t>3.5.1</w:t>
            </w:r>
            <w:r w:rsidR="00801F18">
              <w:rPr>
                <w:rFonts w:asciiTheme="minorHAnsi" w:eastAsiaTheme="minorEastAsia" w:hAnsiTheme="minorHAnsi"/>
                <w:noProof/>
                <w:sz w:val="22"/>
                <w:lang w:eastAsia="sk-SK"/>
              </w:rPr>
              <w:tab/>
            </w:r>
            <w:r w:rsidR="00801F18" w:rsidRPr="00FE2E68">
              <w:rPr>
                <w:rStyle w:val="Hypertextovprepojenie"/>
                <w:noProof/>
              </w:rPr>
              <w:t>Analýza tvorby podľa IFRS</w:t>
            </w:r>
            <w:r w:rsidR="00801F18">
              <w:rPr>
                <w:noProof/>
                <w:webHidden/>
              </w:rPr>
              <w:tab/>
            </w:r>
            <w:r>
              <w:rPr>
                <w:noProof/>
                <w:webHidden/>
              </w:rPr>
              <w:fldChar w:fldCharType="begin"/>
            </w:r>
            <w:r w:rsidR="00801F18">
              <w:rPr>
                <w:noProof/>
                <w:webHidden/>
              </w:rPr>
              <w:instrText xml:space="preserve"> PAGEREF _Toc447622272 \h </w:instrText>
            </w:r>
            <w:r>
              <w:rPr>
                <w:noProof/>
                <w:webHidden/>
              </w:rPr>
            </w:r>
            <w:r>
              <w:rPr>
                <w:noProof/>
                <w:webHidden/>
              </w:rPr>
              <w:fldChar w:fldCharType="separate"/>
            </w:r>
            <w:r w:rsidR="00EC4F5C">
              <w:rPr>
                <w:noProof/>
                <w:webHidden/>
              </w:rPr>
              <w:t>47</w:t>
            </w:r>
            <w:r>
              <w:rPr>
                <w:noProof/>
                <w:webHidden/>
              </w:rPr>
              <w:fldChar w:fldCharType="end"/>
            </w:r>
          </w:hyperlink>
        </w:p>
        <w:p w:rsidR="00801F18" w:rsidRDefault="003D19E2">
          <w:pPr>
            <w:pStyle w:val="Obsah3"/>
            <w:tabs>
              <w:tab w:val="left" w:pos="1320"/>
              <w:tab w:val="right" w:leader="dot" w:pos="9060"/>
            </w:tabs>
            <w:rPr>
              <w:rFonts w:asciiTheme="minorHAnsi" w:eastAsiaTheme="minorEastAsia" w:hAnsiTheme="minorHAnsi"/>
              <w:noProof/>
              <w:sz w:val="22"/>
              <w:lang w:eastAsia="sk-SK"/>
            </w:rPr>
          </w:pPr>
          <w:hyperlink w:anchor="_Toc447622273" w:history="1">
            <w:r w:rsidR="00801F18" w:rsidRPr="00FE2E68">
              <w:rPr>
                <w:rStyle w:val="Hypertextovprepojenie"/>
                <w:noProof/>
              </w:rPr>
              <w:t>3.5.2</w:t>
            </w:r>
            <w:r w:rsidR="00801F18">
              <w:rPr>
                <w:rFonts w:asciiTheme="minorHAnsi" w:eastAsiaTheme="minorEastAsia" w:hAnsiTheme="minorHAnsi"/>
                <w:noProof/>
                <w:sz w:val="22"/>
                <w:lang w:eastAsia="sk-SK"/>
              </w:rPr>
              <w:tab/>
            </w:r>
            <w:r w:rsidR="00801F18" w:rsidRPr="00FE2E68">
              <w:rPr>
                <w:rStyle w:val="Hypertextovprepojenie"/>
                <w:noProof/>
              </w:rPr>
              <w:t>Analýza tvorby podľa slovenskej právnej úpravy</w:t>
            </w:r>
            <w:r w:rsidR="00801F18">
              <w:rPr>
                <w:noProof/>
                <w:webHidden/>
              </w:rPr>
              <w:tab/>
            </w:r>
            <w:r>
              <w:rPr>
                <w:noProof/>
                <w:webHidden/>
              </w:rPr>
              <w:fldChar w:fldCharType="begin"/>
            </w:r>
            <w:r w:rsidR="00801F18">
              <w:rPr>
                <w:noProof/>
                <w:webHidden/>
              </w:rPr>
              <w:instrText xml:space="preserve"> PAGEREF _Toc447622273 \h </w:instrText>
            </w:r>
            <w:r>
              <w:rPr>
                <w:noProof/>
                <w:webHidden/>
              </w:rPr>
            </w:r>
            <w:r>
              <w:rPr>
                <w:noProof/>
                <w:webHidden/>
              </w:rPr>
              <w:fldChar w:fldCharType="separate"/>
            </w:r>
            <w:r w:rsidR="00EC4F5C">
              <w:rPr>
                <w:noProof/>
                <w:webHidden/>
              </w:rPr>
              <w:t>50</w:t>
            </w:r>
            <w:r>
              <w:rPr>
                <w:noProof/>
                <w:webHidden/>
              </w:rPr>
              <w:fldChar w:fldCharType="end"/>
            </w:r>
          </w:hyperlink>
        </w:p>
        <w:p w:rsidR="00801F18" w:rsidRDefault="003D19E2">
          <w:pPr>
            <w:pStyle w:val="Obsah3"/>
            <w:tabs>
              <w:tab w:val="left" w:pos="1320"/>
              <w:tab w:val="right" w:leader="dot" w:pos="9060"/>
            </w:tabs>
            <w:rPr>
              <w:rFonts w:asciiTheme="minorHAnsi" w:eastAsiaTheme="minorEastAsia" w:hAnsiTheme="minorHAnsi"/>
              <w:noProof/>
              <w:sz w:val="22"/>
              <w:lang w:eastAsia="sk-SK"/>
            </w:rPr>
          </w:pPr>
          <w:hyperlink w:anchor="_Toc447622274" w:history="1">
            <w:r w:rsidR="00801F18" w:rsidRPr="00FE2E68">
              <w:rPr>
                <w:rStyle w:val="Hypertextovprepojenie"/>
                <w:noProof/>
              </w:rPr>
              <w:t>3.5.3</w:t>
            </w:r>
            <w:r w:rsidR="00801F18">
              <w:rPr>
                <w:rFonts w:asciiTheme="minorHAnsi" w:eastAsiaTheme="minorEastAsia" w:hAnsiTheme="minorHAnsi"/>
                <w:noProof/>
                <w:sz w:val="22"/>
                <w:lang w:eastAsia="sk-SK"/>
              </w:rPr>
              <w:tab/>
            </w:r>
            <w:r w:rsidR="00801F18" w:rsidRPr="00FE2E68">
              <w:rPr>
                <w:rStyle w:val="Hypertextovprepojenie"/>
                <w:noProof/>
              </w:rPr>
              <w:t>Čerpanie a likvidácia rezerv</w:t>
            </w:r>
            <w:r w:rsidR="00801F18">
              <w:rPr>
                <w:noProof/>
                <w:webHidden/>
              </w:rPr>
              <w:tab/>
            </w:r>
            <w:r>
              <w:rPr>
                <w:noProof/>
                <w:webHidden/>
              </w:rPr>
              <w:fldChar w:fldCharType="begin"/>
            </w:r>
            <w:r w:rsidR="00801F18">
              <w:rPr>
                <w:noProof/>
                <w:webHidden/>
              </w:rPr>
              <w:instrText xml:space="preserve"> PAGEREF _Toc447622274 \h </w:instrText>
            </w:r>
            <w:r>
              <w:rPr>
                <w:noProof/>
                <w:webHidden/>
              </w:rPr>
            </w:r>
            <w:r>
              <w:rPr>
                <w:noProof/>
                <w:webHidden/>
              </w:rPr>
              <w:fldChar w:fldCharType="separate"/>
            </w:r>
            <w:r w:rsidR="00EC4F5C">
              <w:rPr>
                <w:noProof/>
                <w:webHidden/>
              </w:rPr>
              <w:t>51</w:t>
            </w:r>
            <w:r>
              <w:rPr>
                <w:noProof/>
                <w:webHidden/>
              </w:rPr>
              <w:fldChar w:fldCharType="end"/>
            </w:r>
          </w:hyperlink>
        </w:p>
        <w:p w:rsidR="00801F18" w:rsidRDefault="003D19E2">
          <w:pPr>
            <w:pStyle w:val="Obsah1"/>
            <w:tabs>
              <w:tab w:val="left" w:pos="480"/>
              <w:tab w:val="right" w:leader="dot" w:pos="9060"/>
            </w:tabs>
            <w:rPr>
              <w:rFonts w:asciiTheme="minorHAnsi" w:eastAsiaTheme="minorEastAsia" w:hAnsiTheme="minorHAnsi"/>
              <w:noProof/>
              <w:sz w:val="22"/>
              <w:lang w:eastAsia="sk-SK"/>
            </w:rPr>
          </w:pPr>
          <w:hyperlink w:anchor="_Toc447622275" w:history="1">
            <w:r w:rsidR="00801F18" w:rsidRPr="00FE2E68">
              <w:rPr>
                <w:rStyle w:val="Hypertextovprepojenie"/>
                <w:noProof/>
              </w:rPr>
              <w:t>4</w:t>
            </w:r>
            <w:r w:rsidR="00801F18">
              <w:rPr>
                <w:rFonts w:asciiTheme="minorHAnsi" w:eastAsiaTheme="minorEastAsia" w:hAnsiTheme="minorHAnsi"/>
                <w:noProof/>
                <w:sz w:val="22"/>
                <w:lang w:eastAsia="sk-SK"/>
              </w:rPr>
              <w:tab/>
            </w:r>
            <w:r w:rsidR="00801F18" w:rsidRPr="00FE2E68">
              <w:rPr>
                <w:rStyle w:val="Hypertextovprepojenie"/>
                <w:noProof/>
              </w:rPr>
              <w:t>Porovnanie HBP, a.s. s vybranými spoločnosťami v Česku</w:t>
            </w:r>
            <w:r w:rsidR="00801F18">
              <w:rPr>
                <w:noProof/>
                <w:webHidden/>
              </w:rPr>
              <w:tab/>
            </w:r>
            <w:r>
              <w:rPr>
                <w:noProof/>
                <w:webHidden/>
              </w:rPr>
              <w:fldChar w:fldCharType="begin"/>
            </w:r>
            <w:r w:rsidR="00801F18">
              <w:rPr>
                <w:noProof/>
                <w:webHidden/>
              </w:rPr>
              <w:instrText xml:space="preserve"> PAGEREF _Toc447622275 \h </w:instrText>
            </w:r>
            <w:r>
              <w:rPr>
                <w:noProof/>
                <w:webHidden/>
              </w:rPr>
            </w:r>
            <w:r>
              <w:rPr>
                <w:noProof/>
                <w:webHidden/>
              </w:rPr>
              <w:fldChar w:fldCharType="separate"/>
            </w:r>
            <w:r w:rsidR="00EC4F5C">
              <w:rPr>
                <w:noProof/>
                <w:webHidden/>
              </w:rPr>
              <w:t>52</w:t>
            </w:r>
            <w:r>
              <w:rPr>
                <w:noProof/>
                <w:webHidden/>
              </w:rPr>
              <w:fldChar w:fldCharType="end"/>
            </w:r>
          </w:hyperlink>
        </w:p>
        <w:p w:rsidR="00801F18" w:rsidRDefault="003D19E2">
          <w:pPr>
            <w:pStyle w:val="Obsah3"/>
            <w:tabs>
              <w:tab w:val="left" w:pos="1320"/>
              <w:tab w:val="right" w:leader="dot" w:pos="9060"/>
            </w:tabs>
            <w:rPr>
              <w:rFonts w:asciiTheme="minorHAnsi" w:eastAsiaTheme="minorEastAsia" w:hAnsiTheme="minorHAnsi"/>
              <w:noProof/>
              <w:sz w:val="22"/>
              <w:lang w:eastAsia="sk-SK"/>
            </w:rPr>
          </w:pPr>
          <w:hyperlink w:anchor="_Toc447622276" w:history="1">
            <w:r w:rsidR="00801F18" w:rsidRPr="00FE2E68">
              <w:rPr>
                <w:rStyle w:val="Hypertextovprepojenie"/>
                <w:noProof/>
              </w:rPr>
              <w:t>4.1.1</w:t>
            </w:r>
            <w:r w:rsidR="00801F18">
              <w:rPr>
                <w:rFonts w:asciiTheme="minorHAnsi" w:eastAsiaTheme="minorEastAsia" w:hAnsiTheme="minorHAnsi"/>
                <w:noProof/>
                <w:sz w:val="22"/>
                <w:lang w:eastAsia="sk-SK"/>
              </w:rPr>
              <w:tab/>
            </w:r>
            <w:r w:rsidR="00801F18" w:rsidRPr="00FE2E68">
              <w:rPr>
                <w:rStyle w:val="Hypertextovprepojenie"/>
                <w:noProof/>
              </w:rPr>
              <w:t>Porovnanie s podnikom Severočeskými doly, a.s.</w:t>
            </w:r>
            <w:r w:rsidR="00801F18">
              <w:rPr>
                <w:noProof/>
                <w:webHidden/>
              </w:rPr>
              <w:tab/>
            </w:r>
            <w:r>
              <w:rPr>
                <w:noProof/>
                <w:webHidden/>
              </w:rPr>
              <w:fldChar w:fldCharType="begin"/>
            </w:r>
            <w:r w:rsidR="00801F18">
              <w:rPr>
                <w:noProof/>
                <w:webHidden/>
              </w:rPr>
              <w:instrText xml:space="preserve"> PAGEREF _Toc447622276 \h </w:instrText>
            </w:r>
            <w:r>
              <w:rPr>
                <w:noProof/>
                <w:webHidden/>
              </w:rPr>
            </w:r>
            <w:r>
              <w:rPr>
                <w:noProof/>
                <w:webHidden/>
              </w:rPr>
              <w:fldChar w:fldCharType="separate"/>
            </w:r>
            <w:r w:rsidR="00EC4F5C">
              <w:rPr>
                <w:noProof/>
                <w:webHidden/>
              </w:rPr>
              <w:t>53</w:t>
            </w:r>
            <w:r>
              <w:rPr>
                <w:noProof/>
                <w:webHidden/>
              </w:rPr>
              <w:fldChar w:fldCharType="end"/>
            </w:r>
          </w:hyperlink>
        </w:p>
        <w:p w:rsidR="00801F18" w:rsidRDefault="003D19E2">
          <w:pPr>
            <w:pStyle w:val="Obsah2"/>
            <w:tabs>
              <w:tab w:val="left" w:pos="880"/>
              <w:tab w:val="right" w:leader="dot" w:pos="9060"/>
            </w:tabs>
            <w:rPr>
              <w:rFonts w:asciiTheme="minorHAnsi" w:eastAsiaTheme="minorEastAsia" w:hAnsiTheme="minorHAnsi"/>
              <w:noProof/>
              <w:sz w:val="22"/>
              <w:lang w:eastAsia="sk-SK"/>
            </w:rPr>
          </w:pPr>
          <w:hyperlink w:anchor="_Toc447622277" w:history="1">
            <w:r w:rsidR="00801F18" w:rsidRPr="00FE2E68">
              <w:rPr>
                <w:rStyle w:val="Hypertextovprepojenie"/>
                <w:noProof/>
              </w:rPr>
              <w:t>4.2</w:t>
            </w:r>
            <w:r w:rsidR="00801F18">
              <w:rPr>
                <w:rFonts w:asciiTheme="minorHAnsi" w:eastAsiaTheme="minorEastAsia" w:hAnsiTheme="minorHAnsi"/>
                <w:noProof/>
                <w:sz w:val="22"/>
                <w:lang w:eastAsia="sk-SK"/>
              </w:rPr>
              <w:tab/>
            </w:r>
            <w:r w:rsidR="00801F18" w:rsidRPr="00FE2E68">
              <w:rPr>
                <w:rStyle w:val="Hypertextovprepojenie"/>
                <w:noProof/>
              </w:rPr>
              <w:t>Porovnanie s podnikom Severní energetická, a.s.</w:t>
            </w:r>
            <w:r w:rsidR="00801F18">
              <w:rPr>
                <w:noProof/>
                <w:webHidden/>
              </w:rPr>
              <w:tab/>
            </w:r>
            <w:r>
              <w:rPr>
                <w:noProof/>
                <w:webHidden/>
              </w:rPr>
              <w:fldChar w:fldCharType="begin"/>
            </w:r>
            <w:r w:rsidR="00801F18">
              <w:rPr>
                <w:noProof/>
                <w:webHidden/>
              </w:rPr>
              <w:instrText xml:space="preserve"> PAGEREF _Toc447622277 \h </w:instrText>
            </w:r>
            <w:r>
              <w:rPr>
                <w:noProof/>
                <w:webHidden/>
              </w:rPr>
            </w:r>
            <w:r>
              <w:rPr>
                <w:noProof/>
                <w:webHidden/>
              </w:rPr>
              <w:fldChar w:fldCharType="separate"/>
            </w:r>
            <w:r w:rsidR="00EC4F5C">
              <w:rPr>
                <w:noProof/>
                <w:webHidden/>
              </w:rPr>
              <w:t>54</w:t>
            </w:r>
            <w:r>
              <w:rPr>
                <w:noProof/>
                <w:webHidden/>
              </w:rPr>
              <w:fldChar w:fldCharType="end"/>
            </w:r>
          </w:hyperlink>
        </w:p>
        <w:p w:rsidR="00801F18" w:rsidRDefault="003D19E2">
          <w:pPr>
            <w:pStyle w:val="Obsah2"/>
            <w:tabs>
              <w:tab w:val="left" w:pos="880"/>
              <w:tab w:val="right" w:leader="dot" w:pos="9060"/>
            </w:tabs>
            <w:rPr>
              <w:rFonts w:asciiTheme="minorHAnsi" w:eastAsiaTheme="minorEastAsia" w:hAnsiTheme="minorHAnsi"/>
              <w:noProof/>
              <w:sz w:val="22"/>
              <w:lang w:eastAsia="sk-SK"/>
            </w:rPr>
          </w:pPr>
          <w:hyperlink w:anchor="_Toc447622278" w:history="1">
            <w:r w:rsidR="00801F18" w:rsidRPr="00FE2E68">
              <w:rPr>
                <w:rStyle w:val="Hypertextovprepojenie"/>
                <w:noProof/>
              </w:rPr>
              <w:t>4.3</w:t>
            </w:r>
            <w:r w:rsidR="00801F18">
              <w:rPr>
                <w:rFonts w:asciiTheme="minorHAnsi" w:eastAsiaTheme="minorEastAsia" w:hAnsiTheme="minorHAnsi"/>
                <w:noProof/>
                <w:sz w:val="22"/>
                <w:lang w:eastAsia="sk-SK"/>
              </w:rPr>
              <w:tab/>
            </w:r>
            <w:r w:rsidR="00801F18" w:rsidRPr="00FE2E68">
              <w:rPr>
                <w:rStyle w:val="Hypertextovprepojenie"/>
                <w:noProof/>
              </w:rPr>
              <w:t>Návrhy na zlepšenie</w:t>
            </w:r>
            <w:r w:rsidR="00801F18">
              <w:rPr>
                <w:noProof/>
                <w:webHidden/>
              </w:rPr>
              <w:tab/>
            </w:r>
            <w:r>
              <w:rPr>
                <w:noProof/>
                <w:webHidden/>
              </w:rPr>
              <w:fldChar w:fldCharType="begin"/>
            </w:r>
            <w:r w:rsidR="00801F18">
              <w:rPr>
                <w:noProof/>
                <w:webHidden/>
              </w:rPr>
              <w:instrText xml:space="preserve"> PAGEREF _Toc447622278 \h </w:instrText>
            </w:r>
            <w:r>
              <w:rPr>
                <w:noProof/>
                <w:webHidden/>
              </w:rPr>
            </w:r>
            <w:r>
              <w:rPr>
                <w:noProof/>
                <w:webHidden/>
              </w:rPr>
              <w:fldChar w:fldCharType="separate"/>
            </w:r>
            <w:r w:rsidR="00EC4F5C">
              <w:rPr>
                <w:noProof/>
                <w:webHidden/>
              </w:rPr>
              <w:t>55</w:t>
            </w:r>
            <w:r>
              <w:rPr>
                <w:noProof/>
                <w:webHidden/>
              </w:rPr>
              <w:fldChar w:fldCharType="end"/>
            </w:r>
          </w:hyperlink>
        </w:p>
        <w:p w:rsidR="00801F18" w:rsidRDefault="003D19E2">
          <w:pPr>
            <w:pStyle w:val="Obsah3"/>
            <w:tabs>
              <w:tab w:val="left" w:pos="1320"/>
              <w:tab w:val="right" w:leader="dot" w:pos="9060"/>
            </w:tabs>
            <w:rPr>
              <w:rFonts w:asciiTheme="minorHAnsi" w:eastAsiaTheme="minorEastAsia" w:hAnsiTheme="minorHAnsi"/>
              <w:noProof/>
              <w:sz w:val="22"/>
              <w:lang w:eastAsia="sk-SK"/>
            </w:rPr>
          </w:pPr>
          <w:hyperlink w:anchor="_Toc447622279" w:history="1">
            <w:r w:rsidR="00801F18" w:rsidRPr="00FE2E68">
              <w:rPr>
                <w:rStyle w:val="Hypertextovprepojenie"/>
                <w:noProof/>
              </w:rPr>
              <w:t>4.3.1</w:t>
            </w:r>
            <w:r w:rsidR="00801F18">
              <w:rPr>
                <w:rFonts w:asciiTheme="minorHAnsi" w:eastAsiaTheme="minorEastAsia" w:hAnsiTheme="minorHAnsi"/>
                <w:noProof/>
                <w:sz w:val="22"/>
                <w:lang w:eastAsia="sk-SK"/>
              </w:rPr>
              <w:tab/>
            </w:r>
            <w:r w:rsidR="00801F18" w:rsidRPr="00FE2E68">
              <w:rPr>
                <w:rStyle w:val="Hypertextovprepojenie"/>
                <w:noProof/>
              </w:rPr>
              <w:t>Presný prepočet nákladov</w:t>
            </w:r>
            <w:r w:rsidR="00801F18">
              <w:rPr>
                <w:noProof/>
                <w:webHidden/>
              </w:rPr>
              <w:tab/>
            </w:r>
            <w:r>
              <w:rPr>
                <w:noProof/>
                <w:webHidden/>
              </w:rPr>
              <w:fldChar w:fldCharType="begin"/>
            </w:r>
            <w:r w:rsidR="00801F18">
              <w:rPr>
                <w:noProof/>
                <w:webHidden/>
              </w:rPr>
              <w:instrText xml:space="preserve"> PAGEREF _Toc447622279 \h </w:instrText>
            </w:r>
            <w:r>
              <w:rPr>
                <w:noProof/>
                <w:webHidden/>
              </w:rPr>
            </w:r>
            <w:r>
              <w:rPr>
                <w:noProof/>
                <w:webHidden/>
              </w:rPr>
              <w:fldChar w:fldCharType="separate"/>
            </w:r>
            <w:r w:rsidR="00EC4F5C">
              <w:rPr>
                <w:noProof/>
                <w:webHidden/>
              </w:rPr>
              <w:t>56</w:t>
            </w:r>
            <w:r>
              <w:rPr>
                <w:noProof/>
                <w:webHidden/>
              </w:rPr>
              <w:fldChar w:fldCharType="end"/>
            </w:r>
          </w:hyperlink>
        </w:p>
        <w:p w:rsidR="00801F18" w:rsidRDefault="003D19E2">
          <w:pPr>
            <w:pStyle w:val="Obsah3"/>
            <w:tabs>
              <w:tab w:val="left" w:pos="1320"/>
              <w:tab w:val="right" w:leader="dot" w:pos="9060"/>
            </w:tabs>
            <w:rPr>
              <w:rFonts w:asciiTheme="minorHAnsi" w:eastAsiaTheme="minorEastAsia" w:hAnsiTheme="minorHAnsi"/>
              <w:noProof/>
              <w:sz w:val="22"/>
              <w:lang w:eastAsia="sk-SK"/>
            </w:rPr>
          </w:pPr>
          <w:hyperlink w:anchor="_Toc447622280" w:history="1">
            <w:r w:rsidR="00801F18" w:rsidRPr="00FE2E68">
              <w:rPr>
                <w:rStyle w:val="Hypertextovprepojenie"/>
                <w:noProof/>
              </w:rPr>
              <w:t>4.3.2</w:t>
            </w:r>
            <w:r w:rsidR="00801F18">
              <w:rPr>
                <w:rFonts w:asciiTheme="minorHAnsi" w:eastAsiaTheme="minorEastAsia" w:hAnsiTheme="minorHAnsi"/>
                <w:noProof/>
                <w:sz w:val="22"/>
                <w:lang w:eastAsia="sk-SK"/>
              </w:rPr>
              <w:tab/>
            </w:r>
            <w:r w:rsidR="00801F18" w:rsidRPr="00FE2E68">
              <w:rPr>
                <w:rStyle w:val="Hypertextovprepojenie"/>
                <w:noProof/>
              </w:rPr>
              <w:t>Zrušenie alebo obmedzenie odúročovania</w:t>
            </w:r>
            <w:r w:rsidR="00801F18">
              <w:rPr>
                <w:noProof/>
                <w:webHidden/>
              </w:rPr>
              <w:tab/>
            </w:r>
            <w:r>
              <w:rPr>
                <w:noProof/>
                <w:webHidden/>
              </w:rPr>
              <w:fldChar w:fldCharType="begin"/>
            </w:r>
            <w:r w:rsidR="00801F18">
              <w:rPr>
                <w:noProof/>
                <w:webHidden/>
              </w:rPr>
              <w:instrText xml:space="preserve"> PAGEREF _Toc447622280 \h </w:instrText>
            </w:r>
            <w:r>
              <w:rPr>
                <w:noProof/>
                <w:webHidden/>
              </w:rPr>
            </w:r>
            <w:r>
              <w:rPr>
                <w:noProof/>
                <w:webHidden/>
              </w:rPr>
              <w:fldChar w:fldCharType="separate"/>
            </w:r>
            <w:r w:rsidR="00EC4F5C">
              <w:rPr>
                <w:noProof/>
                <w:webHidden/>
              </w:rPr>
              <w:t>56</w:t>
            </w:r>
            <w:r>
              <w:rPr>
                <w:noProof/>
                <w:webHidden/>
              </w:rPr>
              <w:fldChar w:fldCharType="end"/>
            </w:r>
          </w:hyperlink>
        </w:p>
        <w:p w:rsidR="00801F18" w:rsidRDefault="003D19E2">
          <w:pPr>
            <w:pStyle w:val="Obsah1"/>
            <w:tabs>
              <w:tab w:val="right" w:leader="dot" w:pos="9060"/>
            </w:tabs>
            <w:rPr>
              <w:rFonts w:asciiTheme="minorHAnsi" w:eastAsiaTheme="minorEastAsia" w:hAnsiTheme="minorHAnsi"/>
              <w:noProof/>
              <w:sz w:val="22"/>
              <w:lang w:eastAsia="sk-SK"/>
            </w:rPr>
          </w:pPr>
          <w:hyperlink w:anchor="_Toc447622281" w:history="1">
            <w:r w:rsidR="00801F18" w:rsidRPr="00FE2E68">
              <w:rPr>
                <w:rStyle w:val="Hypertextovprepojenie"/>
                <w:noProof/>
              </w:rPr>
              <w:t>Záver</w:t>
            </w:r>
            <w:r w:rsidR="00801F18">
              <w:rPr>
                <w:noProof/>
                <w:webHidden/>
              </w:rPr>
              <w:tab/>
            </w:r>
            <w:r>
              <w:rPr>
                <w:noProof/>
                <w:webHidden/>
              </w:rPr>
              <w:fldChar w:fldCharType="begin"/>
            </w:r>
            <w:r w:rsidR="00801F18">
              <w:rPr>
                <w:noProof/>
                <w:webHidden/>
              </w:rPr>
              <w:instrText xml:space="preserve"> PAGEREF _Toc447622281 \h </w:instrText>
            </w:r>
            <w:r>
              <w:rPr>
                <w:noProof/>
                <w:webHidden/>
              </w:rPr>
            </w:r>
            <w:r>
              <w:rPr>
                <w:noProof/>
                <w:webHidden/>
              </w:rPr>
              <w:fldChar w:fldCharType="separate"/>
            </w:r>
            <w:r w:rsidR="00EC4F5C">
              <w:rPr>
                <w:noProof/>
                <w:webHidden/>
              </w:rPr>
              <w:t>59</w:t>
            </w:r>
            <w:r>
              <w:rPr>
                <w:noProof/>
                <w:webHidden/>
              </w:rPr>
              <w:fldChar w:fldCharType="end"/>
            </w:r>
          </w:hyperlink>
        </w:p>
        <w:p w:rsidR="00801F18" w:rsidRDefault="003D19E2">
          <w:pPr>
            <w:pStyle w:val="Obsah1"/>
            <w:tabs>
              <w:tab w:val="right" w:leader="dot" w:pos="9060"/>
            </w:tabs>
            <w:rPr>
              <w:rFonts w:asciiTheme="minorHAnsi" w:eastAsiaTheme="minorEastAsia" w:hAnsiTheme="minorHAnsi"/>
              <w:noProof/>
              <w:sz w:val="22"/>
              <w:lang w:eastAsia="sk-SK"/>
            </w:rPr>
          </w:pPr>
          <w:hyperlink w:anchor="_Toc447622282" w:history="1">
            <w:r w:rsidR="00801F18" w:rsidRPr="00FE2E68">
              <w:rPr>
                <w:rStyle w:val="Hypertextovprepojenie"/>
                <w:noProof/>
              </w:rPr>
              <w:t>Zoznam použitých zdrojov</w:t>
            </w:r>
            <w:r w:rsidR="00801F18">
              <w:rPr>
                <w:noProof/>
                <w:webHidden/>
              </w:rPr>
              <w:tab/>
            </w:r>
            <w:r>
              <w:rPr>
                <w:noProof/>
                <w:webHidden/>
              </w:rPr>
              <w:fldChar w:fldCharType="begin"/>
            </w:r>
            <w:r w:rsidR="00801F18">
              <w:rPr>
                <w:noProof/>
                <w:webHidden/>
              </w:rPr>
              <w:instrText xml:space="preserve"> PAGEREF _Toc447622282 \h </w:instrText>
            </w:r>
            <w:r>
              <w:rPr>
                <w:noProof/>
                <w:webHidden/>
              </w:rPr>
            </w:r>
            <w:r>
              <w:rPr>
                <w:noProof/>
                <w:webHidden/>
              </w:rPr>
              <w:fldChar w:fldCharType="separate"/>
            </w:r>
            <w:r w:rsidR="00EC4F5C">
              <w:rPr>
                <w:noProof/>
                <w:webHidden/>
              </w:rPr>
              <w:t>62</w:t>
            </w:r>
            <w:r>
              <w:rPr>
                <w:noProof/>
                <w:webHidden/>
              </w:rPr>
              <w:fldChar w:fldCharType="end"/>
            </w:r>
          </w:hyperlink>
        </w:p>
        <w:p w:rsidR="00801F18" w:rsidRDefault="003D19E2">
          <w:pPr>
            <w:pStyle w:val="Obsah1"/>
            <w:tabs>
              <w:tab w:val="right" w:leader="dot" w:pos="9060"/>
            </w:tabs>
            <w:rPr>
              <w:rFonts w:asciiTheme="minorHAnsi" w:eastAsiaTheme="minorEastAsia" w:hAnsiTheme="minorHAnsi"/>
              <w:noProof/>
              <w:sz w:val="22"/>
              <w:lang w:eastAsia="sk-SK"/>
            </w:rPr>
          </w:pPr>
          <w:hyperlink w:anchor="_Toc447622283" w:history="1">
            <w:r w:rsidR="00801F18" w:rsidRPr="00FE2E68">
              <w:rPr>
                <w:rStyle w:val="Hypertextovprepojenie"/>
                <w:noProof/>
              </w:rPr>
              <w:t>Zoznam tabuliek, obrázkov a grafov</w:t>
            </w:r>
            <w:r w:rsidR="00801F18">
              <w:rPr>
                <w:noProof/>
                <w:webHidden/>
              </w:rPr>
              <w:tab/>
            </w:r>
            <w:r>
              <w:rPr>
                <w:noProof/>
                <w:webHidden/>
              </w:rPr>
              <w:fldChar w:fldCharType="begin"/>
            </w:r>
            <w:r w:rsidR="00801F18">
              <w:rPr>
                <w:noProof/>
                <w:webHidden/>
              </w:rPr>
              <w:instrText xml:space="preserve"> PAGEREF _Toc447622283 \h </w:instrText>
            </w:r>
            <w:r>
              <w:rPr>
                <w:noProof/>
                <w:webHidden/>
              </w:rPr>
            </w:r>
            <w:r>
              <w:rPr>
                <w:noProof/>
                <w:webHidden/>
              </w:rPr>
              <w:fldChar w:fldCharType="separate"/>
            </w:r>
            <w:r w:rsidR="00EC4F5C">
              <w:rPr>
                <w:noProof/>
                <w:webHidden/>
              </w:rPr>
              <w:t>64</w:t>
            </w:r>
            <w:r>
              <w:rPr>
                <w:noProof/>
                <w:webHidden/>
              </w:rPr>
              <w:fldChar w:fldCharType="end"/>
            </w:r>
          </w:hyperlink>
        </w:p>
        <w:p w:rsidR="00801F18" w:rsidRDefault="003D19E2">
          <w:pPr>
            <w:pStyle w:val="Obsah1"/>
            <w:tabs>
              <w:tab w:val="right" w:leader="dot" w:pos="9060"/>
            </w:tabs>
            <w:rPr>
              <w:rFonts w:asciiTheme="minorHAnsi" w:eastAsiaTheme="minorEastAsia" w:hAnsiTheme="minorHAnsi"/>
              <w:noProof/>
              <w:sz w:val="22"/>
              <w:lang w:eastAsia="sk-SK"/>
            </w:rPr>
          </w:pPr>
          <w:hyperlink w:anchor="_Toc447622284" w:history="1">
            <w:r w:rsidR="00801F18" w:rsidRPr="00FE2E68">
              <w:rPr>
                <w:rStyle w:val="Hypertextovprepojenie"/>
                <w:noProof/>
              </w:rPr>
              <w:t>Zoznam použitých skratiek</w:t>
            </w:r>
            <w:r w:rsidR="00801F18">
              <w:rPr>
                <w:noProof/>
                <w:webHidden/>
              </w:rPr>
              <w:tab/>
            </w:r>
            <w:r>
              <w:rPr>
                <w:noProof/>
                <w:webHidden/>
              </w:rPr>
              <w:fldChar w:fldCharType="begin"/>
            </w:r>
            <w:r w:rsidR="00801F18">
              <w:rPr>
                <w:noProof/>
                <w:webHidden/>
              </w:rPr>
              <w:instrText xml:space="preserve"> PAGEREF _Toc447622284 \h </w:instrText>
            </w:r>
            <w:r>
              <w:rPr>
                <w:noProof/>
                <w:webHidden/>
              </w:rPr>
            </w:r>
            <w:r>
              <w:rPr>
                <w:noProof/>
                <w:webHidden/>
              </w:rPr>
              <w:fldChar w:fldCharType="separate"/>
            </w:r>
            <w:r w:rsidR="00EC4F5C">
              <w:rPr>
                <w:noProof/>
                <w:webHidden/>
              </w:rPr>
              <w:t>65</w:t>
            </w:r>
            <w:r>
              <w:rPr>
                <w:noProof/>
                <w:webHidden/>
              </w:rPr>
              <w:fldChar w:fldCharType="end"/>
            </w:r>
          </w:hyperlink>
        </w:p>
        <w:p w:rsidR="00801F18" w:rsidRDefault="003D19E2">
          <w:pPr>
            <w:pStyle w:val="Obsah1"/>
            <w:tabs>
              <w:tab w:val="right" w:leader="dot" w:pos="9060"/>
            </w:tabs>
            <w:rPr>
              <w:rFonts w:asciiTheme="minorHAnsi" w:eastAsiaTheme="minorEastAsia" w:hAnsiTheme="minorHAnsi"/>
              <w:noProof/>
              <w:sz w:val="22"/>
              <w:lang w:eastAsia="sk-SK"/>
            </w:rPr>
          </w:pPr>
          <w:hyperlink w:anchor="_Toc447622285" w:history="1">
            <w:r w:rsidR="00801F18" w:rsidRPr="00FE2E68">
              <w:rPr>
                <w:rStyle w:val="Hypertextovprepojenie"/>
                <w:noProof/>
              </w:rPr>
              <w:t>Zoznam príloh</w:t>
            </w:r>
            <w:r w:rsidR="00801F18">
              <w:rPr>
                <w:noProof/>
                <w:webHidden/>
              </w:rPr>
              <w:tab/>
            </w:r>
            <w:r>
              <w:rPr>
                <w:noProof/>
                <w:webHidden/>
              </w:rPr>
              <w:fldChar w:fldCharType="begin"/>
            </w:r>
            <w:r w:rsidR="00801F18">
              <w:rPr>
                <w:noProof/>
                <w:webHidden/>
              </w:rPr>
              <w:instrText xml:space="preserve"> PAGEREF _Toc447622285 \h </w:instrText>
            </w:r>
            <w:r>
              <w:rPr>
                <w:noProof/>
                <w:webHidden/>
              </w:rPr>
            </w:r>
            <w:r>
              <w:rPr>
                <w:noProof/>
                <w:webHidden/>
              </w:rPr>
              <w:fldChar w:fldCharType="separate"/>
            </w:r>
            <w:r w:rsidR="00EC4F5C">
              <w:rPr>
                <w:noProof/>
                <w:webHidden/>
              </w:rPr>
              <w:t>66</w:t>
            </w:r>
            <w:r>
              <w:rPr>
                <w:noProof/>
                <w:webHidden/>
              </w:rPr>
              <w:fldChar w:fldCharType="end"/>
            </w:r>
          </w:hyperlink>
        </w:p>
        <w:p w:rsidR="00801F18" w:rsidRDefault="003D19E2">
          <w:r>
            <w:fldChar w:fldCharType="end"/>
          </w:r>
        </w:p>
      </w:sdtContent>
    </w:sdt>
    <w:p w:rsidR="002B6F02" w:rsidRDefault="002B6F02" w:rsidP="002B6F02"/>
    <w:p w:rsidR="002B6F02" w:rsidRDefault="002B6F02" w:rsidP="002B6F02"/>
    <w:p w:rsidR="00A16F56" w:rsidRDefault="00A16F56" w:rsidP="00A01CDB">
      <w:pPr>
        <w:pStyle w:val="Nadpis1"/>
        <w:numPr>
          <w:ilvl w:val="0"/>
          <w:numId w:val="0"/>
        </w:numPr>
        <w:ind w:left="432"/>
        <w:sectPr w:rsidR="00A16F56" w:rsidSect="00193C87">
          <w:type w:val="continuous"/>
          <w:pgSz w:w="11906" w:h="16838"/>
          <w:pgMar w:top="1418" w:right="851" w:bottom="1134" w:left="1985" w:header="709" w:footer="709" w:gutter="0"/>
          <w:pgNumType w:start="11"/>
          <w:cols w:space="708"/>
          <w:docGrid w:linePitch="360"/>
        </w:sectPr>
      </w:pPr>
      <w:bookmarkStart w:id="0" w:name="_Toc447622239"/>
    </w:p>
    <w:p w:rsidR="00154127" w:rsidRDefault="00801F18" w:rsidP="00A01CDB">
      <w:pPr>
        <w:pStyle w:val="Nadpis1"/>
        <w:numPr>
          <w:ilvl w:val="0"/>
          <w:numId w:val="0"/>
        </w:numPr>
        <w:ind w:left="432"/>
      </w:pPr>
      <w:r>
        <w:lastRenderedPageBreak/>
        <w:t>Ú</w:t>
      </w:r>
      <w:r w:rsidR="00154127">
        <w:t>vod</w:t>
      </w:r>
      <w:bookmarkEnd w:id="0"/>
    </w:p>
    <w:p w:rsidR="00154127" w:rsidRPr="001143E8" w:rsidRDefault="00154127" w:rsidP="00A01CDB"/>
    <w:p w:rsidR="00154127" w:rsidRDefault="009C203E" w:rsidP="00A01CDB">
      <w:r>
        <w:t xml:space="preserve">Finančné povedomie občanov sa v priebehu času postupne zlepšuje. Čoraz viac ľudí si uvedomuje, že v prípade výpadku príjmu alebo nepredvídanej udalosti môžu mať vážny problém, ako financovať svoje výdaje. Podobne je to aj pri podnikoch. Ich činnosť môže mať následky, ktoré budú vyžadovať istý finančný </w:t>
      </w:r>
      <w:proofErr w:type="spellStart"/>
      <w:r>
        <w:t>obnos</w:t>
      </w:r>
      <w:proofErr w:type="spellEnd"/>
      <w:r>
        <w:t xml:space="preserve"> a podniky by mali byť na takúto situáciu pripravené.</w:t>
      </w:r>
      <w:r w:rsidR="00042254">
        <w:t xml:space="preserve"> </w:t>
      </w:r>
      <w:r w:rsidR="003B3B55">
        <w:t>Významným spôsobom</w:t>
      </w:r>
      <w:r w:rsidR="005D1D30">
        <w:t xml:space="preserve"> zabezpečenia budúcnosti je</w:t>
      </w:r>
      <w:r w:rsidR="00154127">
        <w:t xml:space="preserve"> práve tvorba rezerv. Jednotlivci a rodiny ju síce tvoria v menších čiastkach ako podniky, ale aj tu je vytvorenie určitej rezervy veľmi dôležité. Ľahko sa môže stať, že jeden z členov </w:t>
      </w:r>
      <w:r w:rsidR="003B3B55">
        <w:t xml:space="preserve">rodiny </w:t>
      </w:r>
      <w:r w:rsidR="00154127">
        <w:t xml:space="preserve">príde o prácu, </w:t>
      </w:r>
      <w:r w:rsidR="009D616E">
        <w:t>utrpí vážne zranenie s dlhou dobou liečenia</w:t>
      </w:r>
      <w:r w:rsidR="00154127">
        <w:t>, prípadne sa pokazí nejaký spotrebič alebo sa stane prírodná katastrofa, ktorá bude vyžadovať zvýšený prísun finančných prostriedkov. Práve pre takéto prípady by si mali jednotl</w:t>
      </w:r>
      <w:r w:rsidR="005D1D30">
        <w:t>ivci a rodiny vytvárať rezervu.</w:t>
      </w:r>
    </w:p>
    <w:p w:rsidR="009F391C" w:rsidRDefault="009F391C" w:rsidP="00A01CDB"/>
    <w:p w:rsidR="00154127" w:rsidRDefault="00154127" w:rsidP="00A01CDB">
      <w:r>
        <w:t xml:space="preserve">V prípade podnikov je to odlišné. Čím väčší podnik je, tým viac možností a nečakaných situácií, ktoré budú vyžadovať prísun financií,  môže nastať. Vytváranie niektorých rezerv má podnik uložené priamo zo zákona, iné tvorí dobrovoľne. Tejto problematike sa budeme, okrem iného, venovať v nasledujúcich kapitolách. </w:t>
      </w:r>
    </w:p>
    <w:p w:rsidR="009F391C" w:rsidRDefault="009F391C" w:rsidP="00A01CDB"/>
    <w:p w:rsidR="00154127" w:rsidRDefault="00154127" w:rsidP="00A01CDB">
      <w:r>
        <w:t xml:space="preserve">Rezervy na Slovensku upravuje hlavne Zákon 431/2002 </w:t>
      </w:r>
      <w:proofErr w:type="spellStart"/>
      <w:r>
        <w:t>Z.z</w:t>
      </w:r>
      <w:proofErr w:type="spellEnd"/>
      <w:r>
        <w:t xml:space="preserve">. o účtovníctve a  Zákon 595/2003 </w:t>
      </w:r>
      <w:proofErr w:type="spellStart"/>
      <w:r>
        <w:t>Z.z</w:t>
      </w:r>
      <w:proofErr w:type="spellEnd"/>
      <w:r>
        <w:t xml:space="preserve">. o dani z príjmu. V Českej republike sú rezervy upravené Zákonom 563/1991 </w:t>
      </w:r>
      <w:proofErr w:type="spellStart"/>
      <w:r>
        <w:t>Zb.</w:t>
      </w:r>
      <w:r w:rsidR="00C07A72">
        <w:t>z</w:t>
      </w:r>
      <w:proofErr w:type="spellEnd"/>
      <w:r w:rsidR="00C07A72">
        <w:t>.</w:t>
      </w:r>
      <w:r>
        <w:t xml:space="preserve"> o</w:t>
      </w:r>
      <w:r w:rsidR="005D1D30">
        <w:t xml:space="preserve"> účtovníctve. V oboch krajinách </w:t>
      </w:r>
      <w:r>
        <w:t xml:space="preserve">platia </w:t>
      </w:r>
      <w:r w:rsidR="005D1D30">
        <w:t xml:space="preserve">tiež </w:t>
      </w:r>
      <w:r>
        <w:t xml:space="preserve">Medzinárodné účtovné štandardy IFRS. Čo sa týka rezerv v banskej činnosti, v oboch krajinách ich zhodne upravuje Zákon 44/1988 </w:t>
      </w:r>
      <w:proofErr w:type="spellStart"/>
      <w:r>
        <w:t>Z.z</w:t>
      </w:r>
      <w:proofErr w:type="spellEnd"/>
      <w:r>
        <w:t xml:space="preserve">. o ochrane a využití nerastného bohatstva (banský zákon). </w:t>
      </w:r>
    </w:p>
    <w:p w:rsidR="009F391C" w:rsidRDefault="009F391C" w:rsidP="00A01CDB"/>
    <w:p w:rsidR="00154127" w:rsidRDefault="00154127" w:rsidP="00A01CDB">
      <w:r>
        <w:t xml:space="preserve">Cieľom práce je najprv charakterizovať rezervy z účtovného aj daňového hľadiska, porovnať úpravu v Českej a Slovenskej republike a následne poznatky aplikovať pri analýze tvorby rezerv konkrétneho podniku. Spomedzi všetkých rezerv sa zameriame na tvorbu a využitie rezerv v banskej činnosti, nakoľko praktická časť práce sa realizovala v banskom podniku. Bakalárska práca sa </w:t>
      </w:r>
      <w:r w:rsidR="001B71C5">
        <w:t xml:space="preserve">okrem úvodu a záveru </w:t>
      </w:r>
      <w:r w:rsidR="007F2B43">
        <w:t>skladá zo štyroch kapitol. Prvé dve kapitoly sú teoretické, spracovali sme v nich</w:t>
      </w:r>
      <w:r w:rsidR="001B71C5">
        <w:t xml:space="preserve"> súhrn teoretických poznatkov</w:t>
      </w:r>
      <w:r w:rsidR="00D35D77">
        <w:t xml:space="preserve"> o daňových a účtovných aspektoch</w:t>
      </w:r>
      <w:r w:rsidR="001B71C5">
        <w:t xml:space="preserve"> tvorby rezerv v</w:t>
      </w:r>
      <w:r w:rsidR="00D35D77">
        <w:t> </w:t>
      </w:r>
      <w:r w:rsidR="001B71C5">
        <w:t>Slovenskej</w:t>
      </w:r>
      <w:r w:rsidR="00D35D77">
        <w:t xml:space="preserve"> republike</w:t>
      </w:r>
      <w:r w:rsidR="001B71C5">
        <w:t xml:space="preserve"> a Českej republike, porovnali sme poznatky s účtovaním podľa Medzinárodných štandardov finančného výkazníctva a následne sme sa zamerali na rezervy v banskej činnosti. </w:t>
      </w:r>
      <w:r w:rsidR="007F2B43">
        <w:t xml:space="preserve">Tretia a štvrtá kapitola patria do praktickej časti, </w:t>
      </w:r>
      <w:r w:rsidR="007F2B43">
        <w:lastRenderedPageBreak/>
        <w:t>zaoberali</w:t>
      </w:r>
      <w:r w:rsidR="001B71C5">
        <w:t xml:space="preserve"> </w:t>
      </w:r>
      <w:r>
        <w:t>sme sa</w:t>
      </w:r>
      <w:r w:rsidR="007F2B43">
        <w:t xml:space="preserve"> v nich</w:t>
      </w:r>
      <w:r>
        <w:t xml:space="preserve"> analýzou tvorby a použitia rezerv v podniku Hornonitrianske bane Prievidza, a.s. </w:t>
      </w:r>
      <w:r w:rsidR="001B71C5">
        <w:t xml:space="preserve">a na základe analýzy sme spracovali vlastné  návrhy, ktoré by mohli podniku pomôcť zlepšiť alebo zjednodušiť súčasné vytváranie rezerv. </w:t>
      </w:r>
    </w:p>
    <w:p w:rsidR="009F391C" w:rsidRDefault="009F391C" w:rsidP="00A01CDB"/>
    <w:p w:rsidR="00154127" w:rsidRDefault="00154127" w:rsidP="00A01CDB">
      <w:r>
        <w:t>Pre v</w:t>
      </w:r>
      <w:r w:rsidR="001B71C5">
        <w:t>ýber danej témy mala autorka rôzne</w:t>
      </w:r>
      <w:r>
        <w:t xml:space="preserve"> dôvody.</w:t>
      </w:r>
      <w:r w:rsidR="001B71C5">
        <w:t xml:space="preserve"> Boli medzi nimi záujem o danú problematiku, možnosť vypracovania práce vo veľkom výrobnom podniku a tým pádom aj </w:t>
      </w:r>
      <w:r>
        <w:t xml:space="preserve"> </w:t>
      </w:r>
      <w:r w:rsidR="001B71C5">
        <w:t>praktick</w:t>
      </w:r>
      <w:r w:rsidR="007F2B43">
        <w:t>é zameranie celej práce. Ďalší dôvod je prozaický</w:t>
      </w:r>
      <w:r>
        <w:t xml:space="preserve">, spoločnosť má sídlo v mieste bydliska autorky a spoločnosť bola ochotná spolupracovať na bakalárskej práci. </w:t>
      </w:r>
    </w:p>
    <w:p w:rsidR="000F77A5" w:rsidRDefault="000F77A5" w:rsidP="00A01CDB"/>
    <w:p w:rsidR="000F77A5" w:rsidRDefault="000F77A5" w:rsidP="00A01CDB"/>
    <w:p w:rsidR="007A312A" w:rsidRDefault="00154127" w:rsidP="00A01CDB">
      <w:pPr>
        <w:pStyle w:val="Nadpis1"/>
        <w:numPr>
          <w:ilvl w:val="0"/>
          <w:numId w:val="0"/>
        </w:numPr>
      </w:pPr>
      <w:bookmarkStart w:id="1" w:name="_Toc447622240"/>
      <w:r>
        <w:lastRenderedPageBreak/>
        <w:t>1. Právna úprava a vymedzenie reze</w:t>
      </w:r>
      <w:r w:rsidR="004D2AD8">
        <w:t>rv</w:t>
      </w:r>
      <w:bookmarkEnd w:id="1"/>
      <w:r w:rsidR="004D2AD8">
        <w:t xml:space="preserve"> </w:t>
      </w:r>
    </w:p>
    <w:p w:rsidR="004D2AD8" w:rsidRPr="004D2AD8" w:rsidRDefault="004D2AD8" w:rsidP="00A01CDB"/>
    <w:p w:rsidR="00215905" w:rsidRDefault="00215905" w:rsidP="00A01CDB">
      <w:r>
        <w:t>V Českej aj Slovenskej republike sa úpravou a vymedzením rezerv zaoberá niekoľko zákonov a vyhlášok. Každá legislatíva vymedzuje rezervy mierne odlišne, preto sa budeme jednotlivými právnymi úpravami zaoberať samostatne, s dôrazom na odlišné časti. Praktická časť práce sa realizovala v podniku v Slovenskej republike, teda sme vychádzali najprv zo slovenskej právnej úpravy a následne všetko porovnávali a hľadali rozdiely v platnej českej legislatív</w:t>
      </w:r>
      <w:r w:rsidR="00D35D77">
        <w:t>e. Množstvo úprav je rovnakých</w:t>
      </w:r>
      <w:r>
        <w:t xml:space="preserve">, niektoré sú mierne odlišné, ale našli sme aj významné rozdiely, napríklad pri časovom rozdelení rezerv alebo pri účtovaní na </w:t>
      </w:r>
      <w:r w:rsidR="00D35D77">
        <w:t xml:space="preserve">jednotlivé </w:t>
      </w:r>
      <w:r>
        <w:t>účty.</w:t>
      </w:r>
    </w:p>
    <w:p w:rsidR="004B1638" w:rsidRDefault="004B1638" w:rsidP="00A01CDB"/>
    <w:p w:rsidR="001C4002" w:rsidRDefault="00D35D77" w:rsidP="00A01CDB">
      <w:r>
        <w:t>K</w:t>
      </w:r>
      <w:r w:rsidR="001C4002">
        <w:t xml:space="preserve">apitoly vždy pojednávajú o slovenskej právnej úprave (Klasifikácia, Daňové rezervy, Účtovné rezervy), ak nie </w:t>
      </w:r>
      <w:r>
        <w:t xml:space="preserve">je </w:t>
      </w:r>
      <w:r w:rsidR="001C4002">
        <w:t>v nadpise výslovne uvedené že sa hovorí o českej úprave.</w:t>
      </w:r>
    </w:p>
    <w:p w:rsidR="00215905" w:rsidRDefault="007F2B43" w:rsidP="00A01CDB">
      <w:r>
        <w:t>Vymedzením</w:t>
      </w:r>
      <w:r w:rsidR="00215905">
        <w:t xml:space="preserve"> a úpravou rezerv sa zaoberá niekoľko právnych predpisov a vyhlášok a tiež aj Medzinárodný účtovný štandard 37.</w:t>
      </w:r>
    </w:p>
    <w:p w:rsidR="00232634" w:rsidRDefault="00232634" w:rsidP="00A01CDB"/>
    <w:p w:rsidR="00232634" w:rsidRDefault="00232634" w:rsidP="00A01CDB">
      <w:pPr>
        <w:pStyle w:val="Nadpis2"/>
      </w:pPr>
      <w:bookmarkStart w:id="2" w:name="_Toc447622241"/>
      <w:r>
        <w:t>Vymedzenie podľa slovenskej právnej úpravy</w:t>
      </w:r>
      <w:bookmarkEnd w:id="2"/>
    </w:p>
    <w:p w:rsidR="00A07A70" w:rsidRDefault="00A07A70" w:rsidP="00A01CDB"/>
    <w:p w:rsidR="009A3649" w:rsidRDefault="00C82E02" w:rsidP="00A01CDB">
      <w:r>
        <w:t>V Slovenskej republike</w:t>
      </w:r>
      <w:r w:rsidR="00215905">
        <w:t xml:space="preserve"> sú rezervy upravené zákonom č. 431/2002 Z.</w:t>
      </w:r>
      <w:r w:rsidR="007F2B43">
        <w:t xml:space="preserve"> </w:t>
      </w:r>
      <w:r w:rsidR="00215905">
        <w:t>z. o účtovníctve v znení neskorších predpisov, ktorý bol vyhlásený 1.8.2002 a účinnosť nadobudol v januári nasledujúceho roku 2003.</w:t>
      </w:r>
      <w:r>
        <w:t xml:space="preserve"> Tomuto zákonu predchádzal Zákon č.563/1991 </w:t>
      </w:r>
      <w:r w:rsidR="007F2B43">
        <w:t xml:space="preserve">Z. z. </w:t>
      </w:r>
      <w:r>
        <w:t>o účtovníctve, ktorý schválilo Federálne zhromaždenie Českej a Slovenskej federatívnej republiky.</w:t>
      </w:r>
      <w:r w:rsidR="00500657">
        <w:t xml:space="preserve"> Zákon od svojho vzniku preši</w:t>
      </w:r>
      <w:r w:rsidR="007F2B43">
        <w:t>el mnohými novelami a úpravami,</w:t>
      </w:r>
      <w:r>
        <w:t xml:space="preserve"> </w:t>
      </w:r>
      <w:r w:rsidR="00500657">
        <w:t>n</w:t>
      </w:r>
      <w:r w:rsidR="00215905">
        <w:t>ajnovšia novela je platná od 1.1.2016. Druhým významným právnym predpisom je Zákon 595/2003 Z.</w:t>
      </w:r>
      <w:r w:rsidR="007F2B43">
        <w:t xml:space="preserve"> </w:t>
      </w:r>
      <w:r w:rsidR="00215905">
        <w:t>z. o dani z príjmu, ktorý je účinný od januára 2004.</w:t>
      </w:r>
      <w:r w:rsidR="00500657">
        <w:t xml:space="preserve"> Týmto zákonom boli zrušené dva zákony z konca deväťdesiatych rokov, Zákon o dani z príjmu a Zákon o rezervách a </w:t>
      </w:r>
      <w:r w:rsidR="00F6605F">
        <w:t>opravn</w:t>
      </w:r>
      <w:r w:rsidR="00500657">
        <w:t xml:space="preserve">ých </w:t>
      </w:r>
      <w:r w:rsidR="009B0680">
        <w:t>položkách na zistenie</w:t>
      </w:r>
      <w:r w:rsidR="00500657">
        <w:t xml:space="preserve"> základu dane z príjmu.</w:t>
      </w:r>
      <w:r w:rsidR="007F2B43">
        <w:t xml:space="preserve"> Súčasný Zákon o dani z príjmu </w:t>
      </w:r>
      <w:r w:rsidR="00215905">
        <w:t xml:space="preserve">bol </w:t>
      </w:r>
      <w:r w:rsidR="007F2B43">
        <w:t xml:space="preserve">takisto </w:t>
      </w:r>
      <w:r w:rsidR="00215905">
        <w:t xml:space="preserve">nedávno novelizovaný a novela platí od </w:t>
      </w:r>
      <w:r w:rsidR="009A3649">
        <w:t>18.3.2016</w:t>
      </w:r>
      <w:r w:rsidR="00215905">
        <w:t xml:space="preserve">. </w:t>
      </w:r>
    </w:p>
    <w:p w:rsidR="00215905" w:rsidRDefault="00215905" w:rsidP="00A01CDB">
      <w:r>
        <w:t xml:space="preserve">Významným predpisom </w:t>
      </w:r>
      <w:r w:rsidR="007F2B43">
        <w:t xml:space="preserve">pre tvorbu rezerv </w:t>
      </w:r>
      <w:r>
        <w:t>je aj opatrenie Ministerstva financií Slovenskej republiky č. 23054/2002-92, ktoré ustanovuje podrobnosti o účtovnej osnove a postupoch účtovania pre podnikateľov účtujúcich v sústave podvojného účtovníctva.</w:t>
      </w:r>
      <w:r w:rsidR="009A3649">
        <w:t xml:space="preserve"> Toto opatrenie takisto už prešlo úpravou a jeho aktuálne znenie nadobudlo účinnosť 1.1.2016.</w:t>
      </w:r>
    </w:p>
    <w:p w:rsidR="00232634" w:rsidRDefault="00215905" w:rsidP="00A01CDB">
      <w:r>
        <w:lastRenderedPageBreak/>
        <w:t>Podľa §26 ods.5 zákona o </w:t>
      </w:r>
      <w:r w:rsidR="00C75914">
        <w:t>účtovníctve sú rezervy záväzky s</w:t>
      </w:r>
      <w:r>
        <w:t> neistým časovým vymedzením alebo výškou. Definícia rezerv sa od prvého vstupu do platnosti v roku 2</w:t>
      </w:r>
      <w:r w:rsidR="00EA68D3">
        <w:t>003 až do súčasnosti nezmenila.</w:t>
      </w:r>
      <w:r>
        <w:t xml:space="preserve"> Rezervy sa vytvárajú vo chvíli, keď sú známe budúce možné riziká na základe súčasných alebo minulých udalostí. Podľa §2 ods. 4 toho istého zákona je záväzok už existujúca povinnosť účtovnej jednotky, ktorá v budúcnosti zníži ekonomický úžitok jednotky, vznikla na základe udalostí v minulosti a dá sa spoľahlivo oceniť, pričom sa zobrazuje v účtovnej uzávierke a súvahe. Rezervám teda možno rozumieť ako záväzkom, pri ktorých napr. nie je známa doba splatnosti alebo výška záväzku, avšak je známy ich účel (napríklad reklamácie, nečakané škody, súdne spory a pod.).</w:t>
      </w:r>
      <w:r w:rsidR="00BF7313">
        <w:t xml:space="preserve"> Tieto záväzky vznikajú nezávisle na budúcej činnosti spoločnosti</w:t>
      </w:r>
      <w:r w:rsidR="00C75914">
        <w:t>.</w:t>
      </w:r>
    </w:p>
    <w:p w:rsidR="00A07A70" w:rsidRPr="00A07A70" w:rsidRDefault="00A07A70" w:rsidP="00A01CDB">
      <w:pPr>
        <w:spacing w:line="240" w:lineRule="auto"/>
        <w:rPr>
          <w:b/>
        </w:rPr>
      </w:pPr>
      <w:r w:rsidRPr="00A07A70">
        <w:rPr>
          <w:b/>
        </w:rPr>
        <w:t>Tabuľka č.1</w:t>
      </w:r>
      <w:r w:rsidR="008757F6">
        <w:rPr>
          <w:b/>
        </w:rPr>
        <w:t>: Druhy záväzkov</w:t>
      </w:r>
    </w:p>
    <w:tbl>
      <w:tblPr>
        <w:tblStyle w:val="Mriekatabuky"/>
        <w:tblW w:w="0" w:type="auto"/>
        <w:tblLook w:val="04A0"/>
      </w:tblPr>
      <w:tblGrid>
        <w:gridCol w:w="4605"/>
        <w:gridCol w:w="4605"/>
      </w:tblGrid>
      <w:tr w:rsidR="00A07A70" w:rsidTr="00A07A70">
        <w:tc>
          <w:tcPr>
            <w:tcW w:w="4605" w:type="dxa"/>
          </w:tcPr>
          <w:p w:rsidR="00A07A70" w:rsidRDefault="00A07A70" w:rsidP="00A01CDB">
            <w:pPr>
              <w:spacing w:line="276" w:lineRule="auto"/>
            </w:pPr>
            <w:r>
              <w:t>Doba splatnosti a výška záväzku</w:t>
            </w:r>
          </w:p>
        </w:tc>
        <w:tc>
          <w:tcPr>
            <w:tcW w:w="4605" w:type="dxa"/>
          </w:tcPr>
          <w:p w:rsidR="00A07A70" w:rsidRDefault="00A07A70" w:rsidP="00A01CDB">
            <w:pPr>
              <w:spacing w:line="276" w:lineRule="auto"/>
            </w:pPr>
            <w:r>
              <w:t>Druh</w:t>
            </w:r>
          </w:p>
        </w:tc>
      </w:tr>
      <w:tr w:rsidR="00A07A70" w:rsidTr="00A07A70">
        <w:tc>
          <w:tcPr>
            <w:tcW w:w="4605" w:type="dxa"/>
          </w:tcPr>
          <w:p w:rsidR="00A07A70" w:rsidRDefault="00A07A70" w:rsidP="00A01CDB">
            <w:pPr>
              <w:spacing w:line="276" w:lineRule="auto"/>
            </w:pPr>
            <w:r>
              <w:t>Presne určené</w:t>
            </w:r>
          </w:p>
        </w:tc>
        <w:tc>
          <w:tcPr>
            <w:tcW w:w="4605" w:type="dxa"/>
          </w:tcPr>
          <w:p w:rsidR="00A07A70" w:rsidRDefault="00A07A70" w:rsidP="00A01CDB">
            <w:pPr>
              <w:spacing w:line="276" w:lineRule="auto"/>
            </w:pPr>
            <w:r>
              <w:t>Záväzky</w:t>
            </w:r>
          </w:p>
        </w:tc>
      </w:tr>
      <w:tr w:rsidR="00A07A70" w:rsidTr="00A07A70">
        <w:tc>
          <w:tcPr>
            <w:tcW w:w="4605" w:type="dxa"/>
          </w:tcPr>
          <w:p w:rsidR="00A07A70" w:rsidRDefault="00A07A70" w:rsidP="00A01CDB">
            <w:pPr>
              <w:spacing w:line="276" w:lineRule="auto"/>
            </w:pPr>
            <w:r>
              <w:t>Pravdepodobné, spoľahlivo odhadnuté</w:t>
            </w:r>
          </w:p>
        </w:tc>
        <w:tc>
          <w:tcPr>
            <w:tcW w:w="4605" w:type="dxa"/>
          </w:tcPr>
          <w:p w:rsidR="00A07A70" w:rsidRDefault="00A07A70" w:rsidP="00A01CDB">
            <w:pPr>
              <w:spacing w:line="276" w:lineRule="auto"/>
            </w:pPr>
            <w:r>
              <w:t>Rezervy</w:t>
            </w:r>
          </w:p>
        </w:tc>
      </w:tr>
      <w:tr w:rsidR="00A07A70" w:rsidTr="00A07A70">
        <w:tc>
          <w:tcPr>
            <w:tcW w:w="4605" w:type="dxa"/>
          </w:tcPr>
          <w:p w:rsidR="00A07A70" w:rsidRDefault="00A07A70" w:rsidP="00A01CDB">
            <w:pPr>
              <w:spacing w:line="276" w:lineRule="auto"/>
            </w:pPr>
            <w:r>
              <w:t>Neurčité</w:t>
            </w:r>
          </w:p>
        </w:tc>
        <w:tc>
          <w:tcPr>
            <w:tcW w:w="4605" w:type="dxa"/>
          </w:tcPr>
          <w:p w:rsidR="00A07A70" w:rsidRDefault="00A07A70" w:rsidP="00A01CDB">
            <w:pPr>
              <w:spacing w:line="276" w:lineRule="auto"/>
            </w:pPr>
            <w:r>
              <w:t>Podmienené záväzky</w:t>
            </w:r>
          </w:p>
        </w:tc>
      </w:tr>
    </w:tbl>
    <w:p w:rsidR="00A07A70" w:rsidRDefault="00A07A70" w:rsidP="00A01CDB">
      <w:pPr>
        <w:rPr>
          <w:rFonts w:cs="Times New Roman"/>
          <w:color w:val="000000"/>
          <w:sz w:val="20"/>
          <w:szCs w:val="20"/>
          <w:shd w:val="clear" w:color="auto" w:fill="FFFDFE"/>
        </w:rPr>
      </w:pPr>
      <w:r>
        <w:rPr>
          <w:i/>
          <w:sz w:val="20"/>
          <w:szCs w:val="20"/>
        </w:rPr>
        <w:t xml:space="preserve">Zdroj: vlastné zobrazenie </w:t>
      </w:r>
      <w:r w:rsidRPr="00A07A70">
        <w:rPr>
          <w:rFonts w:cs="Times New Roman"/>
          <w:i/>
          <w:sz w:val="20"/>
          <w:szCs w:val="20"/>
        </w:rPr>
        <w:t xml:space="preserve">podľa </w:t>
      </w:r>
      <w:r w:rsidRPr="00A07A70">
        <w:rPr>
          <w:rFonts w:cs="Times New Roman"/>
          <w:color w:val="000000"/>
          <w:sz w:val="20"/>
          <w:szCs w:val="20"/>
          <w:shd w:val="clear" w:color="auto" w:fill="FFFDFE"/>
        </w:rPr>
        <w:t>KRIŠTOFÍK, Peter, Darina SAXUNOVÁ a Zuzana ŠURANOVÁ.</w:t>
      </w:r>
      <w:r w:rsidRPr="00A07A70">
        <w:rPr>
          <w:rStyle w:val="apple-converted-space"/>
          <w:rFonts w:cs="Times New Roman"/>
          <w:color w:val="000000"/>
          <w:sz w:val="20"/>
          <w:szCs w:val="20"/>
          <w:shd w:val="clear" w:color="auto" w:fill="FFFDFE"/>
        </w:rPr>
        <w:t> </w:t>
      </w:r>
      <w:r w:rsidRPr="00A07A70">
        <w:rPr>
          <w:rFonts w:cs="Times New Roman"/>
          <w:i/>
          <w:iCs/>
          <w:color w:val="000000"/>
          <w:sz w:val="20"/>
          <w:szCs w:val="20"/>
          <w:shd w:val="clear" w:color="auto" w:fill="FFFDFE"/>
        </w:rPr>
        <w:t>Finančné účtovníctvo a riadenie s aplikáciou IFRS.</w:t>
      </w:r>
      <w:r w:rsidRPr="00A07A70">
        <w:rPr>
          <w:rStyle w:val="apple-converted-space"/>
          <w:rFonts w:cs="Times New Roman"/>
          <w:color w:val="000000"/>
          <w:sz w:val="20"/>
          <w:szCs w:val="20"/>
          <w:shd w:val="clear" w:color="auto" w:fill="FFFDFE"/>
        </w:rPr>
        <w:t> </w:t>
      </w:r>
      <w:r w:rsidRPr="00A07A70">
        <w:rPr>
          <w:rFonts w:cs="Times New Roman"/>
          <w:color w:val="000000"/>
          <w:sz w:val="20"/>
          <w:szCs w:val="20"/>
          <w:shd w:val="clear" w:color="auto" w:fill="FFFDFE"/>
        </w:rPr>
        <w:t xml:space="preserve">2. </w:t>
      </w:r>
      <w:proofErr w:type="spellStart"/>
      <w:r w:rsidRPr="00A07A70">
        <w:rPr>
          <w:rFonts w:cs="Times New Roman"/>
          <w:color w:val="000000"/>
          <w:sz w:val="20"/>
          <w:szCs w:val="20"/>
          <w:shd w:val="clear" w:color="auto" w:fill="FFFDFE"/>
        </w:rPr>
        <w:t>preprac</w:t>
      </w:r>
      <w:proofErr w:type="spellEnd"/>
      <w:r w:rsidRPr="00A07A70">
        <w:rPr>
          <w:rFonts w:cs="Times New Roman"/>
          <w:color w:val="000000"/>
          <w:sz w:val="20"/>
          <w:szCs w:val="20"/>
          <w:shd w:val="clear" w:color="auto" w:fill="FFFDFE"/>
        </w:rPr>
        <w:t xml:space="preserve">. a </w:t>
      </w:r>
      <w:proofErr w:type="spellStart"/>
      <w:r w:rsidRPr="00A07A70">
        <w:rPr>
          <w:rFonts w:cs="Times New Roman"/>
          <w:color w:val="000000"/>
          <w:sz w:val="20"/>
          <w:szCs w:val="20"/>
          <w:shd w:val="clear" w:color="auto" w:fill="FFFDFE"/>
        </w:rPr>
        <w:t>dopl</w:t>
      </w:r>
      <w:proofErr w:type="spellEnd"/>
      <w:r w:rsidRPr="00A07A70">
        <w:rPr>
          <w:rFonts w:cs="Times New Roman"/>
          <w:color w:val="000000"/>
          <w:sz w:val="20"/>
          <w:szCs w:val="20"/>
          <w:shd w:val="clear" w:color="auto" w:fill="FFFDFE"/>
        </w:rPr>
        <w:t xml:space="preserve">. vyd. Bratislava: </w:t>
      </w:r>
      <w:proofErr w:type="spellStart"/>
      <w:r w:rsidRPr="00A07A70">
        <w:rPr>
          <w:rFonts w:cs="Times New Roman"/>
          <w:color w:val="000000"/>
          <w:sz w:val="20"/>
          <w:szCs w:val="20"/>
          <w:shd w:val="clear" w:color="auto" w:fill="FFFDFE"/>
        </w:rPr>
        <w:t>Iura</w:t>
      </w:r>
      <w:proofErr w:type="spellEnd"/>
      <w:r w:rsidRPr="00A07A70">
        <w:rPr>
          <w:rFonts w:cs="Times New Roman"/>
          <w:color w:val="000000"/>
          <w:sz w:val="20"/>
          <w:szCs w:val="20"/>
          <w:shd w:val="clear" w:color="auto" w:fill="FFFDFE"/>
        </w:rPr>
        <w:t xml:space="preserve"> </w:t>
      </w:r>
      <w:proofErr w:type="spellStart"/>
      <w:r w:rsidRPr="00A07A70">
        <w:rPr>
          <w:rFonts w:cs="Times New Roman"/>
          <w:color w:val="000000"/>
          <w:sz w:val="20"/>
          <w:szCs w:val="20"/>
          <w:shd w:val="clear" w:color="auto" w:fill="FFFDFE"/>
        </w:rPr>
        <w:t>Edition</w:t>
      </w:r>
      <w:proofErr w:type="spellEnd"/>
      <w:r w:rsidRPr="00A07A70">
        <w:rPr>
          <w:rFonts w:cs="Times New Roman"/>
          <w:color w:val="000000"/>
          <w:sz w:val="20"/>
          <w:szCs w:val="20"/>
          <w:shd w:val="clear" w:color="auto" w:fill="FFFDFE"/>
        </w:rPr>
        <w:t>, 2011. 803 s. ISBN 978-80-8078-396-9.</w:t>
      </w:r>
    </w:p>
    <w:p w:rsidR="001B7250" w:rsidRDefault="0035660B" w:rsidP="00A01CDB">
      <w:r>
        <w:t>Príkladom na záväzky sú napríklad záväzky k dodávateľom, zamestnancom, prijaté zálohy, splátky dlhodo</w:t>
      </w:r>
      <w:r w:rsidR="00C07A72">
        <w:t>bých záväzkov či zmenky k úhrade</w:t>
      </w:r>
      <w:r>
        <w:t>. Rezervy sa tvoria na záručný servis, dovolenky, nemocenské, odstupné alebo environmentálne záväzky. Najvyšší stupeň neistoty je pri podmienených záväzkoch, kde nepoznáme ani výšku záväzku ani dobu platby, sem môžeme zaradiť neukončené súdne procesy alebo povinnosti vyplývajúce z ručenia.</w:t>
      </w:r>
    </w:p>
    <w:p w:rsidR="00EC1179" w:rsidRDefault="00EC1179" w:rsidP="00A01CDB"/>
    <w:p w:rsidR="001B7250" w:rsidRDefault="001B7250" w:rsidP="00A01CDB">
      <w:pPr>
        <w:pStyle w:val="Nadpis2"/>
      </w:pPr>
      <w:bookmarkStart w:id="3" w:name="_Toc447622242"/>
      <w:r>
        <w:t>Právna úprava a vymedzenie v Českej republike a rozdiely oproti slovenskej právnej úprave</w:t>
      </w:r>
      <w:bookmarkEnd w:id="3"/>
    </w:p>
    <w:p w:rsidR="001B7250" w:rsidRPr="00B77BEF" w:rsidRDefault="001B7250" w:rsidP="00A01CDB"/>
    <w:p w:rsidR="001B7250" w:rsidRDefault="001B7250" w:rsidP="00A01CDB">
      <w:r w:rsidRPr="00D874FC">
        <w:t xml:space="preserve">Podľa §26 zákona č. 563/1991 Zb. o účtovníctve, v znení neskorších predpisov, sa rezervou rozumie rezerva na riziká a straty, rezerva na daň z príjmu, rezerva na dôchodky a podobné záväzky a rezerva na reštrukturalizáciu. </w:t>
      </w:r>
    </w:p>
    <w:p w:rsidR="004B1638" w:rsidRPr="00D874FC" w:rsidRDefault="004B1638" w:rsidP="00A01CDB"/>
    <w:p w:rsidR="001B7250" w:rsidRPr="00232634" w:rsidRDefault="001B7250" w:rsidP="00A01CDB">
      <w:r w:rsidRPr="00D874FC">
        <w:t>Rezervy sú určené na presne vymedzené budúce záväzky a na prípadné riziká a straty plynúce z podnikania</w:t>
      </w:r>
      <w:r w:rsidRPr="00D874FC">
        <w:rPr>
          <w:rStyle w:val="Odkaznapoznmkupodiarou"/>
        </w:rPr>
        <w:footnoteReference w:id="1"/>
      </w:r>
      <w:r w:rsidRPr="00D874FC">
        <w:t xml:space="preserve">. Predstavujú cudzie záväzky, u ktorých nie je presne známe obdobie, kedy </w:t>
      </w:r>
      <w:r w:rsidRPr="00D874FC">
        <w:lastRenderedPageBreak/>
        <w:t>dôjde k plneniu, ani výška plnenia.</w:t>
      </w:r>
      <w:r>
        <w:t xml:space="preserve"> </w:t>
      </w:r>
      <w:r w:rsidRPr="00D874FC">
        <w:t>Vidíme, že vo vymedzení rezerv v zákone je medzi českou a slovenskou úpravou istý rozdiel. České právo priamo udáva, čo zákon pokladá za rezervu (na daň z príjmu, na dôchodky, atď</w:t>
      </w:r>
      <w:r w:rsidR="00EA68D3">
        <w:t>.</w:t>
      </w:r>
      <w:r w:rsidRPr="00D874FC">
        <w:t>).</w:t>
      </w:r>
      <w:r>
        <w:t>Hlavný rozdiel spočíva v tom, že česká právna úprava neumožňuje tvorbu rezerv so splatnosťou do jedného roku, teda krátkodobých rezerv, zatiaľ čo slovenská úprava to umožňuje. Mierne rozdielna je aj charakteristika účtovných rezerv v jednotlivých štátoch, k tomu sa ale dostaneme neskôr v práci.</w:t>
      </w:r>
    </w:p>
    <w:p w:rsidR="001B7250" w:rsidRPr="00232634" w:rsidRDefault="001B7250" w:rsidP="00A01CDB"/>
    <w:p w:rsidR="00795BD0" w:rsidRDefault="00232634" w:rsidP="00A01CDB">
      <w:pPr>
        <w:pStyle w:val="Nadpis2"/>
      </w:pPr>
      <w:bookmarkStart w:id="4" w:name="_Toc447622243"/>
      <w:r>
        <w:t>Vymedzenie podľa IFRS</w:t>
      </w:r>
      <w:bookmarkEnd w:id="4"/>
      <w:r w:rsidR="00406544">
        <w:t xml:space="preserve"> (Medzinárodné štandardy finančného výkazníctva)</w:t>
      </w:r>
    </w:p>
    <w:p w:rsidR="00795BD0" w:rsidRPr="00374024" w:rsidRDefault="00795BD0" w:rsidP="00A01CDB"/>
    <w:p w:rsidR="00795BD0" w:rsidRDefault="00795BD0" w:rsidP="00A01CDB">
      <w:r>
        <w:t>Zákon č.431/2002 Z.</w:t>
      </w:r>
      <w:r w:rsidR="00EA68D3">
        <w:t xml:space="preserve"> </w:t>
      </w:r>
      <w:r>
        <w:t>z. o účtovníctve v §17 uvádza, že povinnosť účtovať podľa Medzinárodných štandardov finančného výkazníctva majú dva druhy subjektov. Do prvej skupiny patria banky, pobočky zahraničných bánk, poisťovne okrem zdravotných poisťovní, pobočky zahraničných poisťovní, správcovské spoločnosti, Burza cenných papierov a niektoré ďalšie. Druhú skupinu, ktorá má povinnosť účtovať podľa IFRS tvoria obchodné spoločnosti, ktoré v dvoch po sebe idúc</w:t>
      </w:r>
      <w:r w:rsidR="00C75914">
        <w:t>ich obdobia</w:t>
      </w:r>
      <w:r w:rsidR="00EA68D3">
        <w:t>ch</w:t>
      </w:r>
      <w:r w:rsidR="00C75914">
        <w:t xml:space="preserve"> splnili aspoň dve z</w:t>
      </w:r>
      <w:r>
        <w:t xml:space="preserve"> nasledujúcich podmienok:</w:t>
      </w:r>
    </w:p>
    <w:p w:rsidR="00795BD0" w:rsidRDefault="00795BD0" w:rsidP="00A01CDB">
      <w:pPr>
        <w:pStyle w:val="Odsekzoznamu"/>
        <w:numPr>
          <w:ilvl w:val="0"/>
          <w:numId w:val="6"/>
        </w:numPr>
      </w:pPr>
      <w:r>
        <w:t>celková suma majetku presiahla 170 000 000 €</w:t>
      </w:r>
    </w:p>
    <w:p w:rsidR="00795BD0" w:rsidRDefault="00795BD0" w:rsidP="00A01CDB">
      <w:pPr>
        <w:pStyle w:val="Odsekzoznamu"/>
        <w:numPr>
          <w:ilvl w:val="0"/>
          <w:numId w:val="6"/>
        </w:numPr>
      </w:pPr>
      <w:r>
        <w:t>čistý obrat presiahol 170 000 000 €</w:t>
      </w:r>
    </w:p>
    <w:p w:rsidR="00795BD0" w:rsidRDefault="00795BD0" w:rsidP="00A01CDB">
      <w:pPr>
        <w:pStyle w:val="Odsekzoznamu"/>
        <w:numPr>
          <w:ilvl w:val="0"/>
          <w:numId w:val="6"/>
        </w:numPr>
      </w:pPr>
      <w:r>
        <w:t>priemerný počet zamestnancov presiahol 2</w:t>
      </w:r>
      <w:r w:rsidR="00772488">
        <w:t> </w:t>
      </w:r>
      <w:r>
        <w:t>000</w:t>
      </w:r>
      <w:r w:rsidR="00772488">
        <w:t>.</w:t>
      </w:r>
    </w:p>
    <w:p w:rsidR="00795BD0" w:rsidRDefault="00795BD0" w:rsidP="00A01CDB">
      <w:r>
        <w:t>Možnosť voľby majú účtovné jednotky, ktoré:</w:t>
      </w:r>
    </w:p>
    <w:p w:rsidR="00795BD0" w:rsidRDefault="00795BD0" w:rsidP="00A01CDB">
      <w:pPr>
        <w:pStyle w:val="Odsekzoznamu"/>
        <w:numPr>
          <w:ilvl w:val="0"/>
          <w:numId w:val="7"/>
        </w:numPr>
      </w:pPr>
      <w:r>
        <w:t>emitovali cenné papiere a tieto sú obchodované na regulovanom trhu</w:t>
      </w:r>
    </w:p>
    <w:p w:rsidR="00795BD0" w:rsidRDefault="00795BD0" w:rsidP="00A01CDB">
      <w:pPr>
        <w:pStyle w:val="Odsekzoznamu"/>
        <w:numPr>
          <w:ilvl w:val="0"/>
          <w:numId w:val="7"/>
        </w:numPr>
      </w:pPr>
      <w:r>
        <w:t>sú platobnou inštitúciou, obchodn</w:t>
      </w:r>
      <w:r w:rsidR="00C75914">
        <w:t>íkom s cennými papiermi a nie sú</w:t>
      </w:r>
      <w:r>
        <w:t xml:space="preserve"> súčasne bankou alebo inštitúciou elektronických peňazí</w:t>
      </w:r>
    </w:p>
    <w:p w:rsidR="00795BD0" w:rsidRDefault="00795BD0" w:rsidP="00A01CDB">
      <w:pPr>
        <w:pStyle w:val="Odsekzoznamu"/>
        <w:numPr>
          <w:ilvl w:val="0"/>
          <w:numId w:val="7"/>
        </w:numPr>
      </w:pPr>
      <w:r>
        <w:t>sú nástupníckou účtovnou jednotkou, pričom zanikajúca jednotka mala povinnosť účtovať podľa IFRS</w:t>
      </w:r>
    </w:p>
    <w:p w:rsidR="00795BD0" w:rsidRPr="000B28C0" w:rsidRDefault="00795BD0" w:rsidP="00A01CDB">
      <w:pPr>
        <w:pStyle w:val="Odsekzoznamu"/>
        <w:numPr>
          <w:ilvl w:val="0"/>
          <w:numId w:val="7"/>
        </w:numPr>
      </w:pPr>
      <w:r>
        <w:t>novovzniknutá dcérska účtovná jednotka, ak ku dňu zostavenia individuálnej účtovnej uzávierky spĺňa podmienky uvedené vyššie a zároveň jej materská spoločnosť zostavuje uzávierku podľa IFRS</w:t>
      </w:r>
      <w:r w:rsidR="00772488">
        <w:t>.</w:t>
      </w:r>
    </w:p>
    <w:p w:rsidR="00795BD0" w:rsidRPr="00795BD0" w:rsidRDefault="00795BD0" w:rsidP="00A01CDB"/>
    <w:p w:rsidR="000F77A5" w:rsidRDefault="000F77A5" w:rsidP="00A01CDB">
      <w:pPr>
        <w:spacing w:after="200" w:line="276" w:lineRule="auto"/>
        <w:rPr>
          <w:rFonts w:eastAsiaTheme="majorEastAsia" w:cstheme="majorBidi"/>
          <w:b/>
          <w:bCs/>
          <w:color w:val="000000" w:themeColor="text1"/>
        </w:rPr>
      </w:pPr>
      <w:r>
        <w:br w:type="page"/>
      </w:r>
    </w:p>
    <w:p w:rsidR="009A3D21" w:rsidRDefault="009A3D21" w:rsidP="00A01CDB">
      <w:pPr>
        <w:pStyle w:val="Nadpis3"/>
      </w:pPr>
      <w:bookmarkStart w:id="5" w:name="_Toc447622244"/>
      <w:r>
        <w:lastRenderedPageBreak/>
        <w:t>Vznik IFRS</w:t>
      </w:r>
      <w:bookmarkEnd w:id="5"/>
    </w:p>
    <w:p w:rsidR="009A3D21" w:rsidRPr="009A3D21" w:rsidRDefault="009A3D21" w:rsidP="00A01CDB"/>
    <w:p w:rsidR="00185945" w:rsidRDefault="009A3D21" w:rsidP="00A01CDB">
      <w:r>
        <w:t xml:space="preserve">Od 70. rokov minulého storočia sa začala objavovať potreba harmonizácie účtovníctva. Bolo to spôsobené prepájaním medzinárodných trhov a rastúcou globalizáciou ekonomiky. Rozdiely v jednotlivých účtovných normách boli tak </w:t>
      </w:r>
      <w:r w:rsidR="005D1D30">
        <w:t>veľké</w:t>
      </w:r>
      <w:r>
        <w:t>, že spôsobovali výrazné problémy pri porovnávaní spoločností z rôznych krajín. V roku 1973 vznikol Výbor pre IAS (</w:t>
      </w:r>
      <w:proofErr w:type="spellStart"/>
      <w:r>
        <w:t>International</w:t>
      </w:r>
      <w:proofErr w:type="spellEnd"/>
      <w:r>
        <w:t xml:space="preserve"> </w:t>
      </w:r>
      <w:proofErr w:type="spellStart"/>
      <w:r>
        <w:t>Accounting</w:t>
      </w:r>
      <w:proofErr w:type="spellEnd"/>
      <w:r>
        <w:t xml:space="preserve"> </w:t>
      </w:r>
      <w:proofErr w:type="spellStart"/>
      <w:r>
        <w:t>Standards</w:t>
      </w:r>
      <w:proofErr w:type="spellEnd"/>
      <w:r>
        <w:t xml:space="preserve"> </w:t>
      </w:r>
      <w:proofErr w:type="spellStart"/>
      <w:r>
        <w:t>Commitee</w:t>
      </w:r>
      <w:proofErr w:type="spellEnd"/>
      <w:r>
        <w:t xml:space="preserve"> - IASC), ktorý sa zaoberal tvorbou a vydávaním jednotlivých účtovných štandardov až do roku 2001. V tomto roku ho nahradila Rada pre IAS</w:t>
      </w:r>
      <w:r w:rsidR="00AA7BB2">
        <w:t xml:space="preserve"> (</w:t>
      </w:r>
      <w:proofErr w:type="spellStart"/>
      <w:r w:rsidR="00AA7BB2">
        <w:t>International</w:t>
      </w:r>
      <w:proofErr w:type="spellEnd"/>
      <w:r w:rsidR="00AA7BB2">
        <w:t xml:space="preserve"> </w:t>
      </w:r>
      <w:proofErr w:type="spellStart"/>
      <w:r w:rsidR="00AA7BB2">
        <w:t>Accounting</w:t>
      </w:r>
      <w:proofErr w:type="spellEnd"/>
      <w:r w:rsidR="00AA7BB2">
        <w:t xml:space="preserve"> </w:t>
      </w:r>
      <w:proofErr w:type="spellStart"/>
      <w:r w:rsidR="00AA7BB2">
        <w:t>Standards</w:t>
      </w:r>
      <w:proofErr w:type="spellEnd"/>
      <w:r w:rsidR="00AA7BB2">
        <w:t xml:space="preserve"> </w:t>
      </w:r>
      <w:proofErr w:type="spellStart"/>
      <w:r w:rsidR="00AA7BB2">
        <w:t>Board</w:t>
      </w:r>
      <w:proofErr w:type="spellEnd"/>
      <w:r w:rsidR="00AA7BB2">
        <w:t xml:space="preserve"> - IASB), ktorej úlohou bolo zlepšovať už existujúce štandardy. </w:t>
      </w:r>
    </w:p>
    <w:p w:rsidR="004B1638" w:rsidRDefault="004B1638" w:rsidP="00A01CDB"/>
    <w:p w:rsidR="00CE67D5" w:rsidRDefault="00AA7BB2" w:rsidP="00A01CDB">
      <w:r>
        <w:t>Súčasný termín IFRS označuje štandardy, ktoré vznikli po roku 2001 a vznikol preto, aby sa nové štandardy odlíšili od starých, vydávaných do roku 2001. V nasledujúcom roku vznikol Výbor pre interpretáci</w:t>
      </w:r>
      <w:r w:rsidR="00EA68D3">
        <w:t>u IFRS (</w:t>
      </w:r>
      <w:proofErr w:type="spellStart"/>
      <w:r w:rsidR="00EA68D3">
        <w:t>International</w:t>
      </w:r>
      <w:proofErr w:type="spellEnd"/>
      <w:r w:rsidR="00EA68D3">
        <w:t xml:space="preserve"> </w:t>
      </w:r>
      <w:proofErr w:type="spellStart"/>
      <w:r w:rsidR="00EA68D3">
        <w:t>Financial</w:t>
      </w:r>
      <w:proofErr w:type="spellEnd"/>
      <w:r>
        <w:t xml:space="preserve"> </w:t>
      </w:r>
      <w:proofErr w:type="spellStart"/>
      <w:r>
        <w:t>Reporting</w:t>
      </w:r>
      <w:proofErr w:type="spellEnd"/>
      <w:r>
        <w:t xml:space="preserve"> </w:t>
      </w:r>
      <w:proofErr w:type="spellStart"/>
      <w:r>
        <w:t>Interpretations</w:t>
      </w:r>
      <w:proofErr w:type="spellEnd"/>
      <w:r>
        <w:t xml:space="preserve"> </w:t>
      </w:r>
      <w:proofErr w:type="spellStart"/>
      <w:r>
        <w:t>Committee</w:t>
      </w:r>
      <w:proofErr w:type="spellEnd"/>
      <w:r>
        <w:t xml:space="preserve"> -IFRIC), ktorého úlohou je skúmať nové problémy, ktoré sa vyskytujú a na výklad jednotlivých štandardov</w:t>
      </w:r>
      <w:r w:rsidR="007709DD">
        <w:rPr>
          <w:rStyle w:val="Odkaznapoznmkupodiarou"/>
        </w:rPr>
        <w:footnoteReference w:id="2"/>
      </w:r>
      <w:r>
        <w:t>.</w:t>
      </w:r>
      <w:r w:rsidR="009F7E11">
        <w:t xml:space="preserve"> </w:t>
      </w:r>
      <w:r w:rsidR="00CE67D5">
        <w:t>Podobný význam, aký majú v Európe Štandardy IFRS</w:t>
      </w:r>
      <w:r w:rsidR="005D1D30">
        <w:t>,</w:t>
      </w:r>
      <w:r w:rsidR="00CE67D5">
        <w:t xml:space="preserve"> majú v Amerike Štandardy US GAAP (</w:t>
      </w:r>
      <w:proofErr w:type="spellStart"/>
      <w:r w:rsidR="00CE67D5">
        <w:t>United</w:t>
      </w:r>
      <w:proofErr w:type="spellEnd"/>
      <w:r w:rsidR="00CE67D5">
        <w:t xml:space="preserve"> </w:t>
      </w:r>
      <w:proofErr w:type="spellStart"/>
      <w:r w:rsidR="00CE67D5">
        <w:t>States</w:t>
      </w:r>
      <w:proofErr w:type="spellEnd"/>
      <w:r w:rsidR="00CE67D5">
        <w:t xml:space="preserve"> </w:t>
      </w:r>
      <w:proofErr w:type="spellStart"/>
      <w:r w:rsidR="00CE67D5">
        <w:t>Generally</w:t>
      </w:r>
      <w:proofErr w:type="spellEnd"/>
      <w:r w:rsidR="00CE67D5">
        <w:t xml:space="preserve"> </w:t>
      </w:r>
      <w:proofErr w:type="spellStart"/>
      <w:r w:rsidR="00CE67D5">
        <w:t>Accepted</w:t>
      </w:r>
      <w:proofErr w:type="spellEnd"/>
      <w:r w:rsidR="00CE67D5">
        <w:t xml:space="preserve"> </w:t>
      </w:r>
      <w:proofErr w:type="spellStart"/>
      <w:r w:rsidR="00CE67D5">
        <w:t>Standards</w:t>
      </w:r>
      <w:proofErr w:type="spellEnd"/>
      <w:r w:rsidR="00CE67D5">
        <w:t xml:space="preserve">). Sú mierne odlišné, ale majú podobnú metodológiu a princípy. </w:t>
      </w:r>
    </w:p>
    <w:p w:rsidR="004B1638" w:rsidRPr="00A80790" w:rsidRDefault="004B1638" w:rsidP="00A01CDB"/>
    <w:p w:rsidR="0031512B" w:rsidRDefault="00EA68D3" w:rsidP="00A01CDB">
      <w:r>
        <w:t>Zákon o účtovníctve v </w:t>
      </w:r>
      <w:r w:rsidR="005E7821">
        <w:t xml:space="preserve">§19, v prvom odseku </w:t>
      </w:r>
      <w:r w:rsidR="00154127">
        <w:t>upravuje, ktoré účtovné jednotky majú povinnosť účtovať podľa Medzinárodných štandardov finančného výkazníctva (ďalej IFRS).</w:t>
      </w:r>
      <w:r w:rsidR="005E7821">
        <w:t xml:space="preserve"> Sú to podniky, ktoré sú obchodnými spoločnosťami a sú emitentmi cenných papierov, ktoré sa obchodujú na regulovanom trhu v Európe. </w:t>
      </w:r>
      <w:r w:rsidR="00CE67D5">
        <w:t xml:space="preserve">Existuje </w:t>
      </w:r>
      <w:r w:rsidR="0031512B">
        <w:t>ešte mnoho podnikov, ktoré nemajú povinnosť IFRS používať, ale robia tak dobrovoľne.</w:t>
      </w:r>
    </w:p>
    <w:p w:rsidR="007F6324" w:rsidRDefault="007F6324" w:rsidP="00A01CDB"/>
    <w:p w:rsidR="0031512B" w:rsidRDefault="0031512B" w:rsidP="00A01CDB">
      <w:pPr>
        <w:pStyle w:val="Nadpis3"/>
      </w:pPr>
      <w:bookmarkStart w:id="6" w:name="_Toc447622245"/>
      <w:r>
        <w:t>Medzinárodný účtovný štandard 37</w:t>
      </w:r>
      <w:bookmarkEnd w:id="6"/>
    </w:p>
    <w:p w:rsidR="0031512B" w:rsidRPr="0031512B" w:rsidRDefault="0031512B" w:rsidP="00A01CDB"/>
    <w:p w:rsidR="007F6324" w:rsidRDefault="009F7E11" w:rsidP="00A01CDB">
      <w:r w:rsidRPr="009F7E11">
        <w:t>Rezervami, podmienenými záväzkami a podmienenými aktívami sa zaoberá Medzinárodný účtovný štandard 37. Prvýkrát bol vydaný v roku 1998 ako IAS 37 Výborom pre medzinárodné účtovné štandardy, kedy nahradil pôvodný IAS 10 Podmienenosti a</w:t>
      </w:r>
      <w:r w:rsidR="004B1638">
        <w:t> </w:t>
      </w:r>
      <w:r w:rsidRPr="009F7E11">
        <w:t>Udalosti</w:t>
      </w:r>
      <w:r w:rsidR="004B1638">
        <w:t xml:space="preserve"> </w:t>
      </w:r>
      <w:r w:rsidR="007F6324">
        <w:lastRenderedPageBreak/>
        <w:t>po súvahovom dni</w:t>
      </w:r>
      <w:r w:rsidR="007F6324">
        <w:rPr>
          <w:rStyle w:val="Odkaznapoznmkupodiarou"/>
        </w:rPr>
        <w:footnoteReference w:id="3"/>
      </w:r>
      <w:r w:rsidR="007F6324">
        <w:t xml:space="preserve">. Štandard IFRS 37 sa používa všetkými spoločnosťami, ktorým to predpisuje zákon a tými, ktoré ho používajú dobrovoľne. </w:t>
      </w:r>
    </w:p>
    <w:p w:rsidR="004B1638" w:rsidRDefault="004B1638" w:rsidP="00A01CDB"/>
    <w:p w:rsidR="00232634" w:rsidRDefault="00232634" w:rsidP="00A01CDB">
      <w:r>
        <w:t>Štandard definuje rezervy po</w:t>
      </w:r>
      <w:r w:rsidR="00406544">
        <w:t xml:space="preserve">dobne ako Zákon o účtovníctve, </w:t>
      </w:r>
      <w:r>
        <w:t xml:space="preserve">teda ako záväzky s neurčitým časovým vymedzením alebo výškou. Rezerva sa má vykazovať len vtedy, ak má jednotka súčasnú povinnosť, ktorá vznikla na základe minulej udalosti, ak </w:t>
      </w:r>
      <w:r w:rsidR="00513276">
        <w:t>vyrovnanie</w:t>
      </w:r>
      <w:r>
        <w:t xml:space="preserve"> povinnosti spôsob</w:t>
      </w:r>
      <w:r w:rsidR="00406544">
        <w:t xml:space="preserve">í zníženie ekonomických úžitkov </w:t>
      </w:r>
      <w:r>
        <w:t>a súčasne možno spoľahlivo odhadnúť výšku záväzku</w:t>
      </w:r>
      <w:r>
        <w:rPr>
          <w:rStyle w:val="Odkaznapoznmkupodiarou"/>
        </w:rPr>
        <w:footnoteReference w:id="4"/>
      </w:r>
      <w:r>
        <w:t>. Pri nesplnení týchto podmienok sa rezerva nevykáže. Pripúšťa sa, že v niektorých prípadoch nie je možné vykonať odhad záväzku.</w:t>
      </w:r>
      <w:r w:rsidR="00406544">
        <w:t xml:space="preserve"> </w:t>
      </w:r>
      <w:r>
        <w:t>Štandard sa ďalej zaoberá definíciou podmienenýc</w:t>
      </w:r>
      <w:r w:rsidR="005D1D30">
        <w:t>h záväzkov a podmienených aktív</w:t>
      </w:r>
      <w:r>
        <w:t>.</w:t>
      </w:r>
    </w:p>
    <w:p w:rsidR="004B1638" w:rsidRDefault="004B1638" w:rsidP="00A01CDB"/>
    <w:p w:rsidR="009362A7" w:rsidRDefault="005E7821" w:rsidP="00A01CDB">
      <w:r>
        <w:t xml:space="preserve">V štandarde sa </w:t>
      </w:r>
      <w:r w:rsidR="0031512B">
        <w:t xml:space="preserve">okrem </w:t>
      </w:r>
      <w:r>
        <w:t xml:space="preserve">definície rezervy samotnej definuje aj záväzok, ako súčasný záväzok spoločnosti vyplývajúci z minulých udalostí, od ktorého sa očakáva zníženie hospodárskeho výsledku spoločnosti. Ďalej sa tu definuje skutočnosť zakladajúca záväzok, zmluvný záväzok, mimozmluvný záväzok, podmienený záväzok, podmienené aktívum či nevýhodná zmluva. </w:t>
      </w:r>
      <w:r w:rsidR="009362A7">
        <w:t xml:space="preserve">Cieľom štandardu je zabezpečiť, aby sa používali vhodné kritériá vykazovania rezerv, podmienených záväzkov a podmienených aktív a aby sa uverejnili všetky informácie k účtovnej uzávierke tak, aby umožnili ich čitateľom pochopiť ich charakter, načasovanie a sumu. </w:t>
      </w:r>
    </w:p>
    <w:p w:rsidR="005B32FF" w:rsidRDefault="005B32FF" w:rsidP="00A01CDB"/>
    <w:p w:rsidR="0036189C" w:rsidRDefault="0036189C" w:rsidP="00A01CDB">
      <w:r>
        <w:t>IFRS používa systém diskontovania rezerv, teda prepočtu hodnoty rezervy na súčasnú hodnotu. Diskontná sadzba by mala čo najlepšie odzrkadľovať aktuálne trhové zhodnotenie peňazí. Diskont sa používa, ak je vplyv časovej hodnoty peňazí významný</w:t>
      </w:r>
      <w:r w:rsidR="00795BD0">
        <w:rPr>
          <w:rStyle w:val="Odkaznapoznmkupodiarou"/>
        </w:rPr>
        <w:footnoteReference w:id="5"/>
      </w:r>
      <w:r>
        <w:t xml:space="preserve">. </w:t>
      </w:r>
    </w:p>
    <w:p w:rsidR="005B32FF" w:rsidRDefault="005B32FF" w:rsidP="00A01CDB"/>
    <w:p w:rsidR="00B40BBE" w:rsidRDefault="00B40BBE" w:rsidP="00A01CDB">
      <w:r>
        <w:t xml:space="preserve">Štandard sa nezaoberá rezervami a podmienenými záväzkami, ktoré vyplývajú zo zmarených zmlúv, ktoré vznikajú v poisťovniach v zmluvách s poistencami, ktoré vyplývajú z finančných nástrojov ocenených fair </w:t>
      </w:r>
      <w:proofErr w:type="spellStart"/>
      <w:r>
        <w:t>value</w:t>
      </w:r>
      <w:proofErr w:type="spellEnd"/>
      <w:r>
        <w:t xml:space="preserve"> a rezervami, ktoré sú obsiahnuté v iných štandardoch</w:t>
      </w:r>
      <w:r w:rsidR="007709DD">
        <w:rPr>
          <w:rStyle w:val="Odkaznapoznmkupodiarou"/>
        </w:rPr>
        <w:footnoteReference w:id="6"/>
      </w:r>
      <w:r>
        <w:t xml:space="preserve">. </w:t>
      </w:r>
    </w:p>
    <w:p w:rsidR="00BF1D21" w:rsidRDefault="00BF1D21" w:rsidP="00A01CDB"/>
    <w:p w:rsidR="00BF1D21" w:rsidRDefault="00BF1D21" w:rsidP="00A01CDB">
      <w:pPr>
        <w:pStyle w:val="Nadpis2"/>
      </w:pPr>
      <w:bookmarkStart w:id="7" w:name="_Toc447622246"/>
      <w:r>
        <w:lastRenderedPageBreak/>
        <w:t>Klasifikácia rezerv</w:t>
      </w:r>
      <w:r w:rsidR="009F7E11">
        <w:t xml:space="preserve"> podľa jednotlivých kategórií</w:t>
      </w:r>
      <w:bookmarkEnd w:id="7"/>
    </w:p>
    <w:p w:rsidR="004D2AD8" w:rsidRPr="004D2AD8" w:rsidRDefault="004D2AD8" w:rsidP="00A01CDB"/>
    <w:p w:rsidR="00BF1D21" w:rsidRDefault="00BF1D21" w:rsidP="00A01CDB">
      <w:r>
        <w:t>Rezervy môžeme r</w:t>
      </w:r>
      <w:r w:rsidR="00C75914">
        <w:t>ozdeliť do niekoľkých kategórií:</w:t>
      </w:r>
      <w:r>
        <w:t xml:space="preserve"> podľa časového vymedzenia, druhu rezerv</w:t>
      </w:r>
      <w:r w:rsidR="009D6337">
        <w:t>y či podľa účelu rezervy</w:t>
      </w:r>
      <w:r>
        <w:t>. Jednotlivým druhom sa budeme venovať v nasledujúcich podkapitolách.</w:t>
      </w:r>
    </w:p>
    <w:p w:rsidR="00BF1D21" w:rsidRDefault="00BF1D21" w:rsidP="00A01CDB">
      <w:r>
        <w:t xml:space="preserve">Z časového hľadiska delíme rezervy na: </w:t>
      </w:r>
    </w:p>
    <w:p w:rsidR="00BF1D21" w:rsidRDefault="00BF1D21" w:rsidP="00A01CDB">
      <w:r>
        <w:tab/>
        <w:t>a) krátkodobé</w:t>
      </w:r>
    </w:p>
    <w:p w:rsidR="00BF1D21" w:rsidRDefault="00BF1D21" w:rsidP="00A01CDB">
      <w:r>
        <w:tab/>
        <w:t>b) dlhodobé</w:t>
      </w:r>
    </w:p>
    <w:p w:rsidR="00BF1D21" w:rsidRDefault="00BF1D21" w:rsidP="00A01CDB">
      <w:r>
        <w:t>Podľa spôsobu účtovania:</w:t>
      </w:r>
    </w:p>
    <w:p w:rsidR="00BF1D21" w:rsidRDefault="00BF1D21" w:rsidP="00A01CDB">
      <w:r>
        <w:tab/>
        <w:t>a) daňové</w:t>
      </w:r>
    </w:p>
    <w:p w:rsidR="00BF1D21" w:rsidRDefault="00BF1D21" w:rsidP="00A01CDB">
      <w:r>
        <w:tab/>
        <w:t>b) nedaňové</w:t>
      </w:r>
    </w:p>
    <w:p w:rsidR="00A13D73" w:rsidRDefault="005D1D30" w:rsidP="00A01CDB">
      <w:r>
        <w:t>Podľa účelu rezervy</w:t>
      </w:r>
      <w:r w:rsidR="00BF1D21">
        <w:t xml:space="preserve"> môžeme rozdeliť na mno</w:t>
      </w:r>
      <w:r w:rsidR="00CE67D5">
        <w:t>žstvo kategórií podľa zamerania</w:t>
      </w:r>
      <w:r w:rsidR="00BF1D21">
        <w:t xml:space="preserve"> konkrétneho podniku. </w:t>
      </w:r>
    </w:p>
    <w:p w:rsidR="005B32FF" w:rsidRDefault="005B32FF" w:rsidP="00A01CDB"/>
    <w:p w:rsidR="005B32FF" w:rsidRDefault="00A13D73" w:rsidP="00A01CDB">
      <w:r>
        <w:t>Ako sme už spomenuli vyššie, z časového hľadiska sa rezervy delia na krátkodobé a dlhodobé. Krátkodobé rezervy sú také, ktorých doba splnenia záväzku alebo doba splatnosti je maximálne jeden rok. Môžu sem patriť napríklad rezervy na pokuty a penále,</w:t>
      </w:r>
      <w:r w:rsidR="005D1D30">
        <w:t xml:space="preserve"> rezervy na nevyčerpané dovolenky, </w:t>
      </w:r>
      <w:r>
        <w:t>rezervy na nevyfakturované dodávky s</w:t>
      </w:r>
      <w:r w:rsidR="005D1D30">
        <w:t>o známym dátumom splatnosti</w:t>
      </w:r>
      <w:r>
        <w:t>, rezervy na odstupné, rezervy na prebiehajúce alebo hroziace súdne spory, rezervy na zostavenie daňového priznania a ďalšie. Dlhodobé rezervy sú</w:t>
      </w:r>
      <w:r w:rsidR="005B32FF">
        <w:t>,</w:t>
      </w:r>
      <w:r>
        <w:t xml:space="preserve"> naopak</w:t>
      </w:r>
      <w:r w:rsidR="005B32FF">
        <w:t>,</w:t>
      </w:r>
      <w:r>
        <w:t xml:space="preserve"> tie, pri ktorých doba splatnosti, alebo doba predpokladaného plnenia záväzku prekračuje jeden rok. Do tejto skupiny patria napríklad rezervy na sanáciu pozemkov dotknutých ťažbou, rezervy na uzavretie, monitorovanie a rekultiváciu skládok po ich uzavretí, dlhodobé rezervy na reklamácie, záručné opravy, rezervy na nevyfakturované dodávky bez známeho dátumu splatnosti, rezervy na demoláciu budov, na odstránenie odpadov a ďalšie</w:t>
      </w:r>
      <w:r w:rsidR="00C730A0">
        <w:rPr>
          <w:rStyle w:val="Odkaznapoznmkupodiarou"/>
        </w:rPr>
        <w:footnoteReference w:id="7"/>
      </w:r>
      <w:r>
        <w:t>.</w:t>
      </w:r>
    </w:p>
    <w:p w:rsidR="005B32FF" w:rsidRDefault="005B32FF" w:rsidP="00A01CDB"/>
    <w:p w:rsidR="00A13D73" w:rsidRDefault="001E3191" w:rsidP="00A01CDB">
      <w:r>
        <w:t>Na rezervy sa môžeme pozerať z dvoch hľadísk. Z hľadiska účtovného a hľadiska daňového.</w:t>
      </w:r>
      <w:r w:rsidR="00C730A0">
        <w:t xml:space="preserve"> </w:t>
      </w:r>
      <w:r w:rsidR="00A13D73">
        <w:t>Podľa vplyvu legislatívy na tvorbu rezerv</w:t>
      </w:r>
      <w:r>
        <w:t xml:space="preserve">, teda z daňového hľadiska, </w:t>
      </w:r>
      <w:r w:rsidR="00A13D73">
        <w:t xml:space="preserve"> ich rozdeľujeme na </w:t>
      </w:r>
      <w:r>
        <w:t>zákonné a ostatné</w:t>
      </w:r>
      <w:r w:rsidR="00A13D73">
        <w:t>. Z daňového hľadiska rozdeľujeme rezervy na daňové - zákonné a nedaňové - ostatné</w:t>
      </w:r>
      <w:r w:rsidR="000C3401">
        <w:rPr>
          <w:rStyle w:val="Odkaznapoznmkupodiarou"/>
        </w:rPr>
        <w:footnoteReference w:id="8"/>
      </w:r>
      <w:r w:rsidR="00A13D73">
        <w:t>.</w:t>
      </w:r>
    </w:p>
    <w:p w:rsidR="005B32FF" w:rsidRDefault="005B32FF" w:rsidP="00A01CDB"/>
    <w:p w:rsidR="00A13D73" w:rsidRDefault="00A13D73" w:rsidP="00A01CDB">
      <w:r>
        <w:lastRenderedPageBreak/>
        <w:t xml:space="preserve">Zákonné, resp. daňové rezervy sú </w:t>
      </w:r>
      <w:r w:rsidR="00CE67D5">
        <w:t xml:space="preserve">na Slovensku </w:t>
      </w:r>
      <w:r>
        <w:t xml:space="preserve">tvorené v súlade so Zákonom o dani z príjmu </w:t>
      </w:r>
      <w:r w:rsidR="00C730A0">
        <w:t>č. 595/2003 Z</w:t>
      </w:r>
      <w:r w:rsidR="00CE67D5">
        <w:t>.</w:t>
      </w:r>
      <w:r w:rsidR="00C730A0">
        <w:t xml:space="preserve"> </w:t>
      </w:r>
      <w:r w:rsidR="00CE67D5">
        <w:t xml:space="preserve">z. </w:t>
      </w:r>
      <w:r>
        <w:t xml:space="preserve">Ostatné, nedaňové rezervy si podnik vytvára sám podľa vlastného uváženia. </w:t>
      </w:r>
    </w:p>
    <w:p w:rsidR="005D1D30" w:rsidRDefault="00A13D73" w:rsidP="00A01CDB">
      <w:r>
        <w:t>Podrobnejšie si daňové a nedaňové rezervy a zaradenie jednotlivých druhov rezerv do týchto kategórií rozoberieme v </w:t>
      </w:r>
      <w:r w:rsidR="005D1D30">
        <w:t>ďalšej</w:t>
      </w:r>
      <w:r>
        <w:t xml:space="preserve"> kapitole</w:t>
      </w:r>
      <w:r w:rsidR="005D1D30">
        <w:t>.</w:t>
      </w:r>
    </w:p>
    <w:p w:rsidR="005B32FF" w:rsidRDefault="005B32FF" w:rsidP="00A01CDB"/>
    <w:p w:rsidR="000C3401" w:rsidRDefault="000C3401" w:rsidP="00A01CDB">
      <w:r>
        <w:t xml:space="preserve">Podľa účelu možno rozdeliť rezervy do </w:t>
      </w:r>
      <w:r w:rsidR="00CE67D5">
        <w:t>viacerých</w:t>
      </w:r>
      <w:r>
        <w:t xml:space="preserve"> kategórií, pričom vychádzame v zásade z toho, aký hlavný predmet činnosti má podnik uvedený</w:t>
      </w:r>
      <w:r w:rsidR="00CE67D5">
        <w:t xml:space="preserve"> v Obchodnom registri.</w:t>
      </w:r>
      <w:r w:rsidR="00C730A0">
        <w:t xml:space="preserve"> </w:t>
      </w:r>
      <w:r>
        <w:t>Napríklad výrobný podnik bude tvoriť rezervy na opravy strojov a zariadení, na náklady súvisiace s ochranou životného prostredia, na odstránenie obalov a odpadov, na rekultiváciu pozemkov dotknutých ťažbou, reze</w:t>
      </w:r>
      <w:r w:rsidR="009D6337">
        <w:t>rvy na likvidáciu banských diel alebo</w:t>
      </w:r>
      <w:r>
        <w:t xml:space="preserve"> n</w:t>
      </w:r>
      <w:r w:rsidR="009D6337">
        <w:t>a vyprodukované emisie</w:t>
      </w:r>
      <w:r>
        <w:t>. Tieto rezervy budú tvoriť hlavne podniky ťažkého priemyslu, ako napríklad ťažobné, chemické, hutnícke, energetické a chemické podniky. Napríklad rezervy na vyprodukované emisie budú tvoriť podniky, ktoré počas svojej činnosti vypúšťajú emisie do</w:t>
      </w:r>
      <w:r w:rsidR="00591AC0">
        <w:t xml:space="preserve"> ovzdušia vo zvýšenej miere, teda</w:t>
      </w:r>
      <w:r>
        <w:t xml:space="preserve"> chemické závody, tepelné elektrárne, cementárne či podniky vyrábajúce gumu. Rezervy na likvidáciu banských diel alebo rezervy na banské škody budú zase tvoriť iba podniky ťažobného priemyslu. </w:t>
      </w:r>
    </w:p>
    <w:p w:rsidR="005B32FF" w:rsidRDefault="005B32FF" w:rsidP="00A01CDB"/>
    <w:p w:rsidR="00591AC0" w:rsidRDefault="009D72B1" w:rsidP="00A01CDB">
      <w:r>
        <w:t>Ak sa jedná o obchodný podnik, budú veľkú časť tvoriť rezervy na reklamácie, na nevyfakturované dodávky a služby, rezervy na prípadné súdne spory, na províz</w:t>
      </w:r>
      <w:r w:rsidR="00772488">
        <w:t>ie obchodným zástupcom</w:t>
      </w:r>
      <w:r>
        <w:t>. Typickým podnikom tvoriacim tieto druhy rezerv môže byť maloobchod predávajúci výrobky ko</w:t>
      </w:r>
      <w:r w:rsidR="00591AC0">
        <w:t xml:space="preserve">nečným spotrebiteľom. Predá </w:t>
      </w:r>
      <w:r>
        <w:t>množstvo výrobkov</w:t>
      </w:r>
      <w:r w:rsidR="00591AC0">
        <w:t xml:space="preserve"> veľkému počtu spotrebiteľov</w:t>
      </w:r>
      <w:r>
        <w:t xml:space="preserve"> a teda </w:t>
      </w:r>
      <w:r w:rsidR="00591AC0">
        <w:t>chyba</w:t>
      </w:r>
      <w:r>
        <w:t xml:space="preserve"> sa </w:t>
      </w:r>
      <w:r w:rsidR="00C75914">
        <w:t xml:space="preserve">u </w:t>
      </w:r>
      <w:r>
        <w:t>niektorých z nich môže prejaviť (elektrospotr</w:t>
      </w:r>
      <w:r w:rsidR="00414BF6">
        <w:t xml:space="preserve">ebiče, mobilné telefóny, obuv). </w:t>
      </w:r>
      <w:r w:rsidR="00591AC0">
        <w:t>Ak má podnik skúsenosť s častými súdnymi spormi, resp. už je účastníkom v nejakom súdnom spore, mal by si tvoriť rez</w:t>
      </w:r>
      <w:r w:rsidR="00C730A0">
        <w:t xml:space="preserve">ervu pre prípad, že spor prehrá </w:t>
      </w:r>
      <w:r w:rsidR="00591AC0">
        <w:t>a</w:t>
      </w:r>
      <w:r w:rsidR="00C730A0">
        <w:t xml:space="preserve"> dôjde </w:t>
      </w:r>
      <w:r w:rsidR="00591AC0">
        <w:t>k finančnému plneniu alebo náhrade súdnych trov.</w:t>
      </w:r>
    </w:p>
    <w:p w:rsidR="005B32FF" w:rsidRDefault="005B32FF" w:rsidP="00A01CDB"/>
    <w:p w:rsidR="00414BF6" w:rsidRDefault="00414BF6" w:rsidP="00A01CDB">
      <w:r>
        <w:t>Určité typy rezerv tvoria, samozrejme, všetky podniky bez ohľadu na činnosť, ktorou sa zaoberajú. Sem patria napríklad rezervy na odstupné, na nevyčer</w:t>
      </w:r>
      <w:r w:rsidR="00591AC0">
        <w:t>pané dovolenky, prémie a odmeny alebo</w:t>
      </w:r>
      <w:r>
        <w:t xml:space="preserve"> rezervy na vypracovan</w:t>
      </w:r>
      <w:r w:rsidR="00591AC0">
        <w:t>ie daňového priznania.</w:t>
      </w:r>
      <w:r w:rsidR="00C730A0">
        <w:t xml:space="preserve"> </w:t>
      </w:r>
      <w:r>
        <w:t xml:space="preserve">Príkladom sú rezervy na odstupné, ktoré podnik netvorí podľa druhu činnosti, ale podľa počtu zamestnancov, ktorých zamestnáva. Špeciálne musí podnik takéto rezervy tvoriť, ak plánuje znižovať stavy zamestnancov vo väčšej miere. </w:t>
      </w:r>
    </w:p>
    <w:p w:rsidR="005B32FF" w:rsidRDefault="005B32FF" w:rsidP="00A01CDB"/>
    <w:p w:rsidR="00DD4245" w:rsidRDefault="00DD4245" w:rsidP="00A01CDB">
      <w:r>
        <w:lastRenderedPageBreak/>
        <w:t>Iným príkladom sú rezervy na nevyčerpané dovolenky. Tie zamestnávateľ tvorí, ak sa ku koncu účtovného obdobia v podniku nachádzajú zamestnanci, ktorí nevyčerpali celú dovole</w:t>
      </w:r>
      <w:r w:rsidR="00C730A0">
        <w:t>nku, na ktorú mali nárok. Žiaden</w:t>
      </w:r>
      <w:r>
        <w:t xml:space="preserve"> predpis presne nestanovuje, ako sa výška tejto rezervy počíta, obvykle sa ale používa priemerná mzda zamestnanca za posledný kalendárny štvrťrok. Zamestnávateľ môže použiť aj inú hodnotu, ak to nie je v rozpore s legislatívou. Zamestnávateľ nevie, kedy bude zamestnanec dovolenku čerpať, preto by potrebná rezerva mala byť pripravená v plnej výške ku koncu predchádzajúceho kalendárneho roka.</w:t>
      </w:r>
      <w:r w:rsidR="005B32FF">
        <w:t xml:space="preserve"> </w:t>
      </w:r>
      <w:r>
        <w:t xml:space="preserve">Rezervu na vypracovanie daňového priznania si podnik vytvára, ak mu daňové priznanie nevypracováva vlastné účtovné oddelenie ale externá firma. Vtedy si podnik vytvorí rezervu podľa zmluvy, ktorú má s daným dodávateľom. </w:t>
      </w:r>
    </w:p>
    <w:p w:rsidR="005D3111" w:rsidRDefault="005D3111" w:rsidP="00A01CDB"/>
    <w:p w:rsidR="005D3111" w:rsidRDefault="005D3111" w:rsidP="00513479">
      <w:pPr>
        <w:pStyle w:val="Nadpis2"/>
      </w:pPr>
      <w:bookmarkStart w:id="8" w:name="_Toc447622247"/>
      <w:r>
        <w:t>Oceňovanie rezerv</w:t>
      </w:r>
      <w:r w:rsidR="00513479">
        <w:t xml:space="preserve"> v účtovníctve</w:t>
      </w:r>
      <w:bookmarkEnd w:id="8"/>
    </w:p>
    <w:p w:rsidR="005D3111" w:rsidRPr="005D3111" w:rsidRDefault="005D3111" w:rsidP="00A01CDB"/>
    <w:p w:rsidR="009945E5" w:rsidRDefault="009945E5" w:rsidP="00A01CDB">
      <w:r>
        <w:t>Ocenením rezerv chápeme stanovenie výšky záväzku. Ak nevieme určiť presnú výšku záväzku, stanoví sa odhadom, ktorý by mal byť čo možno najlepší odhad týchto výdavkov v deň zostavenia účtovnej uzávierky.</w:t>
      </w:r>
      <w:r w:rsidR="003B6522">
        <w:t xml:space="preserve"> </w:t>
      </w:r>
      <w:r>
        <w:t>Odborní pracovníci účtovnej jednotky sa na základe predchádzajúcich skúseností pokúsia odhadnúť veľkosť záväzku, v niektorých prípadoch je potrebné využiť služby znalcov.</w:t>
      </w:r>
      <w:r w:rsidR="00FB52F9">
        <w:t xml:space="preserve"> Do úvahy sa musí vziať riziko a neistota, ktoré sprevádzajú mnohé udalosti a úmerne tomu prispôsobiť aj výšku tvorenej rezervy.</w:t>
      </w:r>
    </w:p>
    <w:p w:rsidR="005B32FF" w:rsidRDefault="005B32FF" w:rsidP="00A01CDB"/>
    <w:p w:rsidR="00275D11" w:rsidRDefault="00275D11" w:rsidP="00A01CDB">
      <w:r>
        <w:t>Pre účel výpočtu sa používajú matematicko-štatistické metódy. Niektoré záväzky je možné prepočítavať na súčasnú hodnotu</w:t>
      </w:r>
      <w:r w:rsidR="00FB52F9">
        <w:t xml:space="preserve"> - úprava hodnoty rezervy v čase účtovania a v čase použitia</w:t>
      </w:r>
      <w:r w:rsidR="00890195">
        <w:rPr>
          <w:rStyle w:val="Odkaznapoznmkupodiarou"/>
        </w:rPr>
        <w:footnoteReference w:id="9"/>
      </w:r>
      <w:r w:rsidR="00FB52F9">
        <w:t>. Zásada opatrnosti by mala viesť k tomu, aby odhad zisku nebol precenený a odhad strát alebo záväzkov podcenený.</w:t>
      </w:r>
    </w:p>
    <w:p w:rsidR="000771CE" w:rsidRDefault="000771CE" w:rsidP="00A01CDB"/>
    <w:p w:rsidR="000771CE" w:rsidRDefault="000771CE" w:rsidP="000771CE">
      <w:pPr>
        <w:pStyle w:val="Nadpis1"/>
      </w:pPr>
      <w:bookmarkStart w:id="9" w:name="_Toc447622248"/>
      <w:r>
        <w:lastRenderedPageBreak/>
        <w:t>Účtovanie rezerv a ich vplyv na daňovú povinnosť</w:t>
      </w:r>
      <w:bookmarkEnd w:id="9"/>
    </w:p>
    <w:p w:rsidR="000771CE" w:rsidRDefault="000771CE" w:rsidP="000771CE"/>
    <w:p w:rsidR="000771CE" w:rsidRDefault="000771CE" w:rsidP="000771CE">
      <w:r>
        <w:t xml:space="preserve">Napriek spoločným zákonom pred rozdelením republík je v súčasnosti systém účtovania rezerv v Českej </w:t>
      </w:r>
      <w:r w:rsidR="003B6522">
        <w:t xml:space="preserve">republike </w:t>
      </w:r>
      <w:r>
        <w:t>a Slovenskej republike mierne odlišný. Niektoré účty používané na Slovensku v Česku neexistujú, alebo sa jednotlivé položky účtujú v každom štáte na inom účte.</w:t>
      </w:r>
    </w:p>
    <w:p w:rsidR="00F633F4" w:rsidRDefault="00F633F4" w:rsidP="000771CE">
      <w:r>
        <w:t>Podľa vplyvu na daňovú povinnosť odlišujeme rezervy daňové a účtovné. Daňové rezervy majú vplyv na základ dane, účtovné rezervy tento vplyv nemajú.</w:t>
      </w:r>
    </w:p>
    <w:p w:rsidR="000771CE" w:rsidRPr="000771CE" w:rsidRDefault="000771CE" w:rsidP="000771CE"/>
    <w:p w:rsidR="008F20CC" w:rsidRDefault="008F20CC" w:rsidP="00A01CDB">
      <w:pPr>
        <w:pStyle w:val="Nadpis2"/>
      </w:pPr>
      <w:bookmarkStart w:id="10" w:name="_Toc447622249"/>
      <w:r>
        <w:t>Účtovanie rezerv</w:t>
      </w:r>
      <w:r w:rsidR="00770924">
        <w:t xml:space="preserve"> na Slovensku</w:t>
      </w:r>
      <w:bookmarkEnd w:id="10"/>
    </w:p>
    <w:p w:rsidR="00770924" w:rsidRPr="00770924" w:rsidRDefault="00770924" w:rsidP="00A01CDB"/>
    <w:p w:rsidR="00DE515F" w:rsidRDefault="000771CE" w:rsidP="00A01CDB">
      <w:r>
        <w:t>Keďže slovenská</w:t>
      </w:r>
      <w:r w:rsidR="00DE515F">
        <w:t xml:space="preserve"> legislatíva umožňuje aj tv</w:t>
      </w:r>
      <w:r w:rsidR="003B6522">
        <w:t xml:space="preserve">orbu krátkodobých rezerv - </w:t>
      </w:r>
      <w:r w:rsidR="00DE515F">
        <w:t>takých, ktorých vyčerpanie sa predpokladá do jedného roka, používajú sa v slovenskom účtovníctve samostatné účty pre krátkodobé aj dlhodobé rezervy. Ako sme už vyššie spomenuli, krátkodobé rezervy sa účtujú na účet skupiny 32 Krátkodobé rezervy. Na tento účet sa môžu účtovať napríklad rezervy na nevyfakturované dodávky, rezervy na odstupné, rezervy na prebiehajúce alebo hroziace súdne spory alebo rezervy n</w:t>
      </w:r>
      <w:r w:rsidR="00C75914">
        <w:t>a zľavy pri reklamácii</w:t>
      </w:r>
      <w:r w:rsidR="00DE515F">
        <w:t>.</w:t>
      </w:r>
    </w:p>
    <w:p w:rsidR="003B6522" w:rsidRDefault="003B6522" w:rsidP="00A01CDB"/>
    <w:p w:rsidR="00DE515F" w:rsidRDefault="00DE515F" w:rsidP="00A01CDB">
      <w:r>
        <w:t>Operácie nespĺňajúce kritérium krátkodobosti sa účtujú na účty skupiny 45, a to konkrétne Rezervy zákonné a Rezervy ostatné. Na Slovensku nie sú súvzťažné účty k rezervám určené tak jednoznačne ako v Česku, môže ich byť viacero podľa druhu rezervy. Súvzťažnými účtami dlhodobých rezerv môže byť napríklad účet skupiny 52 Zákonné sociálne náklady, účet skupiny 54 Ostatné náklady na hospodársku činnosť, či účet skupiny 56 Ostatné finančné náklady a ďalšie. Súvzťažnými účtami krátkodobých rezerv môže byť účet skupiny 32 Dodávatelia, účet skupiny 52 Zákonné sociálne náklady, účet skupiny 51 Ostatné služby a iné</w:t>
      </w:r>
      <w:r w:rsidR="003B6522">
        <w:rPr>
          <w:rStyle w:val="Odkaznapoznmkupodiarou"/>
        </w:rPr>
        <w:footnoteReference w:id="10"/>
      </w:r>
      <w:r w:rsidR="00C730A0">
        <w:t>.</w:t>
      </w:r>
      <w:r>
        <w:t xml:space="preserve"> Ku každej účtovnej operácií treba pristupovať osobitne a zaúčtovať ju podľa charakteru rezervy. </w:t>
      </w:r>
    </w:p>
    <w:p w:rsidR="003B6522" w:rsidRDefault="003B6522" w:rsidP="00A01CDB"/>
    <w:p w:rsidR="003B6522" w:rsidRDefault="009B1CCC" w:rsidP="00A01CDB">
      <w:r>
        <w:t xml:space="preserve">Veľká časť účtov je však rovnaká v oboch spôsoboch účtovania. Podnik, v ktorom bola práca vypracovaná sa nachádza na Slovensku, preto je preň smerodajná platná slovenská legislatíva. </w:t>
      </w:r>
    </w:p>
    <w:p w:rsidR="009B1CCC" w:rsidRDefault="009B1CCC" w:rsidP="00A01CDB">
      <w:r>
        <w:lastRenderedPageBreak/>
        <w:t xml:space="preserve">Príklad 1 : </w:t>
      </w:r>
    </w:p>
    <w:p w:rsidR="0090445B" w:rsidRDefault="0090445B" w:rsidP="00A01CDB">
      <w:r>
        <w:t xml:space="preserve">Niekedy sa môže stať, že ku dňu zostavenia účtovnej uzávierky neboli ešte vyfakturované všetky dodávky materiálu alebo služieb. Ak je známa suma, použije sa účet </w:t>
      </w:r>
      <w:r w:rsidR="002E5243">
        <w:t xml:space="preserve">skupiny 32, </w:t>
      </w:r>
      <w:r>
        <w:t xml:space="preserve">Nevyfakturované dodávky. Ak nie je známa výška faktúry, vytvorí sa krátkodobá rezerva v odhadnutej sume a použije sa účet </w:t>
      </w:r>
      <w:r w:rsidR="002E5243">
        <w:t>skupiny 32,</w:t>
      </w:r>
      <w:r>
        <w:t xml:space="preserve"> Krátkodobé rezervy.</w:t>
      </w:r>
      <w:r w:rsidR="00DB79D6">
        <w:t xml:space="preserve"> Tieto rezervy boli ešte do roku 2014 daňovo uznaným výdavkom, avšak od 1.1. 2015 to už tak nie je</w:t>
      </w:r>
      <w:r w:rsidR="00DB79D6">
        <w:rPr>
          <w:rStyle w:val="Odkaznapoznmkupodiarou"/>
        </w:rPr>
        <w:footnoteReference w:id="11"/>
      </w:r>
      <w:r w:rsidR="00C730A0">
        <w:t>.</w:t>
      </w:r>
      <w:r w:rsidR="00CB4BD2">
        <w:t xml:space="preserve"> Daňovo uznateľnými výdavkami sa stávajú až v čase reálneho vynaloženia prostriedkov na úhradu faktúry a teda nie v čase </w:t>
      </w:r>
      <w:r w:rsidR="00F630EF">
        <w:t>tvorby rezervy.</w:t>
      </w:r>
      <w:r w:rsidR="00CB4BD2">
        <w:t xml:space="preserve"> </w:t>
      </w:r>
    </w:p>
    <w:p w:rsidR="00CE3FB5" w:rsidRPr="00CE3FB5" w:rsidRDefault="008757F6" w:rsidP="00A01CDB">
      <w:pPr>
        <w:spacing w:line="240" w:lineRule="auto"/>
        <w:rPr>
          <w:b/>
        </w:rPr>
      </w:pPr>
      <w:r>
        <w:rPr>
          <w:b/>
        </w:rPr>
        <w:t>Tabuľka č.2: Účtovanie rezervy na nevyfakturované dodávky</w:t>
      </w:r>
    </w:p>
    <w:tbl>
      <w:tblPr>
        <w:tblStyle w:val="Mriekatabuky"/>
        <w:tblW w:w="0" w:type="auto"/>
        <w:tblLook w:val="04A0"/>
      </w:tblPr>
      <w:tblGrid>
        <w:gridCol w:w="675"/>
        <w:gridCol w:w="6379"/>
        <w:gridCol w:w="1134"/>
        <w:gridCol w:w="1022"/>
      </w:tblGrid>
      <w:tr w:rsidR="002D02B0" w:rsidTr="008B5EA8">
        <w:tc>
          <w:tcPr>
            <w:tcW w:w="675" w:type="dxa"/>
          </w:tcPr>
          <w:p w:rsidR="002D02B0" w:rsidRDefault="002D02B0" w:rsidP="00A01CDB">
            <w:r>
              <w:t>1.</w:t>
            </w:r>
          </w:p>
        </w:tc>
        <w:tc>
          <w:tcPr>
            <w:tcW w:w="6379" w:type="dxa"/>
            <w:vAlign w:val="center"/>
          </w:tcPr>
          <w:p w:rsidR="002D02B0" w:rsidRDefault="002D02B0" w:rsidP="00A01CDB">
            <w:r>
              <w:t>Tvorba rezervy - nevyfakturovaná dodávka DHM</w:t>
            </w:r>
          </w:p>
        </w:tc>
        <w:tc>
          <w:tcPr>
            <w:tcW w:w="1134" w:type="dxa"/>
          </w:tcPr>
          <w:p w:rsidR="002D02B0" w:rsidRDefault="002D02B0" w:rsidP="00A01CDB">
            <w:r>
              <w:t>042</w:t>
            </w:r>
          </w:p>
        </w:tc>
        <w:tc>
          <w:tcPr>
            <w:tcW w:w="1022" w:type="dxa"/>
          </w:tcPr>
          <w:p w:rsidR="002D02B0" w:rsidRDefault="002D02B0" w:rsidP="00A01CDB">
            <w:r>
              <w:t>323</w:t>
            </w:r>
          </w:p>
        </w:tc>
      </w:tr>
      <w:tr w:rsidR="002D02B0" w:rsidTr="008B5EA8">
        <w:tc>
          <w:tcPr>
            <w:tcW w:w="675" w:type="dxa"/>
          </w:tcPr>
          <w:p w:rsidR="002D02B0" w:rsidRDefault="002D02B0" w:rsidP="00A01CDB">
            <w:r>
              <w:t xml:space="preserve">2. </w:t>
            </w:r>
          </w:p>
        </w:tc>
        <w:tc>
          <w:tcPr>
            <w:tcW w:w="6379" w:type="dxa"/>
            <w:vAlign w:val="center"/>
          </w:tcPr>
          <w:p w:rsidR="002D02B0" w:rsidRDefault="005D1D30" w:rsidP="00A01CDB">
            <w:r>
              <w:t>Čerpanie rezervy - došlá</w:t>
            </w:r>
            <w:r w:rsidR="002D02B0">
              <w:t xml:space="preserve"> faktúra</w:t>
            </w:r>
          </w:p>
        </w:tc>
        <w:tc>
          <w:tcPr>
            <w:tcW w:w="1134" w:type="dxa"/>
          </w:tcPr>
          <w:p w:rsidR="002D02B0" w:rsidRDefault="002D02B0" w:rsidP="00A01CDB">
            <w:r>
              <w:t>323</w:t>
            </w:r>
          </w:p>
        </w:tc>
        <w:tc>
          <w:tcPr>
            <w:tcW w:w="1022" w:type="dxa"/>
          </w:tcPr>
          <w:p w:rsidR="002D02B0" w:rsidRDefault="002D02B0" w:rsidP="00A01CDB">
            <w:r>
              <w:t>321</w:t>
            </w:r>
          </w:p>
        </w:tc>
      </w:tr>
      <w:tr w:rsidR="002D02B0" w:rsidTr="008B5EA8">
        <w:tc>
          <w:tcPr>
            <w:tcW w:w="675" w:type="dxa"/>
          </w:tcPr>
          <w:p w:rsidR="002D02B0" w:rsidRDefault="002D02B0" w:rsidP="00A01CDB">
            <w:r>
              <w:t xml:space="preserve">3. </w:t>
            </w:r>
          </w:p>
        </w:tc>
        <w:tc>
          <w:tcPr>
            <w:tcW w:w="6379" w:type="dxa"/>
            <w:vAlign w:val="center"/>
          </w:tcPr>
          <w:p w:rsidR="002D02B0" w:rsidRDefault="002D02B0" w:rsidP="00A01CDB">
            <w:r>
              <w:t>Zrušenie rezervy</w:t>
            </w:r>
          </w:p>
        </w:tc>
        <w:tc>
          <w:tcPr>
            <w:tcW w:w="1134" w:type="dxa"/>
          </w:tcPr>
          <w:p w:rsidR="002D02B0" w:rsidRDefault="002D02B0" w:rsidP="00A01CDB">
            <w:r>
              <w:t>323</w:t>
            </w:r>
          </w:p>
        </w:tc>
        <w:tc>
          <w:tcPr>
            <w:tcW w:w="1022" w:type="dxa"/>
          </w:tcPr>
          <w:p w:rsidR="002D02B0" w:rsidRDefault="002D02B0" w:rsidP="00A01CDB">
            <w:r>
              <w:t>042</w:t>
            </w:r>
          </w:p>
        </w:tc>
      </w:tr>
    </w:tbl>
    <w:p w:rsidR="00DB79D6" w:rsidRDefault="00DB79D6" w:rsidP="00A01CDB">
      <w:pPr>
        <w:rPr>
          <w:i/>
          <w:sz w:val="20"/>
          <w:szCs w:val="20"/>
        </w:rPr>
      </w:pPr>
      <w:r w:rsidRPr="002A71FB">
        <w:rPr>
          <w:i/>
          <w:sz w:val="20"/>
          <w:szCs w:val="20"/>
        </w:rPr>
        <w:t xml:space="preserve">Zdroj: </w:t>
      </w:r>
      <w:r w:rsidR="00752DAD">
        <w:rPr>
          <w:i/>
          <w:sz w:val="20"/>
          <w:szCs w:val="20"/>
        </w:rPr>
        <w:t xml:space="preserve">vlastné vyobrazenie podľa </w:t>
      </w:r>
      <w:r w:rsidRPr="002A71FB">
        <w:rPr>
          <w:i/>
          <w:sz w:val="20"/>
          <w:szCs w:val="20"/>
        </w:rPr>
        <w:t>Daňový a účtovný poradca podnikateľa 15/2015, str.23, ISSN 1335-0897</w:t>
      </w:r>
    </w:p>
    <w:p w:rsidR="003B6522" w:rsidRPr="00395D35" w:rsidRDefault="003B6522" w:rsidP="00A01CDB">
      <w:pPr>
        <w:rPr>
          <w:i/>
          <w:sz w:val="20"/>
          <w:szCs w:val="20"/>
        </w:rPr>
      </w:pPr>
    </w:p>
    <w:p w:rsidR="0090445B" w:rsidRDefault="0090445B" w:rsidP="00A01CDB">
      <w:r>
        <w:t>Príklad 2:</w:t>
      </w:r>
    </w:p>
    <w:p w:rsidR="0031198A" w:rsidRDefault="00F630EF" w:rsidP="00A01CDB">
      <w:r>
        <w:t>Spoločnosť tvorila v roku 2015 rezervu na nevyčerpané dovolenky v predpokladanej výške 138 000</w:t>
      </w:r>
      <w:r w:rsidR="0036189C">
        <w:t xml:space="preserve"> €</w:t>
      </w:r>
      <w:r>
        <w:t xml:space="preserve"> (100 000</w:t>
      </w:r>
      <w:r w:rsidR="0036189C">
        <w:t xml:space="preserve"> €</w:t>
      </w:r>
      <w:r>
        <w:t xml:space="preserve"> mzdy, 38 000</w:t>
      </w:r>
      <w:r w:rsidR="0036189C">
        <w:t xml:space="preserve"> €</w:t>
      </w:r>
      <w:r>
        <w:t xml:space="preserve"> sociálne a zdravotné poistenie). V nasledujúcom roku sa vyčerpalo 110 400</w:t>
      </w:r>
      <w:r w:rsidR="0036189C">
        <w:t xml:space="preserve"> €</w:t>
      </w:r>
      <w:r>
        <w:t>, z toho 80 000</w:t>
      </w:r>
      <w:r w:rsidR="0036189C">
        <w:t xml:space="preserve"> €</w:t>
      </w:r>
      <w:r>
        <w:t xml:space="preserve"> za mzdy a 30 400</w:t>
      </w:r>
      <w:r w:rsidR="0036189C">
        <w:t xml:space="preserve"> €</w:t>
      </w:r>
      <w:r>
        <w:t xml:space="preserve"> za poistenie.</w:t>
      </w:r>
    </w:p>
    <w:p w:rsidR="00CE3FB5" w:rsidRPr="00CE3FB5" w:rsidRDefault="008757F6" w:rsidP="00A01CDB">
      <w:pPr>
        <w:spacing w:line="240" w:lineRule="auto"/>
        <w:rPr>
          <w:b/>
        </w:rPr>
      </w:pPr>
      <w:r>
        <w:rPr>
          <w:b/>
        </w:rPr>
        <w:t>Tabuľka č.3: Účtovanie rezervy na nevyčerpané dovolenky</w:t>
      </w:r>
    </w:p>
    <w:tbl>
      <w:tblPr>
        <w:tblStyle w:val="Mriekatabuky"/>
        <w:tblW w:w="0" w:type="auto"/>
        <w:tblLook w:val="04A0"/>
      </w:tblPr>
      <w:tblGrid>
        <w:gridCol w:w="675"/>
        <w:gridCol w:w="5103"/>
        <w:gridCol w:w="1134"/>
        <w:gridCol w:w="1134"/>
        <w:gridCol w:w="1164"/>
      </w:tblGrid>
      <w:tr w:rsidR="002A71FB" w:rsidTr="008B5EA8">
        <w:trPr>
          <w:trHeight w:val="201"/>
        </w:trPr>
        <w:tc>
          <w:tcPr>
            <w:tcW w:w="675" w:type="dxa"/>
            <w:vMerge w:val="restart"/>
          </w:tcPr>
          <w:p w:rsidR="002A71FB" w:rsidRDefault="002A71FB" w:rsidP="00A01CDB">
            <w:r>
              <w:t>1.</w:t>
            </w:r>
          </w:p>
        </w:tc>
        <w:tc>
          <w:tcPr>
            <w:tcW w:w="5103" w:type="dxa"/>
            <w:vMerge w:val="restart"/>
            <w:vAlign w:val="center"/>
          </w:tcPr>
          <w:p w:rsidR="002A71FB" w:rsidRDefault="002A71FB" w:rsidP="00A01CDB">
            <w:r>
              <w:t>Tvorba rezervy na nevyčerpané dovolenky</w:t>
            </w:r>
          </w:p>
        </w:tc>
        <w:tc>
          <w:tcPr>
            <w:tcW w:w="1134" w:type="dxa"/>
            <w:vAlign w:val="bottom"/>
          </w:tcPr>
          <w:p w:rsidR="002A71FB" w:rsidRDefault="002A71FB" w:rsidP="00A01CDB">
            <w:r>
              <w:t>521</w:t>
            </w:r>
          </w:p>
        </w:tc>
        <w:tc>
          <w:tcPr>
            <w:tcW w:w="1134" w:type="dxa"/>
            <w:vAlign w:val="bottom"/>
          </w:tcPr>
          <w:p w:rsidR="002A71FB" w:rsidRDefault="002A71FB" w:rsidP="00A01CDB">
            <w:r>
              <w:t>323</w:t>
            </w:r>
          </w:p>
        </w:tc>
        <w:tc>
          <w:tcPr>
            <w:tcW w:w="1164" w:type="dxa"/>
            <w:vAlign w:val="bottom"/>
          </w:tcPr>
          <w:p w:rsidR="002A71FB" w:rsidRDefault="002A71FB" w:rsidP="00A01CDB">
            <w:r>
              <w:t>100 000</w:t>
            </w:r>
            <w:r w:rsidR="0036189C">
              <w:t xml:space="preserve"> €</w:t>
            </w:r>
          </w:p>
        </w:tc>
      </w:tr>
      <w:tr w:rsidR="002A71FB" w:rsidTr="008B5EA8">
        <w:trPr>
          <w:trHeight w:val="175"/>
        </w:trPr>
        <w:tc>
          <w:tcPr>
            <w:tcW w:w="675" w:type="dxa"/>
            <w:vMerge/>
          </w:tcPr>
          <w:p w:rsidR="002A71FB" w:rsidRDefault="002A71FB" w:rsidP="00A01CDB"/>
        </w:tc>
        <w:tc>
          <w:tcPr>
            <w:tcW w:w="5103" w:type="dxa"/>
            <w:vMerge/>
            <w:vAlign w:val="center"/>
          </w:tcPr>
          <w:p w:rsidR="002A71FB" w:rsidRDefault="002A71FB" w:rsidP="00A01CDB"/>
        </w:tc>
        <w:tc>
          <w:tcPr>
            <w:tcW w:w="1134" w:type="dxa"/>
            <w:vAlign w:val="bottom"/>
          </w:tcPr>
          <w:p w:rsidR="002A71FB" w:rsidRDefault="002A71FB" w:rsidP="00A01CDB">
            <w:r>
              <w:t>524</w:t>
            </w:r>
          </w:p>
        </w:tc>
        <w:tc>
          <w:tcPr>
            <w:tcW w:w="1134" w:type="dxa"/>
            <w:vAlign w:val="bottom"/>
          </w:tcPr>
          <w:p w:rsidR="002A71FB" w:rsidRDefault="002A71FB" w:rsidP="00A01CDB">
            <w:r>
              <w:t>323</w:t>
            </w:r>
          </w:p>
        </w:tc>
        <w:tc>
          <w:tcPr>
            <w:tcW w:w="1164" w:type="dxa"/>
            <w:vAlign w:val="bottom"/>
          </w:tcPr>
          <w:p w:rsidR="002A71FB" w:rsidRDefault="002A71FB" w:rsidP="00A01CDB">
            <w:r>
              <w:t>38 000</w:t>
            </w:r>
            <w:r w:rsidR="0036189C">
              <w:t xml:space="preserve"> €</w:t>
            </w:r>
          </w:p>
        </w:tc>
      </w:tr>
      <w:tr w:rsidR="002A71FB" w:rsidTr="008B5EA8">
        <w:trPr>
          <w:trHeight w:val="250"/>
        </w:trPr>
        <w:tc>
          <w:tcPr>
            <w:tcW w:w="675" w:type="dxa"/>
            <w:vMerge w:val="restart"/>
          </w:tcPr>
          <w:p w:rsidR="002A71FB" w:rsidRDefault="002A71FB" w:rsidP="00A01CDB">
            <w:r>
              <w:t>2.</w:t>
            </w:r>
          </w:p>
        </w:tc>
        <w:tc>
          <w:tcPr>
            <w:tcW w:w="5103" w:type="dxa"/>
            <w:vMerge w:val="restart"/>
            <w:vAlign w:val="center"/>
          </w:tcPr>
          <w:p w:rsidR="002A71FB" w:rsidRDefault="002A71FB" w:rsidP="00A01CDB">
            <w:r>
              <w:t>Čerpanie časti rezervy</w:t>
            </w:r>
          </w:p>
        </w:tc>
        <w:tc>
          <w:tcPr>
            <w:tcW w:w="1134" w:type="dxa"/>
            <w:vAlign w:val="bottom"/>
          </w:tcPr>
          <w:p w:rsidR="002A71FB" w:rsidRDefault="002A71FB" w:rsidP="00A01CDB">
            <w:r>
              <w:t>323</w:t>
            </w:r>
          </w:p>
        </w:tc>
        <w:tc>
          <w:tcPr>
            <w:tcW w:w="1134" w:type="dxa"/>
            <w:vAlign w:val="bottom"/>
          </w:tcPr>
          <w:p w:rsidR="002A71FB" w:rsidRDefault="002A71FB" w:rsidP="00A01CDB">
            <w:r>
              <w:t>331</w:t>
            </w:r>
          </w:p>
        </w:tc>
        <w:tc>
          <w:tcPr>
            <w:tcW w:w="1164" w:type="dxa"/>
            <w:vAlign w:val="bottom"/>
          </w:tcPr>
          <w:p w:rsidR="002A71FB" w:rsidRDefault="002A71FB" w:rsidP="00A01CDB">
            <w:r>
              <w:t>80 000</w:t>
            </w:r>
            <w:r w:rsidR="0036189C">
              <w:t xml:space="preserve"> €</w:t>
            </w:r>
          </w:p>
        </w:tc>
      </w:tr>
      <w:tr w:rsidR="002A71FB" w:rsidTr="008B5EA8">
        <w:trPr>
          <w:trHeight w:val="138"/>
        </w:trPr>
        <w:tc>
          <w:tcPr>
            <w:tcW w:w="675" w:type="dxa"/>
            <w:vMerge/>
          </w:tcPr>
          <w:p w:rsidR="002A71FB" w:rsidRDefault="002A71FB" w:rsidP="00A01CDB"/>
        </w:tc>
        <w:tc>
          <w:tcPr>
            <w:tcW w:w="5103" w:type="dxa"/>
            <w:vMerge/>
            <w:vAlign w:val="center"/>
          </w:tcPr>
          <w:p w:rsidR="002A71FB" w:rsidRDefault="002A71FB" w:rsidP="00A01CDB"/>
        </w:tc>
        <w:tc>
          <w:tcPr>
            <w:tcW w:w="1134" w:type="dxa"/>
            <w:vAlign w:val="bottom"/>
          </w:tcPr>
          <w:p w:rsidR="002A71FB" w:rsidRDefault="002A71FB" w:rsidP="00A01CDB">
            <w:r>
              <w:t>323</w:t>
            </w:r>
          </w:p>
        </w:tc>
        <w:tc>
          <w:tcPr>
            <w:tcW w:w="1134" w:type="dxa"/>
            <w:vAlign w:val="bottom"/>
          </w:tcPr>
          <w:p w:rsidR="002A71FB" w:rsidRDefault="002A71FB" w:rsidP="00A01CDB">
            <w:r>
              <w:t>336</w:t>
            </w:r>
          </w:p>
        </w:tc>
        <w:tc>
          <w:tcPr>
            <w:tcW w:w="1164" w:type="dxa"/>
            <w:vAlign w:val="bottom"/>
          </w:tcPr>
          <w:p w:rsidR="002A71FB" w:rsidRDefault="002A71FB" w:rsidP="00A01CDB">
            <w:r>
              <w:t>30 400</w:t>
            </w:r>
            <w:r w:rsidR="0036189C">
              <w:t xml:space="preserve"> €</w:t>
            </w:r>
          </w:p>
        </w:tc>
      </w:tr>
      <w:tr w:rsidR="002A71FB" w:rsidTr="008B5EA8">
        <w:trPr>
          <w:trHeight w:val="213"/>
        </w:trPr>
        <w:tc>
          <w:tcPr>
            <w:tcW w:w="675" w:type="dxa"/>
            <w:vMerge w:val="restart"/>
          </w:tcPr>
          <w:p w:rsidR="002A71FB" w:rsidRDefault="002A71FB" w:rsidP="00A01CDB">
            <w:r>
              <w:t>3.</w:t>
            </w:r>
          </w:p>
        </w:tc>
        <w:tc>
          <w:tcPr>
            <w:tcW w:w="5103" w:type="dxa"/>
            <w:vMerge w:val="restart"/>
            <w:vAlign w:val="center"/>
          </w:tcPr>
          <w:p w:rsidR="002A71FB" w:rsidRDefault="002A71FB" w:rsidP="00A01CDB">
            <w:r>
              <w:t>Zrušenie časti rezervy</w:t>
            </w:r>
          </w:p>
        </w:tc>
        <w:tc>
          <w:tcPr>
            <w:tcW w:w="1134" w:type="dxa"/>
            <w:vAlign w:val="bottom"/>
          </w:tcPr>
          <w:p w:rsidR="002A71FB" w:rsidRDefault="002A71FB" w:rsidP="00A01CDB">
            <w:r>
              <w:t>323</w:t>
            </w:r>
          </w:p>
        </w:tc>
        <w:tc>
          <w:tcPr>
            <w:tcW w:w="1134" w:type="dxa"/>
            <w:vAlign w:val="bottom"/>
          </w:tcPr>
          <w:p w:rsidR="002A71FB" w:rsidRDefault="002A71FB" w:rsidP="00A01CDB">
            <w:r>
              <w:t>521</w:t>
            </w:r>
          </w:p>
        </w:tc>
        <w:tc>
          <w:tcPr>
            <w:tcW w:w="1164" w:type="dxa"/>
            <w:vAlign w:val="bottom"/>
          </w:tcPr>
          <w:p w:rsidR="002A71FB" w:rsidRDefault="002A71FB" w:rsidP="00A01CDB">
            <w:r>
              <w:t>20 000</w:t>
            </w:r>
            <w:r w:rsidR="0036189C">
              <w:t xml:space="preserve"> €</w:t>
            </w:r>
          </w:p>
        </w:tc>
      </w:tr>
      <w:tr w:rsidR="002A71FB" w:rsidTr="008B5EA8">
        <w:trPr>
          <w:trHeight w:val="175"/>
        </w:trPr>
        <w:tc>
          <w:tcPr>
            <w:tcW w:w="675" w:type="dxa"/>
            <w:vMerge/>
          </w:tcPr>
          <w:p w:rsidR="002A71FB" w:rsidRDefault="002A71FB" w:rsidP="00A01CDB"/>
        </w:tc>
        <w:tc>
          <w:tcPr>
            <w:tcW w:w="5103" w:type="dxa"/>
            <w:vMerge/>
          </w:tcPr>
          <w:p w:rsidR="002A71FB" w:rsidRDefault="002A71FB" w:rsidP="00A01CDB"/>
        </w:tc>
        <w:tc>
          <w:tcPr>
            <w:tcW w:w="1134" w:type="dxa"/>
            <w:vAlign w:val="bottom"/>
          </w:tcPr>
          <w:p w:rsidR="002A71FB" w:rsidRDefault="002A71FB" w:rsidP="00A01CDB">
            <w:r>
              <w:t>323</w:t>
            </w:r>
          </w:p>
        </w:tc>
        <w:tc>
          <w:tcPr>
            <w:tcW w:w="1134" w:type="dxa"/>
            <w:vAlign w:val="bottom"/>
          </w:tcPr>
          <w:p w:rsidR="002A71FB" w:rsidRDefault="002A71FB" w:rsidP="00A01CDB">
            <w:r>
              <w:t>524</w:t>
            </w:r>
          </w:p>
        </w:tc>
        <w:tc>
          <w:tcPr>
            <w:tcW w:w="1164" w:type="dxa"/>
            <w:vAlign w:val="bottom"/>
          </w:tcPr>
          <w:p w:rsidR="002A71FB" w:rsidRDefault="002A71FB" w:rsidP="00A01CDB">
            <w:r>
              <w:t>7 600</w:t>
            </w:r>
            <w:r w:rsidR="0036189C">
              <w:t xml:space="preserve"> €</w:t>
            </w:r>
          </w:p>
        </w:tc>
      </w:tr>
    </w:tbl>
    <w:p w:rsidR="00F630EF" w:rsidRPr="002A71FB" w:rsidRDefault="002A71FB" w:rsidP="00A01CDB">
      <w:pPr>
        <w:rPr>
          <w:i/>
        </w:rPr>
      </w:pPr>
      <w:r w:rsidRPr="002A71FB">
        <w:rPr>
          <w:i/>
          <w:sz w:val="20"/>
          <w:szCs w:val="20"/>
        </w:rPr>
        <w:t xml:space="preserve">Zdroj: </w:t>
      </w:r>
      <w:r w:rsidR="00752DAD">
        <w:rPr>
          <w:i/>
          <w:sz w:val="20"/>
          <w:szCs w:val="20"/>
        </w:rPr>
        <w:t xml:space="preserve">vlastné vyobrazenie podľa </w:t>
      </w:r>
      <w:r>
        <w:rPr>
          <w:i/>
          <w:sz w:val="20"/>
          <w:szCs w:val="20"/>
        </w:rPr>
        <w:t>Dane a účtovníctvo v praxi 9/2015, str.58</w:t>
      </w:r>
      <w:r w:rsidRPr="002A71FB">
        <w:rPr>
          <w:i/>
          <w:sz w:val="20"/>
          <w:szCs w:val="20"/>
        </w:rPr>
        <w:t>, ISSN 1335-</w:t>
      </w:r>
      <w:r>
        <w:rPr>
          <w:i/>
          <w:sz w:val="20"/>
          <w:szCs w:val="20"/>
        </w:rPr>
        <w:t>7034</w:t>
      </w:r>
    </w:p>
    <w:p w:rsidR="00770924" w:rsidRDefault="00770924" w:rsidP="00A01CDB"/>
    <w:p w:rsidR="000771CE" w:rsidRDefault="000771CE" w:rsidP="000771CE">
      <w:pPr>
        <w:pStyle w:val="Nadpis2"/>
      </w:pPr>
      <w:bookmarkStart w:id="11" w:name="_Toc447622250"/>
      <w:r>
        <w:t>Účtovanie rezerv v Česku</w:t>
      </w:r>
      <w:bookmarkEnd w:id="11"/>
    </w:p>
    <w:p w:rsidR="000771CE" w:rsidRDefault="000771CE" w:rsidP="000771CE"/>
    <w:p w:rsidR="00513276" w:rsidRDefault="00513479" w:rsidP="000771CE">
      <w:r>
        <w:t>Hlavný</w:t>
      </w:r>
      <w:r w:rsidR="000771CE">
        <w:t xml:space="preserve"> rozdiel spočíva v </w:t>
      </w:r>
      <w:r w:rsidR="002E5243">
        <w:t>tom, že v Česku neexistujú účty</w:t>
      </w:r>
      <w:r w:rsidR="000771CE">
        <w:t xml:space="preserve"> Krátkodobé rezervy</w:t>
      </w:r>
      <w:r w:rsidR="002E5243">
        <w:t xml:space="preserve"> (323)</w:t>
      </w:r>
      <w:r w:rsidR="000771CE">
        <w:t>, Čistá hodnota zákazky</w:t>
      </w:r>
      <w:r w:rsidR="002E5243">
        <w:t xml:space="preserve"> (316) a</w:t>
      </w:r>
      <w:r w:rsidR="000771CE">
        <w:t xml:space="preserve"> Nevyfakturované dodávky</w:t>
      </w:r>
      <w:r w:rsidR="002E5243">
        <w:t xml:space="preserve"> (326)</w:t>
      </w:r>
      <w:r w:rsidR="000771CE">
        <w:t>. V Česku sa rezervy nesmú tvoriť na jedno zdaňovacie obdobie a teda účtovná osnova tu nemá účet Krátkodobé rezervy, ako je tomu na Slovensku. Pre ni</w:t>
      </w:r>
      <w:r w:rsidR="002E5243">
        <w:t>ektoré operácie používa účet</w:t>
      </w:r>
      <w:r w:rsidR="000771CE">
        <w:t xml:space="preserve"> Dohadné účty pasívne, na tento účet sa napríklad môžu zaúčtovať nevyfakturované dodávky. Všetky ostatné rezervy sa účtujú na účty skupiny 45, teda na Rezervy podľa </w:t>
      </w:r>
      <w:r w:rsidR="0056117C">
        <w:t xml:space="preserve">zvláštnych právnych predpisov, Rezervy na dôchodky a podobné záväzky, Rezerva na daň z príjmu a Ostatné rezervy. Ako súvzťažné </w:t>
      </w:r>
      <w:r w:rsidR="0056117C">
        <w:lastRenderedPageBreak/>
        <w:t>účty sa používajú účty skupiny 55, teda Tvorba a zúčtovanie rezerv podľa zvláštnych právnych predpisov a Tvorba a zúčtovanie ostatných rezerv</w:t>
      </w:r>
      <w:r w:rsidR="0056117C">
        <w:rPr>
          <w:rStyle w:val="Odkaznapoznmkupodiarou"/>
        </w:rPr>
        <w:footnoteReference w:id="12"/>
      </w:r>
      <w:r w:rsidR="0056117C">
        <w:t xml:space="preserve">. Účtovanie rezerv je tu viac jednotné oproti Slovensku. </w:t>
      </w:r>
    </w:p>
    <w:p w:rsidR="00513479" w:rsidRPr="002B5C53" w:rsidRDefault="00513479" w:rsidP="000771CE"/>
    <w:p w:rsidR="004D2AD8" w:rsidRDefault="004D2AD8" w:rsidP="00A01CDB">
      <w:r>
        <w:t>Príklad 3:</w:t>
      </w:r>
    </w:p>
    <w:p w:rsidR="008F62C6" w:rsidRDefault="00DC51AA" w:rsidP="00A01CDB">
      <w:r>
        <w:t>Účtovná jednotka tvorí rezervu v oblasti prevádzkovej činnosti, napríklad rezervu na reklamácie alebo rezervy na opravu stroja. V danom prípade sa účtuje na vrub účtu z</w:t>
      </w:r>
      <w:r w:rsidR="00E82859">
        <w:t>o skupiny 55, konkrétne na účty</w:t>
      </w:r>
      <w:r>
        <w:t xml:space="preserve"> Tvorba zákonných rezerv</w:t>
      </w:r>
      <w:r w:rsidR="00E82859">
        <w:t xml:space="preserve"> (552) alebo</w:t>
      </w:r>
      <w:r>
        <w:t xml:space="preserve"> Tvorba ostatných rezerv - prevádzková činnosť</w:t>
      </w:r>
      <w:r w:rsidR="00E82859">
        <w:t xml:space="preserve"> (554)</w:t>
      </w:r>
      <w:r>
        <w:t xml:space="preserve"> a v prospech účtu skupiny</w:t>
      </w:r>
      <w:r w:rsidR="00E82859">
        <w:t xml:space="preserve"> 45, konkrétne účty</w:t>
      </w:r>
      <w:r>
        <w:t xml:space="preserve"> Rezervy zákonné </w:t>
      </w:r>
      <w:r w:rsidR="00E82859">
        <w:t>(451) alebo Rezervy ostatné (459).</w:t>
      </w:r>
    </w:p>
    <w:p w:rsidR="000771CE" w:rsidRDefault="000771CE" w:rsidP="00A01CDB"/>
    <w:p w:rsidR="00390AAB" w:rsidRDefault="00390AAB" w:rsidP="00A01CDB">
      <w:pPr>
        <w:pStyle w:val="Nadpis2"/>
      </w:pPr>
      <w:bookmarkStart w:id="12" w:name="_Toc447622251"/>
      <w:r>
        <w:t>Daňový systém na Slovensku a v Česku</w:t>
      </w:r>
      <w:bookmarkEnd w:id="12"/>
    </w:p>
    <w:p w:rsidR="00390AAB" w:rsidRPr="00390AAB" w:rsidRDefault="00390AAB" w:rsidP="00A01CDB"/>
    <w:p w:rsidR="007F6324" w:rsidRDefault="00390AAB" w:rsidP="00A01CDB">
      <w:r>
        <w:t>Do z</w:t>
      </w:r>
      <w:r w:rsidR="005D1D30">
        <w:t>meny</w:t>
      </w:r>
      <w:r>
        <w:t xml:space="preserve"> režimu v roku 1989 sa v ČSSR používal daňový systém inšpirovaný daňovou politikou Sovietskeho zväzu. </w:t>
      </w:r>
      <w:r w:rsidR="00EA083B">
        <w:t xml:space="preserve">V roku 1952 bolo vydaných niekoľko zákonov, ktoré zavádzali do praxe jednotlivé druhy daní. </w:t>
      </w:r>
    </w:p>
    <w:p w:rsidR="007F6324" w:rsidRPr="00390AAB" w:rsidRDefault="007F6324" w:rsidP="00A01CDB"/>
    <w:p w:rsidR="00390AAB" w:rsidRDefault="00390AAB" w:rsidP="00A01CDB">
      <w:pPr>
        <w:pStyle w:val="Nadpis3"/>
      </w:pPr>
      <w:bookmarkStart w:id="13" w:name="_Toc447622252"/>
      <w:r>
        <w:t>Daňový systém na Slovensku</w:t>
      </w:r>
      <w:bookmarkEnd w:id="13"/>
      <w:r>
        <w:t xml:space="preserve"> </w:t>
      </w:r>
    </w:p>
    <w:p w:rsidR="007F6324" w:rsidRPr="007F6324" w:rsidRDefault="007F6324" w:rsidP="007F6324"/>
    <w:p w:rsidR="00390AAB" w:rsidRDefault="00390AAB" w:rsidP="00A01CDB">
      <w:r>
        <w:t>Prvá výrazná zmena daňového systému sa na Slovensku uskutočnila v roku 1993, kvôli prechodu od centrálne plánovanej ekonomiky k trhovej ekonomike. Zákony však boli nejednoznačné, obsahovali množstvo medzier, výnimiek a podmienok a zvýhodňovali určité skup</w:t>
      </w:r>
      <w:r w:rsidR="00DD225A">
        <w:t>iny obyvateľstva. Daňovníci</w:t>
      </w:r>
      <w:r>
        <w:t xml:space="preserve"> považovali zákony za nespravodlivé a snažili sa ich rôznymi spôsobmi obchádzať. Tento trend bol samozrejme spoločensky nežiaduci a viedlo to k početným novelám a úpravám zákonov. V tejto dobe platilo progresívne zdanenie príjmu fyzických osôb, teda neplatili všetci daňovníci rovnaké percento z príjmu, ale platili podľa toho, aký vysoký mali príjem. Sadzby sa pohybovali od 15% až do 47%</w:t>
      </w:r>
      <w:r>
        <w:rPr>
          <w:rStyle w:val="Odkaznapoznmkupodiarou"/>
        </w:rPr>
        <w:footnoteReference w:id="13"/>
      </w:r>
      <w:r>
        <w:t>.</w:t>
      </w:r>
    </w:p>
    <w:p w:rsidR="00513479" w:rsidRDefault="00390AAB" w:rsidP="00A01CDB">
      <w:r>
        <w:t>Ďalšia výrazná zmena nastala v roku 2004, kedy bola zavedená rovná daň (na rozdiel od predchádzajúcej progresívnej), kt</w:t>
      </w:r>
      <w:r w:rsidR="005D1D30">
        <w:t>orá výrazne uľahčila podnikanie</w:t>
      </w:r>
      <w:r>
        <w:t xml:space="preserve"> a tým prispela k zvýšeniu </w:t>
      </w:r>
      <w:r>
        <w:lastRenderedPageBreak/>
        <w:t xml:space="preserve">zamestnanosti a hospodárskemu rastu. Nová úroveň dane z príjmu fyzických osôb bola stanovená na 19%. </w:t>
      </w:r>
    </w:p>
    <w:p w:rsidR="003B6522" w:rsidRDefault="003B6522" w:rsidP="00A01CDB"/>
    <w:p w:rsidR="00390AAB" w:rsidRDefault="00390AAB" w:rsidP="00A01CDB">
      <w:r>
        <w:t>Významnými zmenami prešla aj daň z príjmu právnických osôb, ktorá sa od roku 1993 znížila z pôvodných 45% až na 19% v roku 2004, od kedy sa začali zdaňovať príjmy fyzických aj právnických osôb rovnakou výškou dane</w:t>
      </w:r>
      <w:r>
        <w:rPr>
          <w:rStyle w:val="Odkaznapoznmkupodiarou"/>
        </w:rPr>
        <w:footnoteReference w:id="14"/>
      </w:r>
      <w:r>
        <w:t xml:space="preserve">. Zákon z roku 2004 platí s rôznymi obmenami dodnes, najvýraznejšie obmeny priniesli reformy v rokoch 2007 a 2013. Pre účely tejto práce však nie je potrebné sa nimi podrobnejšie zaoberať. </w:t>
      </w:r>
    </w:p>
    <w:p w:rsidR="003B6522" w:rsidRDefault="003B6522" w:rsidP="00A01CDB"/>
    <w:p w:rsidR="00390AAB" w:rsidRDefault="00390AAB" w:rsidP="00A01CDB">
      <w:r>
        <w:t>Aktuálna (2015) sadzba dane z príjmu právnických osôb je 22%. Zároveň bola zavedená minimálna absolútna výška dane podľa veľkosti podnikateľských subjektov. Daň z príjmu fyzických osôb je aktuálne 19% z tej časti základu dane, ktorá nepresiahne 35 022,31</w:t>
      </w:r>
      <w:r w:rsidR="0036189C">
        <w:t xml:space="preserve"> €</w:t>
      </w:r>
      <w:r>
        <w:t xml:space="preserve">  a 25% pre tú časť základu dane, ktorá túto sumu presiahne</w:t>
      </w:r>
      <w:r>
        <w:rPr>
          <w:rStyle w:val="Odkaznapoznmkupodiarou"/>
        </w:rPr>
        <w:footnoteReference w:id="15"/>
      </w:r>
      <w:r>
        <w:t>.</w:t>
      </w:r>
    </w:p>
    <w:p w:rsidR="00513479" w:rsidRDefault="00513479" w:rsidP="00A01CDB"/>
    <w:p w:rsidR="00390AAB" w:rsidRDefault="00390AAB" w:rsidP="00A01CDB">
      <w:pPr>
        <w:pStyle w:val="Nadpis3"/>
      </w:pPr>
      <w:bookmarkStart w:id="14" w:name="_Toc447622253"/>
      <w:r>
        <w:t>Daňový systém v Českej republike</w:t>
      </w:r>
      <w:bookmarkEnd w:id="14"/>
    </w:p>
    <w:p w:rsidR="00390AAB" w:rsidRPr="008F62C6" w:rsidRDefault="00390AAB" w:rsidP="00A01CDB"/>
    <w:p w:rsidR="00390AAB" w:rsidRDefault="00390AAB" w:rsidP="00A01CDB">
      <w:r>
        <w:t>Daňový systém sa po rozdelení republík v roku 1993 vyvíjal obdobne ako na Slovensku. Najskôr sa po rozpade ČSFR zaviedol štandardný daňový systém trhovej ekonomiky. Zaviedla sa daň z pridanej hodnoty a spotrebná daň. Objavila sa potreba zabránenia daňovým únikom a zvýšenia efektivity daňovej správy.</w:t>
      </w:r>
      <w:r>
        <w:rPr>
          <w:rStyle w:val="Odkaznapoznmkupodiarou"/>
        </w:rPr>
        <w:footnoteReference w:id="16"/>
      </w:r>
      <w:r>
        <w:t xml:space="preserve"> </w:t>
      </w:r>
    </w:p>
    <w:p w:rsidR="003B6522" w:rsidRDefault="003B6522" w:rsidP="00A01CDB"/>
    <w:p w:rsidR="00390AAB" w:rsidRDefault="00390AAB" w:rsidP="00A01CDB">
      <w:r>
        <w:t xml:space="preserve">Ďalšia významná zmena nastala </w:t>
      </w:r>
      <w:r w:rsidR="008B588B">
        <w:t xml:space="preserve">v Českej republike </w:t>
      </w:r>
      <w:r>
        <w:t>o desaťročie neskôr. Kvôli vstupu do Európskej únie bolo potrebné implementovať daňové právo Európskej únie. Výsledkom boli nové zákony o dani z pridanej hodnoty a o spotrebnej dani. Ďalšie reformy sa konali v rokoch 2005 a 2008. Reforma v rokoch 2005-2006 sa týkala predovšetkým fyzických osôb, zaviedol sa daňový bonus či zľava na dani z príjmu fyzických osôb.</w:t>
      </w:r>
    </w:p>
    <w:p w:rsidR="00390AAB" w:rsidRDefault="00390AAB" w:rsidP="00A01CDB">
      <w:r>
        <w:t xml:space="preserve">V roku 2008 vyvstala potreba konsolidácie verejných financií, ktorá sa v oblasti daní prejavila znížením dane z príjmu právnických osôb, zaviedla sa </w:t>
      </w:r>
      <w:proofErr w:type="spellStart"/>
      <w:r>
        <w:t>superhrubá</w:t>
      </w:r>
      <w:proofErr w:type="spellEnd"/>
      <w:r>
        <w:t xml:space="preserve"> mzda či maximálny </w:t>
      </w:r>
      <w:r>
        <w:lastRenderedPageBreak/>
        <w:t>vymeriavací základ</w:t>
      </w:r>
      <w:r>
        <w:rPr>
          <w:rStyle w:val="Odkaznapoznmkupodiarou"/>
        </w:rPr>
        <w:footnoteReference w:id="17"/>
      </w:r>
      <w:r>
        <w:t xml:space="preserve">. V súčasnosti je </w:t>
      </w:r>
      <w:r w:rsidR="008B588B">
        <w:t xml:space="preserve">v Česku </w:t>
      </w:r>
      <w:r>
        <w:t xml:space="preserve">výška dane z príjmu fyzických osôb stanovená na 15%, daň z príjmu právnických osôb činí 19%. </w:t>
      </w:r>
    </w:p>
    <w:p w:rsidR="00103589" w:rsidRPr="00390AAB" w:rsidRDefault="00103589" w:rsidP="00A01CDB"/>
    <w:p w:rsidR="000676BE" w:rsidRDefault="009D6076" w:rsidP="00A01CDB">
      <w:pPr>
        <w:pStyle w:val="Nadpis2"/>
      </w:pPr>
      <w:bookmarkStart w:id="15" w:name="_Toc447622254"/>
      <w:r>
        <w:t>Daňové rezervy</w:t>
      </w:r>
      <w:bookmarkEnd w:id="15"/>
    </w:p>
    <w:p w:rsidR="00513479" w:rsidRPr="00513479" w:rsidRDefault="00513479" w:rsidP="00513479"/>
    <w:p w:rsidR="000676BE" w:rsidRDefault="000676BE" w:rsidP="00A01CDB">
      <w:r>
        <w:t>Z daňového hľadiska sa rezervy členia na zákonné a ostatné. Zákonné sa tvoria podľa Zákona o dani z príjmu a označujú sa aj ako daňové. Sú súčasťou základu dane</w:t>
      </w:r>
      <w:r w:rsidR="008B588B">
        <w:t>,</w:t>
      </w:r>
      <w:r>
        <w:t xml:space="preserve"> pretože ich tvorba je považovaná za daňový výdavok. Ostatné rezervy sú tie, ktorých tvorba nie je uznaná ako náklad a teda nie sú súčasťou základu dane. </w:t>
      </w:r>
    </w:p>
    <w:p w:rsidR="003B6522" w:rsidRDefault="003B6522" w:rsidP="00A01CDB"/>
    <w:p w:rsidR="005346D0" w:rsidRDefault="005346D0" w:rsidP="00A01CDB">
      <w:r>
        <w:t xml:space="preserve">Podľa Zákona o dani z príjmu, §19, je daňovým výdavkom len tvorba rezerv uvedených v nasledujúcom §20 toho istého Zákona. </w:t>
      </w:r>
    </w:p>
    <w:p w:rsidR="00513479" w:rsidRDefault="00513479" w:rsidP="00A01CDB"/>
    <w:p w:rsidR="007503E9" w:rsidRDefault="007503E9" w:rsidP="00A01CDB">
      <w:pPr>
        <w:pStyle w:val="Nadpis3"/>
      </w:pPr>
      <w:bookmarkStart w:id="16" w:name="_Toc447622255"/>
      <w:r>
        <w:t xml:space="preserve">Daňové </w:t>
      </w:r>
      <w:r w:rsidR="00EC0136">
        <w:t xml:space="preserve">a nedaňové </w:t>
      </w:r>
      <w:r>
        <w:t>výdavky</w:t>
      </w:r>
      <w:bookmarkEnd w:id="16"/>
    </w:p>
    <w:p w:rsidR="00390AAB" w:rsidRPr="00390AAB" w:rsidRDefault="00390AAB" w:rsidP="00A01CDB"/>
    <w:p w:rsidR="00B56B0B" w:rsidRDefault="00B56B0B" w:rsidP="00A01CDB">
      <w:r>
        <w:t xml:space="preserve">Daňový výdavok je náklad, ktorý daňovník vynakladá na dosiahnutie, zabezpečenie a udržanie príjmu. Náklad musel byť podnikom preukázateľne vynaložený - to znamená, že </w:t>
      </w:r>
      <w:r w:rsidR="00390AAB">
        <w:t xml:space="preserve">musí byť zdokladovaný </w:t>
      </w:r>
      <w:r>
        <w:t xml:space="preserve">a musí byť riadne zaúčtovaný v účtovníctve firmy. Zákon presne určuje, ktoré výdavky možno odpočítať zo základu dane, ktoré nemožno </w:t>
      </w:r>
      <w:r w:rsidR="00EC0136">
        <w:t xml:space="preserve">odpočítať </w:t>
      </w:r>
      <w:r>
        <w:t>a upravuje aj tie, ktoré možno odčítať</w:t>
      </w:r>
      <w:r w:rsidR="00EC0136">
        <w:t xml:space="preserve"> iba</w:t>
      </w:r>
      <w:r>
        <w:t xml:space="preserve"> za určitých podmienok. </w:t>
      </w:r>
    </w:p>
    <w:p w:rsidR="003B6522" w:rsidRDefault="003B6522" w:rsidP="00A01CDB"/>
    <w:p w:rsidR="00B56B0B" w:rsidRDefault="00B56B0B" w:rsidP="00A01CDB">
      <w:r>
        <w:t xml:space="preserve">Typickými daňovo uznateľnými nákladmi sú </w:t>
      </w:r>
    </w:p>
    <w:p w:rsidR="00B56B0B" w:rsidRDefault="00B56B0B" w:rsidP="00A01CDB">
      <w:pPr>
        <w:pStyle w:val="Odsekzoznamu"/>
        <w:numPr>
          <w:ilvl w:val="0"/>
          <w:numId w:val="3"/>
        </w:numPr>
      </w:pPr>
      <w:r>
        <w:t>mzdy zamestnancov</w:t>
      </w:r>
    </w:p>
    <w:p w:rsidR="00B56B0B" w:rsidRDefault="00B56B0B" w:rsidP="00A01CDB">
      <w:pPr>
        <w:pStyle w:val="Odsekzoznamu"/>
        <w:numPr>
          <w:ilvl w:val="0"/>
          <w:numId w:val="3"/>
        </w:numPr>
      </w:pPr>
      <w:r>
        <w:t>náklady na materiál</w:t>
      </w:r>
    </w:p>
    <w:p w:rsidR="00B56B0B" w:rsidRDefault="008B588B" w:rsidP="00A01CDB">
      <w:pPr>
        <w:pStyle w:val="Odsekzoznamu"/>
        <w:numPr>
          <w:ilvl w:val="0"/>
          <w:numId w:val="3"/>
        </w:numPr>
      </w:pPr>
      <w:r>
        <w:t xml:space="preserve">náklady </w:t>
      </w:r>
      <w:r w:rsidR="00B56B0B">
        <w:t>na</w:t>
      </w:r>
      <w:r w:rsidR="00B56B0B" w:rsidRPr="0020255B">
        <w:t xml:space="preserve"> </w:t>
      </w:r>
      <w:r w:rsidR="00B56B0B">
        <w:t>nákup tovaru</w:t>
      </w:r>
    </w:p>
    <w:p w:rsidR="00B56B0B" w:rsidRDefault="00B56B0B" w:rsidP="00A01CDB">
      <w:pPr>
        <w:pStyle w:val="Odsekzoznamu"/>
        <w:numPr>
          <w:ilvl w:val="0"/>
          <w:numId w:val="3"/>
        </w:numPr>
      </w:pPr>
      <w:r>
        <w:t>odvody platené za zamestnancov</w:t>
      </w:r>
    </w:p>
    <w:p w:rsidR="00B56B0B" w:rsidRDefault="00B56B0B" w:rsidP="00A01CDB">
      <w:pPr>
        <w:pStyle w:val="Odsekzoznamu"/>
        <w:numPr>
          <w:ilvl w:val="0"/>
          <w:numId w:val="3"/>
        </w:numPr>
      </w:pPr>
      <w:r>
        <w:t>cestovné náhrady pri služobných cestách zamestnancov</w:t>
      </w:r>
    </w:p>
    <w:p w:rsidR="00B56B0B" w:rsidRDefault="00B56B0B" w:rsidP="00A01CDB">
      <w:pPr>
        <w:pStyle w:val="Odsekzoznamu"/>
        <w:numPr>
          <w:ilvl w:val="0"/>
          <w:numId w:val="3"/>
        </w:numPr>
      </w:pPr>
      <w:r>
        <w:t>stravovanie zamestnancov</w:t>
      </w:r>
    </w:p>
    <w:p w:rsidR="00B56B0B" w:rsidRDefault="00B56B0B" w:rsidP="00A01CDB">
      <w:pPr>
        <w:pStyle w:val="Odsekzoznamu"/>
        <w:numPr>
          <w:ilvl w:val="0"/>
          <w:numId w:val="3"/>
        </w:numPr>
      </w:pPr>
      <w:r>
        <w:t>firemný automobil</w:t>
      </w:r>
    </w:p>
    <w:p w:rsidR="00B56B0B" w:rsidRDefault="00B56B0B" w:rsidP="00A01CDB">
      <w:pPr>
        <w:pStyle w:val="Odsekzoznamu"/>
        <w:numPr>
          <w:ilvl w:val="0"/>
          <w:numId w:val="3"/>
        </w:numPr>
      </w:pPr>
      <w:r>
        <w:t>odpisy dlhodobého majetku</w:t>
      </w:r>
    </w:p>
    <w:p w:rsidR="00B56B0B" w:rsidRDefault="00B56B0B" w:rsidP="00A01CDB">
      <w:pPr>
        <w:pStyle w:val="Odsekzoznamu"/>
        <w:numPr>
          <w:ilvl w:val="0"/>
          <w:numId w:val="3"/>
        </w:numPr>
      </w:pPr>
      <w:r>
        <w:lastRenderedPageBreak/>
        <w:t>do určitej miery aj náklady na reklamu a reprezentáciu</w:t>
      </w:r>
    </w:p>
    <w:p w:rsidR="00B56B0B" w:rsidRDefault="008B588B" w:rsidP="00A01CDB">
      <w:pPr>
        <w:pStyle w:val="Odsekzoznamu"/>
        <w:numPr>
          <w:ilvl w:val="0"/>
          <w:numId w:val="3"/>
        </w:numPr>
      </w:pPr>
      <w:r>
        <w:t>úroky z pôžičiek.</w:t>
      </w:r>
    </w:p>
    <w:p w:rsidR="00B56B0B" w:rsidRDefault="00B56B0B" w:rsidP="00A01CDB">
      <w:r>
        <w:t xml:space="preserve">Treba samozrejme prihliadať na to, akou činnosťou sa podnikateľ alebo firma zaoberá a podľa toho pokladať jednotlivé náklady za daňovo uznateľné alebo daňovo neuznateľné.  Podnikateľ - maliar, si nemôže dať do nákladov hudobné nástroje, ale podnikateľ - hudobník môže, a podobne. </w:t>
      </w:r>
    </w:p>
    <w:p w:rsidR="00B56B0B" w:rsidRDefault="00B56B0B" w:rsidP="00A01CDB"/>
    <w:p w:rsidR="00B56B0B" w:rsidRDefault="00B56B0B" w:rsidP="00A01CDB">
      <w:r>
        <w:t xml:space="preserve">Podľa §21 Zákona o dani z príjmu </w:t>
      </w:r>
      <w:r w:rsidR="00EC0136">
        <w:t>sa za nedaňové výdavky považujú</w:t>
      </w:r>
      <w:r>
        <w:t xml:space="preserve"> náklady alebo výdavky, ktoré nesúvisia so zdaniteľným príjmom, alebo ich vynaloženie na daňové účely nie je dostatočne preukázané. Ďalej sem patria napríklad výdavky na:</w:t>
      </w:r>
    </w:p>
    <w:p w:rsidR="00B56B0B" w:rsidRDefault="00B56B0B" w:rsidP="00A01CDB">
      <w:pPr>
        <w:pStyle w:val="Odsekzoznamu"/>
        <w:numPr>
          <w:ilvl w:val="0"/>
          <w:numId w:val="4"/>
        </w:numPr>
      </w:pPr>
      <w:r>
        <w:t>obstaranie dlhodobého majetku</w:t>
      </w:r>
    </w:p>
    <w:p w:rsidR="00B56B0B" w:rsidRDefault="00B56B0B" w:rsidP="00A01CDB">
      <w:pPr>
        <w:pStyle w:val="Odsekzoznamu"/>
        <w:numPr>
          <w:ilvl w:val="0"/>
          <w:numId w:val="4"/>
        </w:numPr>
      </w:pPr>
      <w:r>
        <w:t>vyplácané podiely na zisku</w:t>
      </w:r>
    </w:p>
    <w:p w:rsidR="00B56B0B" w:rsidRDefault="00B56B0B" w:rsidP="00A01CDB">
      <w:pPr>
        <w:pStyle w:val="Odsekzoznamu"/>
        <w:numPr>
          <w:ilvl w:val="0"/>
          <w:numId w:val="4"/>
        </w:numPr>
      </w:pPr>
      <w:r>
        <w:t>technické zhodnotenie</w:t>
      </w:r>
    </w:p>
    <w:p w:rsidR="00B56B0B" w:rsidRDefault="00B56B0B" w:rsidP="00A01CDB">
      <w:pPr>
        <w:pStyle w:val="Odsekzoznamu"/>
        <w:numPr>
          <w:ilvl w:val="0"/>
          <w:numId w:val="4"/>
        </w:numPr>
      </w:pPr>
      <w:r>
        <w:t>výdavky na reprezentáciu (okrem reklamných predmetov neprevyšujúcich cenu 17</w:t>
      </w:r>
      <w:r w:rsidR="0036189C">
        <w:t xml:space="preserve"> €</w:t>
      </w:r>
      <w:r>
        <w:t xml:space="preserve"> za kus, alkoholických nápojov a tabakových výrobkov)</w:t>
      </w:r>
    </w:p>
    <w:p w:rsidR="00B56B0B" w:rsidRDefault="00B56B0B" w:rsidP="00A01CDB">
      <w:pPr>
        <w:pStyle w:val="Odsekzoznamu"/>
        <w:numPr>
          <w:ilvl w:val="0"/>
          <w:numId w:val="4"/>
        </w:numPr>
      </w:pPr>
      <w:r>
        <w:t>výdavky na osobnú potrebu daňovníka</w:t>
      </w:r>
    </w:p>
    <w:p w:rsidR="00B56B0B" w:rsidRDefault="00B56B0B" w:rsidP="00A01CDB">
      <w:pPr>
        <w:pStyle w:val="Odsekzoznamu"/>
        <w:numPr>
          <w:ilvl w:val="0"/>
          <w:numId w:val="4"/>
        </w:numPr>
      </w:pPr>
      <w:r>
        <w:t>penále a pokuty</w:t>
      </w:r>
    </w:p>
    <w:p w:rsidR="00B56B0B" w:rsidRDefault="00B56B0B" w:rsidP="00A01CDB">
      <w:pPr>
        <w:pStyle w:val="Odsekzoznamu"/>
        <w:numPr>
          <w:ilvl w:val="0"/>
          <w:numId w:val="4"/>
        </w:numPr>
      </w:pPr>
      <w:r>
        <w:t>manká a škody s výnimkou povolených noriem strát a úbytkov tovaru a iné.</w:t>
      </w:r>
    </w:p>
    <w:p w:rsidR="00B56B0B" w:rsidRDefault="00F547D1" w:rsidP="00A01CDB">
      <w:r>
        <w:t>Kompletný zoznam vrátane</w:t>
      </w:r>
      <w:r w:rsidR="00B56B0B">
        <w:t xml:space="preserve"> všetkých výnimiek upravuje §21, ods. 1 a 2 Zákona o dani z príjmu.</w:t>
      </w:r>
    </w:p>
    <w:p w:rsidR="00B56B0B" w:rsidRDefault="00B56B0B" w:rsidP="00A01CDB"/>
    <w:p w:rsidR="001260FC" w:rsidRDefault="001260FC" w:rsidP="00A01CDB">
      <w:pPr>
        <w:pStyle w:val="Nadpis3"/>
      </w:pPr>
      <w:bookmarkStart w:id="17" w:name="_Toc447622256"/>
      <w:r>
        <w:t>Daňové rezervy</w:t>
      </w:r>
      <w:bookmarkEnd w:id="17"/>
    </w:p>
    <w:p w:rsidR="001260FC" w:rsidRPr="001260FC" w:rsidRDefault="001260FC" w:rsidP="00A01CDB"/>
    <w:p w:rsidR="00037AC0" w:rsidRDefault="007503E9" w:rsidP="00A01CDB">
      <w:r>
        <w:t>Základ dane je predmet dane vyjadrený v merateľných jednotkách a upravený podľa zákonných pravidiel</w:t>
      </w:r>
      <w:r>
        <w:rPr>
          <w:rStyle w:val="Odkaznapoznmkupodiarou"/>
        </w:rPr>
        <w:footnoteReference w:id="18"/>
      </w:r>
      <w:r>
        <w:t>.</w:t>
      </w:r>
      <w:r w:rsidR="00037AC0" w:rsidRPr="00037AC0">
        <w:t xml:space="preserve"> </w:t>
      </w:r>
      <w:r w:rsidR="00037AC0">
        <w:t xml:space="preserve">Základom dane sa ďalej chápe rozdiel, o ktorý zdaniteľné </w:t>
      </w:r>
      <w:r w:rsidR="004671F0">
        <w:t>príjmy prevyšujú daňové výdavky</w:t>
      </w:r>
      <w:r w:rsidR="00037AC0">
        <w:t xml:space="preserve"> a</w:t>
      </w:r>
      <w:r w:rsidR="005D1D30">
        <w:t> </w:t>
      </w:r>
      <w:r w:rsidR="00037AC0">
        <w:t>naopak</w:t>
      </w:r>
      <w:r w:rsidR="005D1D30">
        <w:t>,</w:t>
      </w:r>
      <w:r w:rsidR="00037AC0">
        <w:t xml:space="preserve"> daňovou stratou je rozdiel, o ktorý daňové výdavky prevyšujú daňové príjmy.</w:t>
      </w:r>
    </w:p>
    <w:p w:rsidR="003B6522" w:rsidRDefault="003B6522" w:rsidP="00A01CDB"/>
    <w:p w:rsidR="0063494D" w:rsidRDefault="0063494D" w:rsidP="00A01CDB">
      <w:r>
        <w:t>Tak</w:t>
      </w:r>
      <w:r w:rsidR="005D1D30">
        <w:t>,</w:t>
      </w:r>
      <w:r>
        <w:t xml:space="preserve"> ako sa výdavky rozdeľujú na daňovo </w:t>
      </w:r>
      <w:r w:rsidR="005D1D30">
        <w:t xml:space="preserve">uznateľné a daňovo neuznateľné, sa delia </w:t>
      </w:r>
      <w:r>
        <w:t>aj rezervy. Daňové rezervy sa tvora v súlade so Zákonom o dani z príjmu a nazývajú sa tiež aj zákonné rezervy.</w:t>
      </w:r>
      <w:r w:rsidR="001260FC">
        <w:t xml:space="preserve"> Rezervy, ktorých tvorba je súčasťou základu dane sú podľa tohto zákona </w:t>
      </w:r>
      <w:r w:rsidR="001260FC">
        <w:lastRenderedPageBreak/>
        <w:t>rezervy v poisťovníctve, rezervy vytvárané zdravotnými poisťovňami a ďalšie rezervy určené zákonom. Ostatné rezervy, ktoré možno zahrnúť do základu dane sú určené §20 ods.9 Zákona o dani z </w:t>
      </w:r>
      <w:r w:rsidR="00706773">
        <w:t>príjmu</w:t>
      </w:r>
      <w:r w:rsidR="001260FC">
        <w:t xml:space="preserve"> a</w:t>
      </w:r>
      <w:r w:rsidR="00706773">
        <w:t> konkrétne sú to rezervy na :</w:t>
      </w:r>
    </w:p>
    <w:p w:rsidR="00706773" w:rsidRDefault="00706773" w:rsidP="00A01CDB">
      <w:pPr>
        <w:pStyle w:val="Odsekzoznamu"/>
        <w:numPr>
          <w:ilvl w:val="0"/>
          <w:numId w:val="5"/>
        </w:numPr>
      </w:pPr>
      <w:r>
        <w:t>nevyčerpané dovolenky, vrátane poistného a príspevkov, ktoré je zamestnávateľ povinný platiť</w:t>
      </w:r>
    </w:p>
    <w:p w:rsidR="00706773" w:rsidRDefault="00706773" w:rsidP="00A01CDB">
      <w:pPr>
        <w:pStyle w:val="Odsekzoznamu"/>
        <w:numPr>
          <w:ilvl w:val="0"/>
          <w:numId w:val="5"/>
        </w:numPr>
      </w:pPr>
      <w:r>
        <w:t xml:space="preserve">vyprodukované emisie podľa osobitného predpisu </w:t>
      </w:r>
    </w:p>
    <w:p w:rsidR="00706773" w:rsidRDefault="00706773" w:rsidP="00A01CDB">
      <w:pPr>
        <w:pStyle w:val="Odsekzoznamu"/>
        <w:numPr>
          <w:ilvl w:val="0"/>
          <w:numId w:val="5"/>
        </w:numPr>
      </w:pPr>
      <w:r>
        <w:t>lesnú pestovateľskú činnosť podľa osobitného predpisu</w:t>
      </w:r>
    </w:p>
    <w:p w:rsidR="00706773" w:rsidRDefault="00706773" w:rsidP="00A01CDB">
      <w:pPr>
        <w:pStyle w:val="Odsekzoznamu"/>
        <w:numPr>
          <w:ilvl w:val="0"/>
          <w:numId w:val="5"/>
        </w:numPr>
      </w:pPr>
      <w:r>
        <w:t>likvidáciu hlavných banských diel, lomov a odpadov pri banskej činnosti a na rekultiváciu pozemkov dotknutých ťažbou</w:t>
      </w:r>
    </w:p>
    <w:p w:rsidR="00706773" w:rsidRDefault="00706773" w:rsidP="00A01CDB">
      <w:pPr>
        <w:pStyle w:val="Odsekzoznamu"/>
        <w:numPr>
          <w:ilvl w:val="0"/>
          <w:numId w:val="5"/>
        </w:numPr>
      </w:pPr>
      <w:r>
        <w:t>uzavretie, rekultiváciu a monitorovanie skládok po ich uzavretí</w:t>
      </w:r>
    </w:p>
    <w:p w:rsidR="00706773" w:rsidRDefault="00706773" w:rsidP="00A01CDB">
      <w:pPr>
        <w:pStyle w:val="Odsekzoznamu"/>
        <w:numPr>
          <w:ilvl w:val="0"/>
          <w:numId w:val="5"/>
        </w:numPr>
      </w:pPr>
      <w:r>
        <w:t>nakladanie s </w:t>
      </w:r>
      <w:proofErr w:type="spellStart"/>
      <w:r>
        <w:t>elektroodpadom</w:t>
      </w:r>
      <w:proofErr w:type="spellEnd"/>
      <w:r>
        <w:t xml:space="preserve"> z domácností</w:t>
      </w:r>
    </w:p>
    <w:p w:rsidR="00706773" w:rsidRDefault="00706773" w:rsidP="00A01CDB">
      <w:pPr>
        <w:pStyle w:val="Odsekzoznamu"/>
        <w:numPr>
          <w:ilvl w:val="0"/>
          <w:numId w:val="5"/>
        </w:numPr>
      </w:pPr>
      <w:r>
        <w:t xml:space="preserve">účelová finančná rezerva podľa osobitného zákona (Zákon č.514/2008 </w:t>
      </w:r>
      <w:proofErr w:type="spellStart"/>
      <w:r>
        <w:t>Z.z</w:t>
      </w:r>
      <w:proofErr w:type="spellEnd"/>
      <w:r>
        <w:t>. o nakladaní s odpadom s ťažobného priemyslu)</w:t>
      </w:r>
      <w:r w:rsidR="00A639D0">
        <w:t>.</w:t>
      </w:r>
    </w:p>
    <w:p w:rsidR="00706773" w:rsidRDefault="00706773" w:rsidP="00A01CDB"/>
    <w:p w:rsidR="002123D1" w:rsidRDefault="00706773" w:rsidP="00A01CDB">
      <w:r>
        <w:t xml:space="preserve">Tvorba daňových rezerv pomáha daňovníkovi optimalizovať daňovú povinnosť tým, že </w:t>
      </w:r>
      <w:r w:rsidR="007C6794">
        <w:t>má možnosť zahrnúť v nákladoch rezervu na udalosť, ktorá sa ešte reálne nestala</w:t>
      </w:r>
      <w:r w:rsidR="002123D1">
        <w:t xml:space="preserve">, avšak iba za predpokladu, že rezervy patria do niektorej zo skupín priamo vymenovaných v Zákone. </w:t>
      </w:r>
      <w:r w:rsidR="00BD0F03">
        <w:t>Neuplatn</w:t>
      </w:r>
      <w:r w:rsidR="00952194">
        <w:t>í si teda daňový odpočet jednora</w:t>
      </w:r>
      <w:r w:rsidR="00BD0F03">
        <w:t xml:space="preserve">zovo vo veľkej výške, ale každoročne si zníži základ dane o menšiu čiastku. </w:t>
      </w:r>
    </w:p>
    <w:p w:rsidR="003B6522" w:rsidRDefault="003B6522" w:rsidP="00A01CDB"/>
    <w:p w:rsidR="002123D1" w:rsidRDefault="002123D1" w:rsidP="00A01CDB">
      <w:r>
        <w:t>Rezervy v poisťovníctve vytvárané na zabezpečenie poisťovacej činnosti s</w:t>
      </w:r>
      <w:r w:rsidR="004671F0">
        <w:t>a nazývajú aj technické rezervy</w:t>
      </w:r>
      <w:r>
        <w:t xml:space="preserve"> poisťovne. Tá ich vytvára z prij</w:t>
      </w:r>
      <w:r w:rsidR="00952194">
        <w:t>atého poistného od zákazníkov (</w:t>
      </w:r>
      <w:r>
        <w:t>poistencov)</w:t>
      </w:r>
      <w:r w:rsidR="00B004AD">
        <w:t xml:space="preserve"> a sú zárukou toho, že poisťovňa bude schopná plniť záväzky vyplývajúce zo zmlúv s poistencami. Patria sem napríklad rezervy na poistné plnenia, rezervy na životné poistenia, na prémie a zľavy, rezervy na nezaslúžené poistné a iné</w:t>
      </w:r>
      <w:r w:rsidR="003B6522">
        <w:rPr>
          <w:rStyle w:val="Odkaznapoznmkupodiarou"/>
        </w:rPr>
        <w:footnoteReference w:id="19"/>
      </w:r>
      <w:r w:rsidR="00B004AD">
        <w:t xml:space="preserve">. Rezervy sa vypočítavajú podľa štatistických metód a tvoria sa na životné a neživotné </w:t>
      </w:r>
      <w:r w:rsidR="00B872C0">
        <w:t>poistky. Pri životných poistkách je isté, že udalosť v budúcnosti nastane (smrť poistenca). Pri neživotných poisteniach nemusí</w:t>
      </w:r>
      <w:r w:rsidR="004671F0">
        <w:t xml:space="preserve"> poistná udalosť nikdy nastať (</w:t>
      </w:r>
      <w:r w:rsidR="00B872C0">
        <w:t>úrazy, živelné pohromy, atď</w:t>
      </w:r>
      <w:r w:rsidR="00A639D0">
        <w:t>.</w:t>
      </w:r>
      <w:r w:rsidR="00B872C0">
        <w:t xml:space="preserve">). </w:t>
      </w:r>
      <w:r w:rsidR="003B6522">
        <w:t>R</w:t>
      </w:r>
      <w:r w:rsidR="00B004AD">
        <w:t xml:space="preserve">ezervy v poisťovníctve sú špecifické tým, že poisťovňa nevie, kedy nastane poistné plnenie - môže sa tak stať 1 rok po uzavretí </w:t>
      </w:r>
      <w:r w:rsidR="00B872C0">
        <w:t xml:space="preserve">zmluvy, </w:t>
      </w:r>
      <w:r w:rsidR="004671F0">
        <w:t xml:space="preserve">ale aj 30 rokov po tom, resp. môže sa stať, že </w:t>
      </w:r>
      <w:r w:rsidR="00B872C0">
        <w:t>poistná udalosť</w:t>
      </w:r>
      <w:r w:rsidR="004671F0">
        <w:t xml:space="preserve"> nenastane</w:t>
      </w:r>
      <w:r w:rsidR="00B872C0">
        <w:t xml:space="preserve"> nikdy. </w:t>
      </w:r>
    </w:p>
    <w:p w:rsidR="003B6522" w:rsidRDefault="003B6522" w:rsidP="00A01CDB"/>
    <w:p w:rsidR="000F77A5" w:rsidRDefault="00B872C0" w:rsidP="00A01CDB">
      <w:r>
        <w:lastRenderedPageBreak/>
        <w:t>Zdravotné poisťovne tvoria technické rezervy podľa Zákona o poisťovniach č. 581/2004 Z.</w:t>
      </w:r>
      <w:r w:rsidR="004671F0">
        <w:t xml:space="preserve"> </w:t>
      </w:r>
      <w:r>
        <w:t xml:space="preserve">z.  na úhradu zdravotnej starostlivosti pre svojich poistencov. </w:t>
      </w:r>
      <w:r w:rsidR="006D6822">
        <w:t>Tá ich tvorí podľa počtu poistencov a priemerného nákladu na zdravotnú starostlivosť o poistenca.</w:t>
      </w:r>
    </w:p>
    <w:p w:rsidR="00B872C0" w:rsidRDefault="006D6822" w:rsidP="00A01CDB">
      <w:r>
        <w:t xml:space="preserve"> </w:t>
      </w:r>
    </w:p>
    <w:p w:rsidR="002123D1" w:rsidRDefault="002123D1" w:rsidP="00A01CDB">
      <w:pPr>
        <w:pStyle w:val="Nadpis2"/>
      </w:pPr>
      <w:bookmarkStart w:id="18" w:name="_Toc447622257"/>
      <w:r>
        <w:t>Účtovné rezervy</w:t>
      </w:r>
      <w:bookmarkEnd w:id="18"/>
    </w:p>
    <w:p w:rsidR="00752DAD" w:rsidRPr="00752DAD" w:rsidRDefault="00752DAD" w:rsidP="00A01CDB"/>
    <w:p w:rsidR="009D6076" w:rsidRDefault="00B60251" w:rsidP="00A01CDB">
      <w:r>
        <w:t>Účtovné rezervy sú tie rezervy, ktoré nie sú zákonné, teda patria do kategórie „ostatné rezervy“</w:t>
      </w:r>
      <w:r w:rsidR="001B25A3">
        <w:t xml:space="preserve"> a ich vytváranie neslúži na dosiahnutie a udržanie príjmov. </w:t>
      </w:r>
      <w:r w:rsidR="00752DAD">
        <w:t>Podnik ich vytvára vo vlastnom záujme a zobrazuje ich vo svojom účtovníctve.</w:t>
      </w:r>
      <w:r w:rsidR="004671F0">
        <w:t xml:space="preserve"> </w:t>
      </w:r>
      <w:r w:rsidR="009D6076">
        <w:t>Česká právna</w:t>
      </w:r>
      <w:r w:rsidR="00DD2453">
        <w:t xml:space="preserve"> úprava priamo vymenúva,</w:t>
      </w:r>
      <w:r w:rsidR="009D6076">
        <w:t xml:space="preserve"> ktoré rezervy sa započítavajú do účtovných, resp. ostatných rezerv. Sú to rezervy na riziká a straty, rezervy na daň z príjmu, rezervy na dôchodky a podobné záväzky a rezervy na reštrukturalizácie. </w:t>
      </w:r>
    </w:p>
    <w:p w:rsidR="003B6522" w:rsidRDefault="003B6522" w:rsidP="00A01CDB"/>
    <w:p w:rsidR="0026646F" w:rsidRDefault="0026646F" w:rsidP="00A01CDB">
      <w:r>
        <w:t>Rezervy na riziká a straty  sa tvoria v prípadoch predpokladaných rizík a strát v nasledujúcich účtovných obdobiach</w:t>
      </w:r>
      <w:r w:rsidR="000C2630">
        <w:t>, ktorých uskutočnenie je pravdepodobné. Rezervu na daň z príjmu vytvárajú účtovné jednotky, ktoré účtovnú uzávierku zostavujú pred zostavením daňového priznania a teda daňovú povinnosť iba odhadujú. Rezervy na dôchodky a podobné záväzky v súčasnosti podniky nevykazujú, zmysel by mali len v prípade, keby podnik viedol svojim zamestnancom dôchodkové sporenie a následne by po ich odchode do dôchodku bol povinný im ich vyplácať. Rezervu na reštrukturalizáciu je možné tvoriť len v prípade, ak je už schválený program reštrukturalizácie</w:t>
      </w:r>
      <w:r w:rsidR="000C2630">
        <w:rPr>
          <w:rStyle w:val="Odkaznapoznmkupodiarou"/>
        </w:rPr>
        <w:footnoteReference w:id="20"/>
      </w:r>
      <w:r w:rsidR="00A639D0">
        <w:t>.</w:t>
      </w:r>
    </w:p>
    <w:p w:rsidR="0026646F" w:rsidRDefault="0026646F" w:rsidP="00A01CDB"/>
    <w:p w:rsidR="00C32CB9" w:rsidRDefault="00C32CB9" w:rsidP="00A01CDB">
      <w:pPr>
        <w:pStyle w:val="Nadpis2"/>
      </w:pPr>
      <w:bookmarkStart w:id="19" w:name="_Toc447622258"/>
      <w:r>
        <w:t>Rezervy v banskej činnosti</w:t>
      </w:r>
      <w:bookmarkEnd w:id="19"/>
    </w:p>
    <w:p w:rsidR="00752DAD" w:rsidRPr="00752DAD" w:rsidRDefault="00752DAD" w:rsidP="00A01CDB"/>
    <w:p w:rsidR="00C32CB9" w:rsidRDefault="00C32CB9" w:rsidP="00A01CDB">
      <w:r>
        <w:t>V priebehu celej práce budeme používať Zákon 44/1988 Z.</w:t>
      </w:r>
      <w:r w:rsidR="004671F0">
        <w:t xml:space="preserve"> </w:t>
      </w:r>
      <w:r>
        <w:t>z. o ochrane a využití nerastného bohatstva (banský zákon). Keďže vznikol ešte počas existencie Československej socialistickej republiky, platí v oboch štátoch ten istý zákon.</w:t>
      </w:r>
      <w:r w:rsidR="002E290C">
        <w:t xml:space="preserve"> Zaoberá sa ochranou nerastného bohatstva, výstavbou a likvidáciou baní, dobývaním ložísk či banskými škodami.</w:t>
      </w:r>
      <w:r>
        <w:t xml:space="preserve"> </w:t>
      </w:r>
      <w:r w:rsidR="00DD2453">
        <w:t xml:space="preserve">Zákon bol </w:t>
      </w:r>
      <w:r w:rsidR="00DD2453">
        <w:lastRenderedPageBreak/>
        <w:t>niekoľko</w:t>
      </w:r>
      <w:r w:rsidR="009D6076">
        <w:t>krát novelizovaný, napr. v rokoch 1991, 2001, 2007 či 2010. Posledná novela sa uskutočnila v roku 2014 s platnosťou od 1.1.2015.</w:t>
      </w:r>
    </w:p>
    <w:p w:rsidR="003B6522" w:rsidRDefault="003B6522" w:rsidP="00A01CDB"/>
    <w:p w:rsidR="002330C0" w:rsidRDefault="00C32CB9" w:rsidP="00A01CDB">
      <w:r>
        <w:t xml:space="preserve">Podnik zaoberajúci sa ťažbou, rovnako ako iné podniky, by si mal </w:t>
      </w:r>
      <w:r w:rsidR="00A639D0">
        <w:t>(</w:t>
      </w:r>
      <w:r>
        <w:t>a v určitých situáciách aj je povinný</w:t>
      </w:r>
      <w:r w:rsidR="00A639D0">
        <w:t>)</w:t>
      </w:r>
      <w:r>
        <w:t xml:space="preserve"> tvoriť si rezervy pre rôzne prípady. Ťažobný priemysel rôzneho druhu sa zaoberá získavaním statkov z prírody a je náročný na prácu aj kapitál. </w:t>
      </w:r>
      <w:r w:rsidR="002E290C">
        <w:t xml:space="preserve">S tým idú ruka v ruke negatívne dopady na životné prostredie a okolitú krajinu. </w:t>
      </w:r>
      <w:r>
        <w:t xml:space="preserve">O to väčšiu pozornosť by mal </w:t>
      </w:r>
      <w:r w:rsidR="002E290C">
        <w:t xml:space="preserve">podnik </w:t>
      </w:r>
      <w:r>
        <w:t>preto venovať vytváraniu rezerv rôznych druhov, z ktorých n</w:t>
      </w:r>
      <w:r w:rsidR="002330C0">
        <w:t>iektoré mu priamo ukladá zákon.</w:t>
      </w:r>
    </w:p>
    <w:p w:rsidR="00131CE1" w:rsidRDefault="002330C0" w:rsidP="00A01CDB">
      <w:r>
        <w:t>Tvorba rezerv v banskej činnosti je všadeprítomná. Význam majú rezervy napríklad pri rozhodovaní o pokračovaní ťažobnej činnosti, pri kalkulácii nákladov na opravy, pri odhadovaní ceny podniku v prípade predaja a iných situáciách</w:t>
      </w:r>
      <w:r>
        <w:rPr>
          <w:rStyle w:val="Odkaznapoznmkupodiarou"/>
        </w:rPr>
        <w:footnoteReference w:id="21"/>
      </w:r>
      <w:r>
        <w:t xml:space="preserve">. </w:t>
      </w:r>
      <w:r w:rsidR="00C32CB9">
        <w:t>Táto práca bola vypracovaná v podniku s </w:t>
      </w:r>
      <w:r w:rsidR="00752DAD">
        <w:t>dlhou</w:t>
      </w:r>
      <w:r w:rsidR="00C32CB9">
        <w:t xml:space="preserve"> históriou, ktorý má bohaté skúsenosti s tvorbou, použitím, zrušením či zmenou výšky rezerv. </w:t>
      </w:r>
    </w:p>
    <w:p w:rsidR="00131CE1" w:rsidRDefault="00131CE1" w:rsidP="00A01CDB">
      <w:r>
        <w:br w:type="page"/>
      </w:r>
    </w:p>
    <w:p w:rsidR="00C32CB9" w:rsidRDefault="00C32CB9" w:rsidP="00A01CDB"/>
    <w:p w:rsidR="0026252F" w:rsidRDefault="0026252F" w:rsidP="00A01CDB">
      <w:pPr>
        <w:pStyle w:val="Nadpis1"/>
      </w:pPr>
      <w:bookmarkStart w:id="20" w:name="_Toc447622259"/>
      <w:r>
        <w:lastRenderedPageBreak/>
        <w:t>Analýza tvorby rezerv v konkrétnom podniku</w:t>
      </w:r>
      <w:bookmarkEnd w:id="20"/>
    </w:p>
    <w:p w:rsidR="00B77BEF" w:rsidRPr="00B77BEF" w:rsidRDefault="00B77BEF" w:rsidP="00A01CDB"/>
    <w:p w:rsidR="0026252F" w:rsidRDefault="0026252F" w:rsidP="00A01CDB">
      <w:r>
        <w:t xml:space="preserve">V tejto časti sa budeme venovať analýze tvorby a využitia rezerv v spoločnosti Hornonitrianske bane Prievidza, akciová spoločnosť. </w:t>
      </w:r>
      <w:r w:rsidR="00B41148">
        <w:t>Údaje v praktickej časti pochádzajú z údajov e</w:t>
      </w:r>
      <w:r w:rsidR="009C4ACC">
        <w:t>videncie spoločnosti a z osobných</w:t>
      </w:r>
      <w:r w:rsidR="00B41148">
        <w:t xml:space="preserve"> konzultácií so zamestnancom spoločnosti.</w:t>
      </w:r>
    </w:p>
    <w:p w:rsidR="007E52B5" w:rsidRPr="0026252F" w:rsidRDefault="007E52B5" w:rsidP="00A01CDB"/>
    <w:p w:rsidR="00C32CB9" w:rsidRDefault="00C32CB9" w:rsidP="00A01CDB">
      <w:pPr>
        <w:pStyle w:val="Nadpis2"/>
      </w:pPr>
      <w:bookmarkStart w:id="21" w:name="_Toc447622260"/>
      <w:r>
        <w:t>Charakteristika spoločnosti Hornonitrianske bane Prievidza, a.s.</w:t>
      </w:r>
      <w:bookmarkEnd w:id="21"/>
    </w:p>
    <w:p w:rsidR="0026252F" w:rsidRPr="0026252F" w:rsidRDefault="0026252F" w:rsidP="00A01CDB"/>
    <w:p w:rsidR="00C32CB9" w:rsidRDefault="00C32CB9" w:rsidP="00A01CDB">
      <w:pPr>
        <w:tabs>
          <w:tab w:val="left" w:pos="2835"/>
        </w:tabs>
      </w:pPr>
      <w:r w:rsidRPr="0026252F">
        <w:rPr>
          <w:b/>
        </w:rPr>
        <w:t>Obchodné meno</w:t>
      </w:r>
      <w:r w:rsidR="0026252F">
        <w:tab/>
      </w:r>
      <w:r>
        <w:t>Hornonitrianske bane Prievidza, a.s., v skratke HBP, a.s.</w:t>
      </w:r>
    </w:p>
    <w:p w:rsidR="00C32CB9" w:rsidRDefault="00C32CB9" w:rsidP="00A01CDB">
      <w:pPr>
        <w:tabs>
          <w:tab w:val="left" w:pos="2835"/>
        </w:tabs>
      </w:pPr>
      <w:r w:rsidRPr="0026252F">
        <w:rPr>
          <w:b/>
        </w:rPr>
        <w:t>Sídlo</w:t>
      </w:r>
      <w:r w:rsidR="0026252F">
        <w:tab/>
      </w:r>
      <w:r>
        <w:t>Matice slovenskej 10, Prievidza 971 01, Slovenská republika</w:t>
      </w:r>
    </w:p>
    <w:p w:rsidR="00C32CB9" w:rsidRDefault="00C32CB9" w:rsidP="00A01CDB">
      <w:pPr>
        <w:tabs>
          <w:tab w:val="left" w:pos="2835"/>
        </w:tabs>
      </w:pPr>
      <w:r w:rsidRPr="0026252F">
        <w:rPr>
          <w:b/>
        </w:rPr>
        <w:t>IČO</w:t>
      </w:r>
      <w:r w:rsidR="0026252F">
        <w:tab/>
      </w:r>
      <w:r>
        <w:t>36 005 622</w:t>
      </w:r>
    </w:p>
    <w:p w:rsidR="00C32CB9" w:rsidRDefault="00C32CB9" w:rsidP="00A01CDB">
      <w:pPr>
        <w:tabs>
          <w:tab w:val="left" w:pos="2835"/>
        </w:tabs>
      </w:pPr>
      <w:r w:rsidRPr="0026252F">
        <w:rPr>
          <w:b/>
        </w:rPr>
        <w:t>Deň zápisu</w:t>
      </w:r>
      <w:r w:rsidR="0026252F">
        <w:tab/>
      </w:r>
      <w:r>
        <w:t>01.07.1996</w:t>
      </w:r>
    </w:p>
    <w:p w:rsidR="00C32CB9" w:rsidRDefault="00C32CB9" w:rsidP="00A01CDB">
      <w:pPr>
        <w:tabs>
          <w:tab w:val="left" w:pos="2835"/>
        </w:tabs>
      </w:pPr>
      <w:r w:rsidRPr="0026252F">
        <w:rPr>
          <w:b/>
        </w:rPr>
        <w:t>Právna forma</w:t>
      </w:r>
      <w:r w:rsidR="0026252F">
        <w:tab/>
      </w:r>
      <w:r>
        <w:t>akciová spoločnosť</w:t>
      </w:r>
    </w:p>
    <w:p w:rsidR="0026252F" w:rsidRDefault="0026252F" w:rsidP="00A01CDB">
      <w:pPr>
        <w:tabs>
          <w:tab w:val="left" w:pos="2835"/>
        </w:tabs>
      </w:pPr>
    </w:p>
    <w:p w:rsidR="00C32CB9" w:rsidRDefault="002F5604" w:rsidP="00A01CDB">
      <w:r>
        <w:t>Podľa Obchodného registra h</w:t>
      </w:r>
      <w:r w:rsidR="00C32CB9">
        <w:t xml:space="preserve">lavné predmety </w:t>
      </w:r>
      <w:r w:rsidR="0026252F">
        <w:t xml:space="preserve">činnosti </w:t>
      </w:r>
      <w:r w:rsidR="00C32CB9">
        <w:t>spoločnosti v súlade s oprávnením Obvodného banského úradu Pri</w:t>
      </w:r>
      <w:r w:rsidR="004671F0">
        <w:t>evidza z 18.7.1996 sú:</w:t>
      </w:r>
      <w:r w:rsidR="0026646F">
        <w:t xml:space="preserve"> </w:t>
      </w:r>
      <w:r w:rsidR="00C32CB9">
        <w:t>otvárka, príprava a dobývanie výhradných ložísk hnedého uhlia</w:t>
      </w:r>
      <w:r w:rsidR="0026646F">
        <w:t xml:space="preserve">,  </w:t>
      </w:r>
      <w:r w:rsidR="00C32CB9">
        <w:t>zriaďovanie, zabezpečovanie a likvidácia banských diel a</w:t>
      </w:r>
      <w:r w:rsidR="0026646F">
        <w:t> </w:t>
      </w:r>
      <w:r w:rsidR="00C32CB9">
        <w:t>lomov</w:t>
      </w:r>
      <w:r w:rsidR="0026646F">
        <w:t xml:space="preserve">, </w:t>
      </w:r>
      <w:r w:rsidR="00C32CB9">
        <w:t>úprava a zušľachťovanie nerastov vykonávané v súvislosti s ich dobývaní</w:t>
      </w:r>
      <w:r w:rsidR="0026646F">
        <w:t xml:space="preserve">m, </w:t>
      </w:r>
      <w:r w:rsidR="004671F0">
        <w:t xml:space="preserve">zriaďovanie </w:t>
      </w:r>
      <w:r w:rsidR="00C32CB9">
        <w:t>a prevádzka odvalov, výsypiek a </w:t>
      </w:r>
      <w:proofErr w:type="spellStart"/>
      <w:r w:rsidR="00C32CB9">
        <w:t>odkalís</w:t>
      </w:r>
      <w:r w:rsidR="009C4ACC">
        <w:t>k</w:t>
      </w:r>
      <w:proofErr w:type="spellEnd"/>
      <w:r w:rsidR="009C4ACC">
        <w:t xml:space="preserve"> pri </w:t>
      </w:r>
      <w:r w:rsidR="004671F0">
        <w:t>predtým uvedených</w:t>
      </w:r>
      <w:r w:rsidR="0026646F">
        <w:t xml:space="preserve"> činnostiach, </w:t>
      </w:r>
      <w:r w:rsidR="0026252F">
        <w:t>veľkoobchod s pevnými palivami</w:t>
      </w:r>
      <w:r w:rsidR="0026646F">
        <w:t xml:space="preserve"> a </w:t>
      </w:r>
      <w:r w:rsidR="0026252F">
        <w:t>banské záchranárske práce</w:t>
      </w:r>
      <w:r w:rsidR="0026646F">
        <w:t>.</w:t>
      </w:r>
      <w:r w:rsidR="004671F0">
        <w:t xml:space="preserve"> Okrem týchto hlavných činností</w:t>
      </w:r>
      <w:r w:rsidR="00C32CB9">
        <w:t xml:space="preserve"> spoločnosť ďalej vykonáva:</w:t>
      </w:r>
      <w:r w:rsidR="0026646F">
        <w:t xml:space="preserve"> </w:t>
      </w:r>
      <w:r w:rsidR="00C32CB9">
        <w:t>výrobu a rozvod tepla</w:t>
      </w:r>
      <w:r w:rsidR="0026646F">
        <w:t xml:space="preserve">, </w:t>
      </w:r>
      <w:r w:rsidR="00C32CB9">
        <w:t>prevádzkovanie súkromnej bezpečnostnej služby</w:t>
      </w:r>
      <w:r w:rsidR="0026646F">
        <w:t xml:space="preserve">, </w:t>
      </w:r>
      <w:r w:rsidR="0026252F">
        <w:t>staviteľstvo</w:t>
      </w:r>
      <w:r w:rsidR="0026646F">
        <w:t xml:space="preserve">, </w:t>
      </w:r>
      <w:r w:rsidR="00C32CB9">
        <w:t>povrchové úpravy materiálov</w:t>
      </w:r>
      <w:r w:rsidR="0026646F">
        <w:t xml:space="preserve">, </w:t>
      </w:r>
      <w:r w:rsidR="003E2D8F">
        <w:t xml:space="preserve">demolácie a zemné práce, geodetické a kartografické činnosti, výrobu a predaj strojových zariadení, </w:t>
      </w:r>
      <w:r w:rsidR="00C32CB9">
        <w:t>podnikateľské poradenstvo</w:t>
      </w:r>
      <w:r w:rsidR="0026646F">
        <w:t xml:space="preserve">, </w:t>
      </w:r>
      <w:r w:rsidR="00C32CB9">
        <w:t>veľkoobchod a</w:t>
      </w:r>
      <w:r w:rsidR="0026646F">
        <w:t> </w:t>
      </w:r>
      <w:r w:rsidR="00C32CB9">
        <w:t>maloobchod</w:t>
      </w:r>
      <w:r w:rsidR="0026646F">
        <w:t xml:space="preserve">, </w:t>
      </w:r>
      <w:r w:rsidR="00C32CB9">
        <w:t>nakladanie s</w:t>
      </w:r>
      <w:r w:rsidR="0026646F">
        <w:t> </w:t>
      </w:r>
      <w:r w:rsidR="00C32CB9">
        <w:t>odpadmi</w:t>
      </w:r>
      <w:r w:rsidR="0026646F">
        <w:t xml:space="preserve">, </w:t>
      </w:r>
      <w:r w:rsidR="00C32CB9">
        <w:t>cestnú a nákladnú dopravu</w:t>
      </w:r>
      <w:r w:rsidR="0026646F">
        <w:t xml:space="preserve">, prevádzkovanie parkoviska, </w:t>
      </w:r>
      <w:r w:rsidR="003E2D8F">
        <w:t xml:space="preserve">reklamné činnosti, prenájom nehnuteľností, </w:t>
      </w:r>
      <w:r w:rsidR="00C32CB9">
        <w:t>sprostredkovateľskú činnosť</w:t>
      </w:r>
      <w:r w:rsidR="0026252F">
        <w:t xml:space="preserve"> a</w:t>
      </w:r>
      <w:r w:rsidR="00DC5D64">
        <w:t> </w:t>
      </w:r>
      <w:r w:rsidR="0026252F">
        <w:t>iné</w:t>
      </w:r>
      <w:r w:rsidR="00DC5D64">
        <w:t>.</w:t>
      </w:r>
    </w:p>
    <w:p w:rsidR="00983B8D" w:rsidRDefault="00983B8D" w:rsidP="00A01CDB"/>
    <w:p w:rsidR="002F5604" w:rsidRDefault="00C32CB9" w:rsidP="00A01CDB">
      <w:r>
        <w:t>Hornonitrianske bane Prievidza, a.s. (ďalej HBP, a.s.) sú najväčšou uhoľ</w:t>
      </w:r>
      <w:r w:rsidR="00DD2453">
        <w:t xml:space="preserve">nou ťažobnou spoločnosťou </w:t>
      </w:r>
      <w:r>
        <w:t xml:space="preserve">na Slovensku. </w:t>
      </w:r>
      <w:r w:rsidR="006C5AD5">
        <w:t xml:space="preserve">V roku 2015 pokrývala produkcia HBP, a.s. 94% </w:t>
      </w:r>
      <w:r w:rsidR="00697A27">
        <w:t>dodávok hnedého uhlia na slovenskom trhu</w:t>
      </w:r>
      <w:r w:rsidR="00697A27">
        <w:rPr>
          <w:rStyle w:val="Odkaznapoznmkupodiarou"/>
        </w:rPr>
        <w:footnoteReference w:id="22"/>
      </w:r>
      <w:r w:rsidR="00697A27">
        <w:t>.</w:t>
      </w:r>
    </w:p>
    <w:p w:rsidR="00C32CB9" w:rsidRDefault="00C32CB9" w:rsidP="00A01CDB">
      <w:r>
        <w:lastRenderedPageBreak/>
        <w:t>Oblasť Hornej Nitry je lokalizovaná v </w:t>
      </w:r>
      <w:proofErr w:type="spellStart"/>
      <w:r>
        <w:t>stredozápa</w:t>
      </w:r>
      <w:r w:rsidR="002F5604">
        <w:t>dnej</w:t>
      </w:r>
      <w:proofErr w:type="spellEnd"/>
      <w:r w:rsidR="002F5604">
        <w:t xml:space="preserve"> časti Slovenskej republiky, v Trenčianskom </w:t>
      </w:r>
      <w:r w:rsidR="006C1337">
        <w:t xml:space="preserve">kraji. </w:t>
      </w:r>
      <w:r>
        <w:t>Nachádzajú sa tu mest</w:t>
      </w:r>
      <w:r w:rsidR="004671F0">
        <w:t>á Prievidza, Partizánske,</w:t>
      </w:r>
      <w:r w:rsidR="006C1337">
        <w:t xml:space="preserve"> Bojnice</w:t>
      </w:r>
      <w:r w:rsidR="002F5604">
        <w:t>,</w:t>
      </w:r>
      <w:r>
        <w:t> </w:t>
      </w:r>
      <w:r w:rsidR="006C1337">
        <w:t xml:space="preserve">Handlová, </w:t>
      </w:r>
      <w:r>
        <w:t>Nováky</w:t>
      </w:r>
      <w:r w:rsidR="002F5604">
        <w:t xml:space="preserve"> a niekoľko desiatok menších obcí</w:t>
      </w:r>
      <w:r>
        <w:t xml:space="preserve">. </w:t>
      </w:r>
      <w:r w:rsidR="0026646F">
        <w:t>Podľa posledného sčítania obyvateľstva v roku 2011 žije v oblasti</w:t>
      </w:r>
      <w:r w:rsidR="006C5AD5">
        <w:t xml:space="preserve"> približne 185</w:t>
      </w:r>
      <w:r>
        <w:t> 000 obyvateľov.</w:t>
      </w:r>
    </w:p>
    <w:p w:rsidR="00F82895" w:rsidRPr="00F82895" w:rsidRDefault="00F82895" w:rsidP="00A01CDB">
      <w:pPr>
        <w:rPr>
          <w:b/>
        </w:rPr>
      </w:pPr>
      <w:r>
        <w:tab/>
      </w:r>
      <w:r w:rsidRPr="00F82895">
        <w:rPr>
          <w:b/>
        </w:rPr>
        <w:t>Obrázok č.1</w:t>
      </w:r>
      <w:r>
        <w:rPr>
          <w:b/>
        </w:rPr>
        <w:t>: Mapa Slovenska</w:t>
      </w:r>
      <w:r w:rsidR="009C4ACC">
        <w:rPr>
          <w:b/>
        </w:rPr>
        <w:t xml:space="preserve"> s vyznačením lokalizácie sledovaného podniku</w:t>
      </w:r>
    </w:p>
    <w:p w:rsidR="00C32CB9" w:rsidRDefault="006C1337" w:rsidP="00A01CDB">
      <w:r>
        <w:rPr>
          <w:noProof/>
          <w:lang w:eastAsia="sk-SK"/>
        </w:rPr>
        <w:drawing>
          <wp:inline distT="0" distB="0" distL="0" distR="0">
            <wp:extent cx="4381500" cy="2265143"/>
            <wp:effectExtent l="19050" t="0" r="0" b="0"/>
            <wp:docPr id="1" name="Obrázok 0" descr="region_0008_horna_nit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ion_0008_horna_nitra.jpg"/>
                    <pic:cNvPicPr/>
                  </pic:nvPicPr>
                  <pic:blipFill>
                    <a:blip r:embed="rId11" cstate="print"/>
                    <a:stretch>
                      <a:fillRect/>
                    </a:stretch>
                  </pic:blipFill>
                  <pic:spPr>
                    <a:xfrm>
                      <a:off x="0" y="0"/>
                      <a:ext cx="4379086" cy="2263895"/>
                    </a:xfrm>
                    <a:prstGeom prst="rect">
                      <a:avLst/>
                    </a:prstGeom>
                  </pic:spPr>
                </pic:pic>
              </a:graphicData>
            </a:graphic>
          </wp:inline>
        </w:drawing>
      </w:r>
    </w:p>
    <w:p w:rsidR="00C32CB9" w:rsidRPr="006C1337" w:rsidRDefault="006C1337" w:rsidP="00A01CDB">
      <w:pPr>
        <w:rPr>
          <w:i/>
          <w:sz w:val="20"/>
          <w:szCs w:val="20"/>
        </w:rPr>
      </w:pPr>
      <w:r w:rsidRPr="006C1337">
        <w:rPr>
          <w:i/>
          <w:sz w:val="20"/>
          <w:szCs w:val="20"/>
        </w:rPr>
        <w:t>Zdroj:http://img.nehnutelnosti.sk/stories/Magazin/Rekreacne_domy/region_0008_horna_nitra.jpg</w:t>
      </w:r>
    </w:p>
    <w:p w:rsidR="00C32CB9" w:rsidRDefault="00C32CB9" w:rsidP="00A01CDB"/>
    <w:p w:rsidR="00C32CB9" w:rsidRDefault="00C32CB9" w:rsidP="00A01CDB">
      <w:r>
        <w:t xml:space="preserve">Ložiská hnedého uhlia sa na Slovensku okrem regiónu Hornej Nitry nachádzajú ešte v okolí Veľkého Krtíša a v malej miere na Záhorí. </w:t>
      </w:r>
    </w:p>
    <w:p w:rsidR="00983B8D" w:rsidRDefault="00983B8D" w:rsidP="00A01CDB"/>
    <w:p w:rsidR="00C32CB9" w:rsidRDefault="00C32CB9" w:rsidP="00A01CDB">
      <w:r>
        <w:t xml:space="preserve">Prvé pokusy o ťažbu uhlia v tejto oblasti začali na konci 18.storočia, kedy sa </w:t>
      </w:r>
      <w:r w:rsidR="00752DAD">
        <w:t>skúšobne</w:t>
      </w:r>
      <w:r>
        <w:t xml:space="preserve"> vyťažilo niekoľko vozov uhlia. Avšak jeho doprava bola veľmi </w:t>
      </w:r>
      <w:r w:rsidR="00A639D0">
        <w:t xml:space="preserve">drahá a bojnický gróf Ján </w:t>
      </w:r>
      <w:proofErr w:type="spellStart"/>
      <w:r w:rsidR="00A639D0">
        <w:t>Pálfi</w:t>
      </w:r>
      <w:proofErr w:type="spellEnd"/>
      <w:r>
        <w:t xml:space="preserve"> s ťažbou nesúhlasil. V druhej polovici 19. storočia sa ťažba obnovila, keď sa moci ujal </w:t>
      </w:r>
      <w:r w:rsidR="006C5AD5">
        <w:t xml:space="preserve">jeho syn, </w:t>
      </w:r>
      <w:r w:rsidR="00A639D0">
        <w:t xml:space="preserve">gróf Ján </w:t>
      </w:r>
      <w:proofErr w:type="spellStart"/>
      <w:r w:rsidR="00A639D0">
        <w:t>Pálfi</w:t>
      </w:r>
      <w:proofErr w:type="spellEnd"/>
      <w:r>
        <w:t xml:space="preserve"> mladší. Ten videl v baníctve potenciál a zabezpečil si právo na ťažbu v celej oblasti. O uhlie však nebol veľký záujem kvôli pretrvávajúcim problémom s dopravou. Až začiatkom 20. storočia prejavila o ložisko záujem </w:t>
      </w:r>
      <w:proofErr w:type="spellStart"/>
      <w:r>
        <w:t>Západouhorská</w:t>
      </w:r>
      <w:proofErr w:type="spellEnd"/>
      <w:r>
        <w:t xml:space="preserve"> kamennouhoľná účastinná spoločnosť so sídlom v Budapešti a to bol zároveň začiatok systematickej priemyselnej ťažby hnedého uhlia v tejto oblasti. Dňa 1.7.1909 bola uzavretá zmluva o prenájme na dobu 60 rokov a v tomto období začali aj práce na výstavbe bane</w:t>
      </w:r>
      <w:r w:rsidR="0086705C">
        <w:rPr>
          <w:rStyle w:val="Odkaznapoznmkupodiarou"/>
        </w:rPr>
        <w:footnoteReference w:id="23"/>
      </w:r>
      <w:r>
        <w:t xml:space="preserve">. </w:t>
      </w:r>
    </w:p>
    <w:p w:rsidR="00983B8D" w:rsidRDefault="00983B8D" w:rsidP="00A01CDB"/>
    <w:p w:rsidR="00474EBC" w:rsidRDefault="00C32CB9" w:rsidP="00A01CDB">
      <w:r>
        <w:t xml:space="preserve">Ťažba pokračovala v priebehu celého storočia a spolu s tým sa pravidelne menili aj vlastníci bane. </w:t>
      </w:r>
      <w:r w:rsidR="009C3136">
        <w:t>Ešte počas druhej svetovej vojny boli Bane jediným ťažobným podnikom na Slovensku.</w:t>
      </w:r>
      <w:r w:rsidR="00474EBC">
        <w:t xml:space="preserve"> Po predchádzajúcom útlme investičnej výstavby nastal v sedemdesiatych rokov opäť rozmach energetického priemyslu a vznikol tlak na rozvoj ťažby. </w:t>
      </w:r>
      <w:r w:rsidR="007365C7">
        <w:t xml:space="preserve">V tomto čase </w:t>
      </w:r>
      <w:r w:rsidR="009C4ACC">
        <w:t xml:space="preserve">sa </w:t>
      </w:r>
      <w:r w:rsidR="007365C7">
        <w:t xml:space="preserve">podnik nazýval </w:t>
      </w:r>
      <w:r w:rsidR="007365C7">
        <w:lastRenderedPageBreak/>
        <w:t>Uhoľné a lignitové bane a už zahŕňal aj pridružené organizácie zamerané na banský výskum, projektovanie, či strojársku základňu.</w:t>
      </w:r>
      <w:r w:rsidR="009C3136">
        <w:t xml:space="preserve"> </w:t>
      </w:r>
      <w:r w:rsidR="007365C7">
        <w:t xml:space="preserve">V roku 1989 sa podnik premenoval na Slovenské uhoľné bane, no v roku 1993 sa rozdelil na sedem menších subjektov. </w:t>
      </w:r>
      <w:r w:rsidR="009C3136">
        <w:t xml:space="preserve">Začiatkom roka </w:t>
      </w:r>
      <w:r>
        <w:t xml:space="preserve">1993 sa </w:t>
      </w:r>
      <w:r w:rsidR="009C3136">
        <w:t xml:space="preserve">rozhodnutím vlády </w:t>
      </w:r>
      <w:r>
        <w:t>zriadil štátny podnik Hornonitrianske bane Prievidza spolu s Baňou Handlová ako odštepným závodom</w:t>
      </w:r>
      <w:r w:rsidR="002E5A51">
        <w:rPr>
          <w:rStyle w:val="Odkaznapoznmkupodiarou"/>
        </w:rPr>
        <w:footnoteReference w:id="24"/>
      </w:r>
      <w:r>
        <w:t xml:space="preserve">. </w:t>
      </w:r>
    </w:p>
    <w:p w:rsidR="00983B8D" w:rsidRDefault="00983B8D" w:rsidP="00A01CDB"/>
    <w:p w:rsidR="00C32CB9" w:rsidRDefault="00C32CB9" w:rsidP="00A01CDB">
      <w:r>
        <w:t xml:space="preserve">Po privatizácií v rokoch 1996 - 1997 sa </w:t>
      </w:r>
      <w:r w:rsidR="009C3136">
        <w:t xml:space="preserve">hlavným </w:t>
      </w:r>
      <w:r>
        <w:t>vlastníkom stala Hornonitrianske bane zamestnanecká, akciová spoločnosť</w:t>
      </w:r>
      <w:r w:rsidR="00DD2453">
        <w:t>. Spoločnosť má v súčasnosti 3 417</w:t>
      </w:r>
      <w:r>
        <w:t xml:space="preserve"> zamestnancov (stav k 31.12.2015). </w:t>
      </w:r>
    </w:p>
    <w:p w:rsidR="00C32CB9" w:rsidRDefault="00C32CB9" w:rsidP="00A01CDB"/>
    <w:p w:rsidR="00C32CB9" w:rsidRDefault="00C32CB9" w:rsidP="00A01CDB">
      <w:pPr>
        <w:pStyle w:val="Nadpis2"/>
      </w:pPr>
      <w:bookmarkStart w:id="22" w:name="_Toc447622261"/>
      <w:r>
        <w:t>Tvorba rezerv v HBP, a.s.</w:t>
      </w:r>
      <w:bookmarkEnd w:id="22"/>
    </w:p>
    <w:p w:rsidR="00DC5D64" w:rsidRPr="00DC5D64" w:rsidRDefault="00DC5D64" w:rsidP="00A01CDB"/>
    <w:p w:rsidR="00C32CB9" w:rsidRDefault="00C32CB9" w:rsidP="00A01CDB">
      <w:r>
        <w:t xml:space="preserve">Každá spoločnosť sa pri vytváraní rezerv musí  </w:t>
      </w:r>
      <w:r w:rsidR="004C1C5A">
        <w:t xml:space="preserve">najprv </w:t>
      </w:r>
      <w:r>
        <w:t>zamyslieť nad svojimi hlavnými činnosťami a podľa toho následne tvoriť rezervy. Jednou z hlavných činností HBP, a.s. je dobývanie ložísk uhlia. Táto činnosť má počas</w:t>
      </w:r>
      <w:r w:rsidR="00DD2453">
        <w:t xml:space="preserve"> ťažby</w:t>
      </w:r>
      <w:r>
        <w:t xml:space="preserve">, </w:t>
      </w:r>
      <w:r w:rsidR="00DD2453">
        <w:t xml:space="preserve">ako </w:t>
      </w:r>
      <w:r>
        <w:t xml:space="preserve">aj po </w:t>
      </w:r>
      <w:r w:rsidR="00DD2453">
        <w:t>jej ukončení,</w:t>
      </w:r>
      <w:r>
        <w:t xml:space="preserve"> negatívne dôsledky, ktoré je spoločnosť zo zákona povinná zmierniť alebo odstrániť. Patrí medzi ne vznik </w:t>
      </w:r>
      <w:proofErr w:type="spellStart"/>
      <w:r>
        <w:t>poddolovaných</w:t>
      </w:r>
      <w:proofErr w:type="spellEnd"/>
      <w:r>
        <w:t xml:space="preserve"> území,</w:t>
      </w:r>
      <w:r w:rsidR="00752DAD">
        <w:t xml:space="preserve"> prepadlísk,</w:t>
      </w:r>
      <w:r>
        <w:t xml:space="preserve"> vplyv na faunu a flóru na povrchu, vznik nepoužívaných banských diel, skládok a iné. Odstránenie týchto</w:t>
      </w:r>
      <w:r w:rsidR="00834069">
        <w:t xml:space="preserve"> problémov je finančne náročné a bez náležitej prípravy by </w:t>
      </w:r>
      <w:r w:rsidR="00681747">
        <w:t xml:space="preserve">s tým </w:t>
      </w:r>
      <w:r w:rsidR="00834069">
        <w:t>mohol podnik m</w:t>
      </w:r>
      <w:r w:rsidR="00681747">
        <w:t xml:space="preserve">ať problém. Preto vytvára  pre tento účel rezervy, ktoré zabezpečujú, že pri odstraňovaní následkov činnosti nebude musieť podnik vynaložiť zdroje naraz, ale bude mať pripravené prostriedky už niekoľko rokov vopred. </w:t>
      </w:r>
    </w:p>
    <w:p w:rsidR="00983B8D" w:rsidRDefault="00983B8D" w:rsidP="00A01CDB"/>
    <w:p w:rsidR="00C32CB9" w:rsidRDefault="00C32CB9" w:rsidP="00A01CDB">
      <w:r>
        <w:t xml:space="preserve">V práci sme </w:t>
      </w:r>
      <w:r w:rsidR="00205ED9">
        <w:t>sa zamerali na dva druhy rezerv</w:t>
      </w:r>
      <w:r>
        <w:t xml:space="preserve"> a to rezervy na banské škody a rezer</w:t>
      </w:r>
      <w:r w:rsidR="00205ED9">
        <w:t>vy na likvidáciu banských diel.</w:t>
      </w:r>
      <w:r>
        <w:t xml:space="preserve"> V rámci svojej činnosti tvoria HBP, a.s. aj množstvo iných rezerv, ale tými sa v tejto práci nebudeme </w:t>
      </w:r>
      <w:r w:rsidR="004C1C5A">
        <w:t xml:space="preserve">bližšie </w:t>
      </w:r>
      <w:r>
        <w:t xml:space="preserve">zaoberať. </w:t>
      </w:r>
      <w:r w:rsidR="004C1C5A">
        <w:t>Jedná sa napríklad o rezervy na nevyplatené prémie, na odmeny členom orgánov spoločnosti, na zamestnanecké požitky, rezervy na vyťažený nerast, rezervy na reklamácie alebo nevýhodné zmluvy.</w:t>
      </w:r>
    </w:p>
    <w:p w:rsidR="00C32CB9" w:rsidRDefault="00C32CB9" w:rsidP="00A01CDB"/>
    <w:p w:rsidR="00983B8D" w:rsidRDefault="00983B8D">
      <w:pPr>
        <w:rPr>
          <w:rFonts w:eastAsiaTheme="majorEastAsia" w:cstheme="majorBidi"/>
          <w:b/>
          <w:bCs/>
          <w:color w:val="000000" w:themeColor="text1"/>
          <w:sz w:val="28"/>
          <w:szCs w:val="26"/>
        </w:rPr>
      </w:pPr>
      <w:bookmarkStart w:id="23" w:name="_Toc447622262"/>
      <w:r>
        <w:br w:type="page"/>
      </w:r>
    </w:p>
    <w:p w:rsidR="00C32CB9" w:rsidRDefault="00C32CB9" w:rsidP="00A01CDB">
      <w:pPr>
        <w:pStyle w:val="Nadpis2"/>
      </w:pPr>
      <w:r>
        <w:lastRenderedPageBreak/>
        <w:t>Tvorba a použitie rezerv na banské škody</w:t>
      </w:r>
      <w:bookmarkEnd w:id="23"/>
    </w:p>
    <w:p w:rsidR="00DC5D64" w:rsidRDefault="00DC5D64" w:rsidP="00A01CDB"/>
    <w:p w:rsidR="002E5A51" w:rsidRDefault="002F5604" w:rsidP="00A01CDB">
      <w:r>
        <w:t xml:space="preserve">Banská činnosť môže prebiehať povrchovo alebo v podzemí. Každá má iné špecifiká a iný dopad na životné prostredie. Povrchová ťažba je jednoduchšia a menej nákladná, ale má obvykle väčší vplyv na životné prostredie a obyvateľstvo. Podzemná ťažba sa realizuje vykopaním podzemných tunelov v hĺbke aj niekoľko stoviek metrov pod zemou a až na tomto mieste prebieha ťažba </w:t>
      </w:r>
      <w:r w:rsidR="009C4ACC">
        <w:t xml:space="preserve">uhlia alebo </w:t>
      </w:r>
      <w:r>
        <w:t xml:space="preserve">rudy. Podzemná ťažba je oveľa nákladnejšia ako povrchová, ale jej následky bývajú zvyčajne menšie a voľným okom menej viditeľné. </w:t>
      </w:r>
      <w:r w:rsidR="002E5A51">
        <w:t>V HBP, a.s. prebieha ťažba hlbinným, podzemným spôsobom, teda sa zameriame l</w:t>
      </w:r>
      <w:r w:rsidR="009C4ACC">
        <w:t>en na následky tejto činnosti.</w:t>
      </w:r>
      <w:r w:rsidR="002E5A51">
        <w:t xml:space="preserve"> </w:t>
      </w:r>
    </w:p>
    <w:p w:rsidR="007E52B5" w:rsidRPr="00DC5D64" w:rsidRDefault="007E52B5" w:rsidP="00A01CDB"/>
    <w:p w:rsidR="002A7912" w:rsidRDefault="002A7912" w:rsidP="00A01CDB">
      <w:pPr>
        <w:pStyle w:val="Nadpis3"/>
      </w:pPr>
      <w:bookmarkStart w:id="24" w:name="_Toc447622263"/>
      <w:r>
        <w:t>Tvorba rezerv</w:t>
      </w:r>
      <w:bookmarkEnd w:id="24"/>
    </w:p>
    <w:p w:rsidR="002A7912" w:rsidRPr="002A7912" w:rsidRDefault="002A7912" w:rsidP="00A01CDB"/>
    <w:p w:rsidR="003148A8" w:rsidRDefault="00C32CB9" w:rsidP="00A01CDB">
      <w:r>
        <w:t>Rezervy na banské škody sa do konca roku 1990</w:t>
      </w:r>
      <w:r w:rsidR="00205ED9">
        <w:t xml:space="preserve"> netvorili. V prípade potreby (</w:t>
      </w:r>
      <w:r>
        <w:t xml:space="preserve">škody, asanácie, rekultivácie) poskytlo finančné prostriedky Ministerstvo palív </w:t>
      </w:r>
      <w:r w:rsidR="00205ED9">
        <w:t>a energetiky so sídlom v Prahe.</w:t>
      </w:r>
      <w:r>
        <w:t xml:space="preserve"> </w:t>
      </w:r>
      <w:r w:rsidR="003148A8">
        <w:t>V súčasnosti tvorí HBP, a.s. rezervy podľa  Zákona č. 44/1988 Z.</w:t>
      </w:r>
      <w:r w:rsidR="00205ED9">
        <w:t xml:space="preserve"> </w:t>
      </w:r>
      <w:r w:rsidR="003148A8">
        <w:t>z. (banský záko</w:t>
      </w:r>
      <w:r w:rsidR="00983B8D">
        <w:t>n)</w:t>
      </w:r>
      <w:r w:rsidR="003148A8">
        <w:t>.</w:t>
      </w:r>
    </w:p>
    <w:p w:rsidR="00983B8D" w:rsidRPr="00310444" w:rsidRDefault="00983B8D" w:rsidP="00A01CDB"/>
    <w:p w:rsidR="00C32CB9" w:rsidRDefault="00625380" w:rsidP="00A01CDB">
      <w:r>
        <w:t xml:space="preserve">V </w:t>
      </w:r>
      <w:r w:rsidR="00C32CB9">
        <w:t>podniku sa tvorbou týchto rezerv zaoberá Odde</w:t>
      </w:r>
      <w:r w:rsidR="004C1C5A">
        <w:t xml:space="preserve">lenie environmentálnych záťaží - odborný útvar zodpovedný za rekultivácie, riešenie škôd, výkupy objektov a zabezpečenie asanácií. </w:t>
      </w:r>
      <w:r w:rsidR="00C32CB9">
        <w:t xml:space="preserve">Vykoná odhad výšky budúceho výdavku a pravidelne ho aktualizuje ku dňu zostavenia ročnej účtovnej uzávierky. Posúdi, či nenastali dôvody pre zrušenie rezervy, zmenu jej výšky, alebo pre jej čerpanie. </w:t>
      </w:r>
    </w:p>
    <w:p w:rsidR="00983B8D" w:rsidRDefault="00983B8D" w:rsidP="00A01CDB"/>
    <w:p w:rsidR="003148A8" w:rsidRDefault="003148A8" w:rsidP="00A01CDB">
      <w:r>
        <w:t xml:space="preserve">Patrí sem v prvom rade tvorba rezerv na náhrady škôd spôsobených banskou činnosťou. Tvorí sa kvôli zníženiu výnosov poľnohospodárskej alebo lesnej produkcie na </w:t>
      </w:r>
      <w:proofErr w:type="spellStart"/>
      <w:r>
        <w:t>poddolovanom</w:t>
      </w:r>
      <w:proofErr w:type="spellEnd"/>
      <w:r>
        <w:t xml:space="preserve"> území, kde sa vplyvom poklesu úplne alebo čiastočne znehodnotí kvalita pôdy a tým aj jej produkčná schopnosť.</w:t>
      </w:r>
      <w:r w:rsidR="00DC5D64">
        <w:t xml:space="preserve"> Spoločnosť by mala začať tvoriť rezervu od začiatku </w:t>
      </w:r>
      <w:r w:rsidR="00DD2453">
        <w:t>takej činnosti</w:t>
      </w:r>
      <w:r w:rsidR="00DC5D64">
        <w:t>,</w:t>
      </w:r>
      <w:r w:rsidR="00DD2453">
        <w:t xml:space="preserve"> ktorej dôsledky povedú ku vzniku škody,</w:t>
      </w:r>
      <w:r w:rsidR="00DC5D64">
        <w:t xml:space="preserve"> no niekedy je otázne, kedy presne škoda začína vznikať. Pri otváraní nového ťažobného poľa sa najprv </w:t>
      </w:r>
      <w:r w:rsidR="00A639D0">
        <w:t>vyrazia chodby, ktoré sa samy o</w:t>
      </w:r>
      <w:r w:rsidR="00DC5D64">
        <w:t>sebe na povrch</w:t>
      </w:r>
      <w:r w:rsidR="00DD2453">
        <w:t>u</w:t>
      </w:r>
      <w:r w:rsidR="00DC5D64">
        <w:t xml:space="preserve"> neprejavia. So začiatkom ťažby začne na povrchu nad dotknutým územím klesať </w:t>
      </w:r>
      <w:r w:rsidR="00DD2453">
        <w:t>pôda a až v tomto čase</w:t>
      </w:r>
      <w:r w:rsidR="00DC5D64">
        <w:t xml:space="preserve"> začne vznikať škoda. HBP, a.s. teda za</w:t>
      </w:r>
      <w:r w:rsidR="002A7912">
        <w:t xml:space="preserve">čína tvoriť rezervu až okamihu </w:t>
      </w:r>
      <w:r w:rsidR="002A7912">
        <w:lastRenderedPageBreak/>
        <w:t>začatia ťažby, ako príčiny tohto javu.</w:t>
      </w:r>
      <w:r>
        <w:t xml:space="preserve"> Škody vznikajú každoročne a riešené sú na zmluvnom základe peňažnou formou (prípadne</w:t>
      </w:r>
      <w:r w:rsidR="00A639D0">
        <w:t xml:space="preserve"> poskytnutím náhradného pozemku</w:t>
      </w:r>
      <w:r>
        <w:t xml:space="preserve">) so subjektom hospodáriacim na dotknutých pozemkoch. </w:t>
      </w:r>
    </w:p>
    <w:p w:rsidR="00983B8D" w:rsidRDefault="00983B8D" w:rsidP="00A01CDB"/>
    <w:p w:rsidR="003148A8" w:rsidRDefault="003148A8" w:rsidP="00A01CDB">
      <w:r>
        <w:t>Rezervy na výkupy povrchových objektov sú tvorené</w:t>
      </w:r>
      <w:r w:rsidR="00DD2453">
        <w:t>,</w:t>
      </w:r>
      <w:r>
        <w:t xml:space="preserve"> pokiaľ je pri plánovanej otvárke alebo dobývaní ložiska predpoklad negatívneho dosahu n</w:t>
      </w:r>
      <w:r w:rsidR="00625380">
        <w:t>a</w:t>
      </w:r>
      <w:r>
        <w:t xml:space="preserve"> objekty na povrchu. Spoločnosť je povinná v predstihu riešiť strety záujmov s vlastníkmi dotknutých objektov. Napríklad môže ísť o budovy na </w:t>
      </w:r>
      <w:proofErr w:type="spellStart"/>
      <w:r>
        <w:t>poddolovanom</w:t>
      </w:r>
      <w:proofErr w:type="spellEnd"/>
      <w:r>
        <w:t xml:space="preserve"> území, ktoré sa vplyvom ťažby </w:t>
      </w:r>
      <w:r w:rsidR="00232CE5">
        <w:t>bude časom prepadávať</w:t>
      </w:r>
      <w:r w:rsidR="0073227D">
        <w:t>, naruší sa ich statika</w:t>
      </w:r>
      <w:r w:rsidR="00232CE5">
        <w:t xml:space="preserve"> a nebudú už obývateľné. </w:t>
      </w:r>
      <w:r>
        <w:t>Rezervy na asanácie povrchových objektov sa tvoria pred začatím banskej činnosti, resp. poškodením povrchových objektov touto činnosťou</w:t>
      </w:r>
      <w:r w:rsidR="00205ED9">
        <w:t xml:space="preserve">. </w:t>
      </w:r>
      <w:r w:rsidR="00DD2453">
        <w:t xml:space="preserve">Asanáciou rozumieme </w:t>
      </w:r>
      <w:r>
        <w:t>náklady, ktoré vzniknú v súvislosti s likvidáciou povrchových objektov.</w:t>
      </w:r>
      <w:r w:rsidR="00A639D0">
        <w:t xml:space="preserve"> </w:t>
      </w:r>
      <w:r w:rsidR="002867E3">
        <w:t xml:space="preserve">Tieto rezervy nie sú daňovo </w:t>
      </w:r>
      <w:r>
        <w:t xml:space="preserve">uznateľné. </w:t>
      </w:r>
    </w:p>
    <w:p w:rsidR="00983B8D" w:rsidRDefault="00983B8D" w:rsidP="00A01CDB"/>
    <w:p w:rsidR="00184163" w:rsidRDefault="00625380" w:rsidP="00A01CDB">
      <w:r>
        <w:t xml:space="preserve">Rezervy na projekty sa </w:t>
      </w:r>
      <w:r w:rsidR="002A7912">
        <w:t>vytvárajú v prípadoch, keď rozsah a charakter rekultivačných práv zo zákona podlieha stavebnému konaniu na príslušnom stavebnom úrade, pričom k tomuto účelu je potrebné mať vypracovanú projektovú dokumentáciu.</w:t>
      </w:r>
      <w:r w:rsidR="00205ED9">
        <w:t xml:space="preserve"> </w:t>
      </w:r>
      <w:r>
        <w:t xml:space="preserve">Rezervy na rekultivácie </w:t>
      </w:r>
      <w:r w:rsidR="004A125F">
        <w:t xml:space="preserve">sa tvoria od doby, kedy sa začala realizovať ťažba pod dotknutým územím (po vydolovaní určitej časti ťažobného poľa začnú vznikať na povrchu poklesy pôdy, ktoré sa zaplnia </w:t>
      </w:r>
      <w:r w:rsidR="008A46EF">
        <w:t xml:space="preserve">spodnou </w:t>
      </w:r>
      <w:r w:rsidR="004A125F">
        <w:t>vodou a po dokončení ťažby musí podnik toto územie vrátiť do pôvodného stavu - napríklad zasypať). Po dokončení ťažby</w:t>
      </w:r>
      <w:r w:rsidR="008A46EF">
        <w:t xml:space="preserve"> podnik musí ešte určité obdobie čakať</w:t>
      </w:r>
      <w:r w:rsidR="004A125F">
        <w:t xml:space="preserve"> kým sa pôda usadí a </w:t>
      </w:r>
      <w:r w:rsidR="00A639D0">
        <w:t>následne dochádza k rekultivácii</w:t>
      </w:r>
      <w:r w:rsidR="004A125F">
        <w:t>.</w:t>
      </w:r>
      <w:r w:rsidR="00184163">
        <w:t xml:space="preserve"> </w:t>
      </w:r>
      <w:r w:rsidR="008A46EF">
        <w:t>Proces usádzania a stabilizo</w:t>
      </w:r>
      <w:r w:rsidR="00472FB7">
        <w:t>vania daného stavu závis</w:t>
      </w:r>
      <w:r w:rsidR="008A46EF">
        <w:t>í najmä od charakteru nadložných vrstiev a</w:t>
      </w:r>
      <w:r w:rsidR="00472FB7">
        <w:t> </w:t>
      </w:r>
      <w:r w:rsidR="008A46EF">
        <w:t>trvá</w:t>
      </w:r>
      <w:r w:rsidR="00472FB7">
        <w:t xml:space="preserve"> </w:t>
      </w:r>
      <w:r w:rsidR="008A46EF">
        <w:t xml:space="preserve">obvykle dva roky od úplného ukončenia ťažby v danej lokalite. </w:t>
      </w:r>
      <w:r w:rsidR="00184163">
        <w:t>Rezerva musí</w:t>
      </w:r>
      <w:r w:rsidR="004A125F">
        <w:t xml:space="preserve"> byť vytvo</w:t>
      </w:r>
      <w:r w:rsidR="00472FB7">
        <w:t>rená v plnej výške ku koncu roka</w:t>
      </w:r>
      <w:r w:rsidR="004A125F">
        <w:t xml:space="preserve"> predchádzajúcemu roku, kedy má byť rekultivácia uskutočnená.</w:t>
      </w:r>
      <w:r w:rsidR="00595DC5">
        <w:t xml:space="preserve"> </w:t>
      </w:r>
      <w:r w:rsidR="00184163">
        <w:t xml:space="preserve">Posledné dve </w:t>
      </w:r>
      <w:r w:rsidR="00472FB7">
        <w:t>uvedené</w:t>
      </w:r>
      <w:r w:rsidR="00184163">
        <w:t xml:space="preserve"> rezervy</w:t>
      </w:r>
      <w:r w:rsidR="00772DD2">
        <w:t>,</w:t>
      </w:r>
      <w:r w:rsidR="00CD6012">
        <w:t xml:space="preserve"> rezervy na rekultivácie a rezervy na projekty,</w:t>
      </w:r>
      <w:r w:rsidR="00184163">
        <w:t xml:space="preserve"> patria od 1</w:t>
      </w:r>
      <w:r w:rsidR="00CD6012">
        <w:t>.1.2006 medzi daňovo uznateľné.</w:t>
      </w:r>
    </w:p>
    <w:p w:rsidR="007E52B5" w:rsidRDefault="007E52B5" w:rsidP="00A01CDB"/>
    <w:p w:rsidR="00472FB7" w:rsidRDefault="00472FB7" w:rsidP="00A01CDB">
      <w:pPr>
        <w:pStyle w:val="Nadpis3"/>
      </w:pPr>
      <w:bookmarkStart w:id="25" w:name="_Toc447622264"/>
      <w:r>
        <w:t>Použitie rezerv</w:t>
      </w:r>
      <w:bookmarkEnd w:id="25"/>
    </w:p>
    <w:p w:rsidR="00472FB7" w:rsidRPr="00472FB7" w:rsidRDefault="00472FB7" w:rsidP="00A01CDB"/>
    <w:p w:rsidR="002867E3" w:rsidRDefault="00472FB7" w:rsidP="00A01CDB">
      <w:r>
        <w:t xml:space="preserve">Dobrým príkladom na prejavy banských škôd a vplyvu na životné prostredie </w:t>
      </w:r>
      <w:r w:rsidR="002867E3">
        <w:t xml:space="preserve">je pokles pôdy a vznik </w:t>
      </w:r>
      <w:r w:rsidR="00BD0F03">
        <w:t>m</w:t>
      </w:r>
      <w:r w:rsidR="002867E3">
        <w:t>okradí v obci Koš pri Prievidzi. V 50.</w:t>
      </w:r>
      <w:r w:rsidR="000B3EE8">
        <w:t xml:space="preserve"> </w:t>
      </w:r>
      <w:r w:rsidR="002867E3">
        <w:t>rokoch minulého storočia bolo objavené významné nálezisko hnedého uhlia pod územím obce a od tejto doby tu platil</w:t>
      </w:r>
      <w:r w:rsidR="00A76803">
        <w:t xml:space="preserve">a stavebná uzávera. Na konci 70. </w:t>
      </w:r>
      <w:r w:rsidR="002867E3">
        <w:t>rokov sa tu uhlie začalo ťažiť a to znamenalo, že časť obyvateľov obce sa musela zo svojich domov vysťahovať, pretože sa začali prejavovať problémy so stat</w:t>
      </w:r>
      <w:r w:rsidR="00A76803">
        <w:t xml:space="preserve">ikou </w:t>
      </w:r>
      <w:r w:rsidR="00A76803">
        <w:lastRenderedPageBreak/>
        <w:t xml:space="preserve">v dôsledku poklesov pôdy. </w:t>
      </w:r>
      <w:r w:rsidR="00383718">
        <w:t>Väčšina obyvateľov sa presťahovala</w:t>
      </w:r>
      <w:r w:rsidR="002867E3">
        <w:t xml:space="preserve"> </w:t>
      </w:r>
      <w:r w:rsidR="00383718">
        <w:t xml:space="preserve">do </w:t>
      </w:r>
      <w:r w:rsidR="002867E3">
        <w:t>obce Kanianka</w:t>
      </w:r>
      <w:r w:rsidR="00383718">
        <w:t>, kde podnik pre tento účel postavil sídlisko</w:t>
      </w:r>
      <w:r w:rsidR="002867E3">
        <w:t>. Z pôvodných 3500 obyvat</w:t>
      </w:r>
      <w:r w:rsidR="002B62DF">
        <w:t>eľov žilo na začiatku 90. rokov</w:t>
      </w:r>
      <w:r w:rsidR="002867E3">
        <w:t xml:space="preserve"> v obci len okolo 700 obyvateľov a zdalo sa, že obec pomaly zanikne. Nestalo sa tak, podľa sčítania ľudu v roku 2011 mala obec v tomto čase 1154 obyvateľov</w:t>
      </w:r>
      <w:r w:rsidR="002867E3">
        <w:rPr>
          <w:rStyle w:val="Odkaznapoznmkupodiarou"/>
        </w:rPr>
        <w:footnoteReference w:id="25"/>
      </w:r>
      <w:r w:rsidR="002867E3">
        <w:t>.</w:t>
      </w:r>
    </w:p>
    <w:p w:rsidR="00983B8D" w:rsidRPr="00983B8D" w:rsidRDefault="00983B8D" w:rsidP="00A01CDB">
      <w:pPr>
        <w:rPr>
          <w:b/>
        </w:rPr>
      </w:pPr>
      <w:r w:rsidRPr="00983B8D">
        <w:rPr>
          <w:b/>
        </w:rPr>
        <w:t>Obrázok č.2: Mokrade</w:t>
      </w:r>
    </w:p>
    <w:p w:rsidR="00983B8D" w:rsidRDefault="00983B8D" w:rsidP="00A01CDB">
      <w:r w:rsidRPr="00983B8D">
        <w:rPr>
          <w:noProof/>
          <w:lang w:eastAsia="sk-SK"/>
        </w:rPr>
        <w:drawing>
          <wp:inline distT="0" distB="0" distL="0" distR="0">
            <wp:extent cx="3127911" cy="2345934"/>
            <wp:effectExtent l="19050" t="0" r="0" b="0"/>
            <wp:docPr id="11" name="Obrázok 3" descr="Koš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š3.jpg"/>
                    <pic:cNvPicPr/>
                  </pic:nvPicPr>
                  <pic:blipFill>
                    <a:blip r:embed="rId12" cstate="print"/>
                    <a:stretch>
                      <a:fillRect/>
                    </a:stretch>
                  </pic:blipFill>
                  <pic:spPr>
                    <a:xfrm>
                      <a:off x="0" y="0"/>
                      <a:ext cx="3140410" cy="2355308"/>
                    </a:xfrm>
                    <a:prstGeom prst="rect">
                      <a:avLst/>
                    </a:prstGeom>
                  </pic:spPr>
                </pic:pic>
              </a:graphicData>
            </a:graphic>
          </wp:inline>
        </w:drawing>
      </w:r>
    </w:p>
    <w:p w:rsidR="00983B8D" w:rsidRPr="00983B8D" w:rsidRDefault="00983B8D" w:rsidP="00A01CDB">
      <w:pPr>
        <w:rPr>
          <w:i/>
          <w:sz w:val="20"/>
          <w:szCs w:val="20"/>
        </w:rPr>
      </w:pPr>
      <w:r>
        <w:rPr>
          <w:i/>
          <w:sz w:val="20"/>
          <w:szCs w:val="20"/>
        </w:rPr>
        <w:t xml:space="preserve">Zdroj: </w:t>
      </w:r>
      <w:r w:rsidRPr="003F75E5">
        <w:rPr>
          <w:i/>
          <w:sz w:val="20"/>
          <w:szCs w:val="20"/>
        </w:rPr>
        <w:t>http://www.rkcpd.sk/rok-2011/medzinarodny-den-biodiverzity.html?page_id=2214</w:t>
      </w:r>
    </w:p>
    <w:p w:rsidR="00CC014C" w:rsidRDefault="002867E3" w:rsidP="00A01CDB">
      <w:r>
        <w:t xml:space="preserve">Na </w:t>
      </w:r>
      <w:proofErr w:type="spellStart"/>
      <w:r>
        <w:t>poddolovanom</w:t>
      </w:r>
      <w:proofErr w:type="spellEnd"/>
      <w:r>
        <w:t xml:space="preserve"> území vznikl</w:t>
      </w:r>
      <w:r w:rsidR="00A76803">
        <w:t xml:space="preserve">i mokrade o približnej výmere 38 </w:t>
      </w:r>
      <w:r>
        <w:t>ha</w:t>
      </w:r>
      <w:r>
        <w:rPr>
          <w:rStyle w:val="Odkaznapoznmkupodiarou"/>
        </w:rPr>
        <w:footnoteReference w:id="26"/>
      </w:r>
      <w:r>
        <w:t>. V týchto mokradiach sa usídlilo množstvo druhov vtákov, rýb, hmyzu, drobných cicavcov, niekoľko druhov obojživelníkov a vodných rastlín, z ktorých niektoré sú veľmi vzácne a chránené. Hoci má spoločnosť zo zákona povinnosť uviesť oblasť do pôvodného stavu, v tomto prípade by to spôsobilo zánik jedinečného ekosystému. Začali vznikať preto rôzne iniciatívy, kde sa odborníci - z</w:t>
      </w:r>
      <w:r w:rsidR="002B62DF">
        <w:t xml:space="preserve">oológovia, ornitológovia a iní </w:t>
      </w:r>
      <w:r>
        <w:t xml:space="preserve">vyslovili za záchranu tohto územia. Otázka rekultivácie tu ale nie je ešte aktuálna, nakoľko pod územím stále prebieha ťažba. </w:t>
      </w:r>
    </w:p>
    <w:p w:rsidR="003E0C41" w:rsidRPr="00983B8D" w:rsidRDefault="003E0C41" w:rsidP="00A01CDB">
      <w:pPr>
        <w:rPr>
          <w:b/>
          <w:szCs w:val="24"/>
        </w:rPr>
      </w:pPr>
      <w:r w:rsidRPr="00983B8D">
        <w:rPr>
          <w:b/>
          <w:szCs w:val="24"/>
        </w:rPr>
        <w:t xml:space="preserve">Obrázok č. 3: </w:t>
      </w:r>
      <w:proofErr w:type="spellStart"/>
      <w:r w:rsidRPr="00983B8D">
        <w:rPr>
          <w:b/>
          <w:szCs w:val="24"/>
        </w:rPr>
        <w:t>Poddolované</w:t>
      </w:r>
      <w:proofErr w:type="spellEnd"/>
      <w:r w:rsidRPr="00983B8D">
        <w:rPr>
          <w:b/>
          <w:szCs w:val="24"/>
        </w:rPr>
        <w:t xml:space="preserve"> územie</w:t>
      </w:r>
    </w:p>
    <w:p w:rsidR="003E0C41" w:rsidRPr="003E0C41" w:rsidRDefault="003E0C41" w:rsidP="00A01CDB">
      <w:pPr>
        <w:rPr>
          <w:b/>
          <w:sz w:val="20"/>
          <w:szCs w:val="20"/>
        </w:rPr>
      </w:pPr>
      <w:r w:rsidRPr="003E0C41">
        <w:rPr>
          <w:b/>
          <w:noProof/>
          <w:sz w:val="20"/>
          <w:szCs w:val="20"/>
          <w:lang w:eastAsia="sk-SK"/>
        </w:rPr>
        <w:drawing>
          <wp:inline distT="0" distB="0" distL="0" distR="0">
            <wp:extent cx="3130051" cy="2101933"/>
            <wp:effectExtent l="19050" t="0" r="0" b="0"/>
            <wp:docPr id="2" name="Obrázok 2" descr="Koš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š2.jpg"/>
                    <pic:cNvPicPr/>
                  </pic:nvPicPr>
                  <pic:blipFill>
                    <a:blip r:embed="rId13" cstate="print"/>
                    <a:stretch>
                      <a:fillRect/>
                    </a:stretch>
                  </pic:blipFill>
                  <pic:spPr>
                    <a:xfrm>
                      <a:off x="0" y="0"/>
                      <a:ext cx="3139636" cy="2108369"/>
                    </a:xfrm>
                    <a:prstGeom prst="rect">
                      <a:avLst/>
                    </a:prstGeom>
                  </pic:spPr>
                </pic:pic>
              </a:graphicData>
            </a:graphic>
          </wp:inline>
        </w:drawing>
      </w:r>
    </w:p>
    <w:p w:rsidR="002867E3" w:rsidRPr="003F75E5" w:rsidRDefault="003E0C41" w:rsidP="00A01CDB">
      <w:pPr>
        <w:rPr>
          <w:i/>
          <w:sz w:val="20"/>
          <w:szCs w:val="20"/>
        </w:rPr>
      </w:pPr>
      <w:r>
        <w:rPr>
          <w:i/>
          <w:sz w:val="20"/>
          <w:szCs w:val="20"/>
        </w:rPr>
        <w:t xml:space="preserve">Zdroj: </w:t>
      </w:r>
      <w:r w:rsidRPr="003F75E5">
        <w:rPr>
          <w:i/>
          <w:sz w:val="20"/>
          <w:szCs w:val="20"/>
        </w:rPr>
        <w:t>http://www.rkcpd.sk/rok-2011/medzinarodny-den-biodiverzity.html?page_id=2214</w:t>
      </w:r>
    </w:p>
    <w:p w:rsidR="00383718" w:rsidRDefault="00373B6A" w:rsidP="00A01CDB">
      <w:r>
        <w:lastRenderedPageBreak/>
        <w:t>Ďalším príkladom</w:t>
      </w:r>
      <w:r w:rsidR="000E4423">
        <w:t xml:space="preserve"> náhrady škody je situácia, keď</w:t>
      </w:r>
      <w:r>
        <w:t xml:space="preserve"> nastane vplyvom banskej škody pokles poľnohospodársky využívanej pôdy a následne nie je možné na týchto pozemkoch plodiny pestovať. Vtedy môže dôjsť k vy</w:t>
      </w:r>
      <w:r w:rsidR="000B3EE8">
        <w:t>rovnaniu</w:t>
      </w:r>
      <w:r>
        <w:t xml:space="preserve"> viacerými spôsobmi. HBP</w:t>
      </w:r>
      <w:r w:rsidR="000B3EE8">
        <w:t>,</w:t>
      </w:r>
      <w:r>
        <w:t xml:space="preserve"> a.s. môže užívateľovi pozemku poskytnúť náhradný pozemok o rovnakej výmere a kvalite v oblasti nezasiahnutej ťažobným procesom. Ďalej môže podnik naturálne vy</w:t>
      </w:r>
      <w:r w:rsidR="000B3EE8">
        <w:t>rovnať</w:t>
      </w:r>
      <w:r>
        <w:t xml:space="preserve"> užívateľovu stratu, teda že mu dodá konkrétnu plodinu v danej kvalite a objeme, ako by užívateľ získal pestovaním na pôvodnom pozemku. Tieto dve možnosti sú však pomerne zriedkavé, najčastejšie doch</w:t>
      </w:r>
      <w:r w:rsidR="002B62DF">
        <w:t xml:space="preserve">ádza k finančnej náhrade škody. </w:t>
      </w:r>
      <w:r>
        <w:t>V takom prípade sa každoročne vyberie komisia zložená z predstaviteľov oboch strán, ktorá priamo na mieste preskúma škody, ktoré vznikli a ná</w:t>
      </w:r>
      <w:r w:rsidR="002B62DF">
        <w:t>sledne sa vypočíta strata a uniknutý</w:t>
      </w:r>
      <w:r>
        <w:t xml:space="preserve"> zisk. </w:t>
      </w:r>
    </w:p>
    <w:p w:rsidR="007E52B5" w:rsidRDefault="007E52B5" w:rsidP="00A01CDB"/>
    <w:p w:rsidR="00383718" w:rsidRDefault="00383718" w:rsidP="00A01CDB">
      <w:pPr>
        <w:pStyle w:val="Nadpis3"/>
      </w:pPr>
      <w:bookmarkStart w:id="26" w:name="_Toc447622265"/>
      <w:r>
        <w:t>Čerpanie a účtovanie rezerv</w:t>
      </w:r>
      <w:bookmarkEnd w:id="26"/>
    </w:p>
    <w:p w:rsidR="00383718" w:rsidRPr="00383718" w:rsidRDefault="00383718" w:rsidP="00A01CDB"/>
    <w:p w:rsidR="009B639A" w:rsidRDefault="00373B6A" w:rsidP="00A01CDB">
      <w:r>
        <w:t>V prípade, že sa strany vzájomne dohodnú na výške plnenia, dôjde k finančnej náhrade škody a poškodená strana si už ďalšie nároky neuplatňuje.</w:t>
      </w:r>
    </w:p>
    <w:p w:rsidR="008C567A" w:rsidRDefault="008C567A" w:rsidP="00A01CDB"/>
    <w:p w:rsidR="00C32CB9" w:rsidRDefault="00C32CB9" w:rsidP="00A01CDB">
      <w:r>
        <w:t xml:space="preserve">V prípade, že sa uskutoční čerpanie rezervy, môžu nastať </w:t>
      </w:r>
      <w:r w:rsidR="003148A8">
        <w:t>tri</w:t>
      </w:r>
      <w:r>
        <w:t xml:space="preserve"> situácie. V prvom prípade je vytvorená rezerva presne taká, ako skutočný náklad.</w:t>
      </w:r>
      <w:r w:rsidR="00232CE5">
        <w:t xml:space="preserve"> Vzhľadom na výšku tvorených rezerv v podniku a na dĺžku ich tvorby je to situácia, ktorá</w:t>
      </w:r>
      <w:r>
        <w:t xml:space="preserve"> </w:t>
      </w:r>
      <w:r w:rsidR="00232CE5">
        <w:t xml:space="preserve">môže nastať len teoreticky. </w:t>
      </w:r>
      <w:r>
        <w:t>V druhom prípade je skutočný náklad nižší. Vtedy sa buď zvyšná rezerva zruší kvôli nepotrebnosti, alebo sa presunie do na</w:t>
      </w:r>
      <w:r w:rsidR="002B62DF">
        <w:t>sledujúceho účtovného obdobia (</w:t>
      </w:r>
      <w:r>
        <w:t>v prípade ešte nezrealizovaných prác). Ak však nastane situácia, že je rezerva nižšia ako skutočný náklad, je potre</w:t>
      </w:r>
      <w:r w:rsidR="004C1C5A">
        <w:t>bné zistiť príčinu podhodnotenia</w:t>
      </w:r>
      <w:r>
        <w:t xml:space="preserve"> a</w:t>
      </w:r>
      <w:r w:rsidR="004C1C5A">
        <w:t> zohľadniť to v ďalších odhadoch.</w:t>
      </w:r>
      <w:r>
        <w:t xml:space="preserve"> Ak pominú dôvody, pre ktoré bola rezerva vytvorená, zruší sa.</w:t>
      </w:r>
    </w:p>
    <w:p w:rsidR="008C567A" w:rsidRDefault="008C567A" w:rsidP="00A01CDB"/>
    <w:p w:rsidR="004C1C5A" w:rsidRDefault="004C1C5A" w:rsidP="00A01CDB">
      <w:r>
        <w:t xml:space="preserve">Pri čerpaní rezerv sa najskôr čerpajú rezervy vytvorené ako prvé a až potom sa čerpajú rezervy, ktoré boli vytvorené neskôr. </w:t>
      </w:r>
      <w:r w:rsidR="00F03EB5">
        <w:t xml:space="preserve">Jednotlivé rezervy sa aktualizujú vždy k 31.12. podľa ťažobných polí a podľa jednotlivých banských škôd. Aktualizáciou sa rozumie posúdenie ich výšky, opodstatnenosti a času čerpania. </w:t>
      </w:r>
    </w:p>
    <w:p w:rsidR="002867E3" w:rsidRDefault="002867E3" w:rsidP="00A01CDB"/>
    <w:p w:rsidR="00F03EB5" w:rsidRDefault="00F03EB5" w:rsidP="00A01CDB">
      <w:r>
        <w:t>HBP, a.s. účtuje rezervy</w:t>
      </w:r>
      <w:r w:rsidR="002867E3">
        <w:t xml:space="preserve"> na banské škody</w:t>
      </w:r>
      <w:r>
        <w:t>:</w:t>
      </w:r>
    </w:p>
    <w:p w:rsidR="00F03EB5" w:rsidRDefault="00F03EB5" w:rsidP="00A01CDB">
      <w:r>
        <w:t>a) pre účely účtovníctva na účtoch:</w:t>
      </w:r>
    </w:p>
    <w:p w:rsidR="00F03EB5" w:rsidRDefault="00F03EB5" w:rsidP="00A01CDB">
      <w:r>
        <w:t>451-603 Rezervy na banské škody a asanácie - nedaňové</w:t>
      </w:r>
    </w:p>
    <w:p w:rsidR="00F03EB5" w:rsidRDefault="00F03EB5" w:rsidP="00A01CDB">
      <w:r>
        <w:lastRenderedPageBreak/>
        <w:t>b) pre daňové účely na účtoch:</w:t>
      </w:r>
    </w:p>
    <w:p w:rsidR="00F03EB5" w:rsidRDefault="00F03EB5" w:rsidP="00A01CDB">
      <w:r>
        <w:t>750-864 Rezervy na banské škody, výkupy, asanácie - nedaňové</w:t>
      </w:r>
    </w:p>
    <w:p w:rsidR="00F03EB5" w:rsidRDefault="00F03EB5" w:rsidP="00A01CDB">
      <w:r>
        <w:t>Medzi účtami 451 a 750 sú zabezpečené väzby nasledovne:</w:t>
      </w:r>
    </w:p>
    <w:p w:rsidR="00184163" w:rsidRDefault="00F03EB5" w:rsidP="00A01CDB">
      <w:r>
        <w:t>451-603 súvisí s účtom 750-864</w:t>
      </w:r>
      <w:r>
        <w:rPr>
          <w:rStyle w:val="Odkaznapoznmkupodiarou"/>
        </w:rPr>
        <w:footnoteReference w:id="27"/>
      </w:r>
    </w:p>
    <w:p w:rsidR="002867E3" w:rsidRDefault="002867E3" w:rsidP="00A01CDB"/>
    <w:p w:rsidR="002867E3" w:rsidRDefault="002867E3" w:rsidP="00A01CDB">
      <w:r>
        <w:t>Pre účely účtovníctva sa rezervy na projekty a rekultivácie:</w:t>
      </w:r>
    </w:p>
    <w:p w:rsidR="002867E3" w:rsidRDefault="002867E3" w:rsidP="00A01CDB">
      <w:r>
        <w:t>451-600 Rezervy na rekultivácie pozemkov - daňové</w:t>
      </w:r>
    </w:p>
    <w:p w:rsidR="002867E3" w:rsidRDefault="002867E3" w:rsidP="00A01CDB">
      <w:r>
        <w:t>451-601 Rezervy na rekultivácie pozemkov - nedaňové</w:t>
      </w:r>
    </w:p>
    <w:p w:rsidR="002867E3" w:rsidRDefault="002867E3" w:rsidP="00A01CDB">
      <w:r>
        <w:t>Pre daňové účely sú to účty:</w:t>
      </w:r>
    </w:p>
    <w:p w:rsidR="002867E3" w:rsidRDefault="002867E3" w:rsidP="00A01CDB">
      <w:r>
        <w:t>750-862 Rezervy na rekultivácie - daňové</w:t>
      </w:r>
    </w:p>
    <w:p w:rsidR="002867E3" w:rsidRDefault="002867E3" w:rsidP="00A01CDB">
      <w:r>
        <w:t>750-863 Rezervy na rekultivácie a projekty - nedaňové</w:t>
      </w:r>
    </w:p>
    <w:p w:rsidR="002867E3" w:rsidRDefault="002867E3" w:rsidP="00A01CDB">
      <w:r>
        <w:t>Jednotlivé účty spolu súvisia nasledovne:</w:t>
      </w:r>
    </w:p>
    <w:p w:rsidR="002867E3" w:rsidRDefault="002867E3" w:rsidP="00A01CDB">
      <w:r>
        <w:t>451-600 súvisí s účtom 750-862</w:t>
      </w:r>
    </w:p>
    <w:p w:rsidR="002867E3" w:rsidRDefault="002867E3" w:rsidP="00A01CDB">
      <w:r>
        <w:t>451-601 súvisí s účtom 750-863</w:t>
      </w:r>
      <w:r w:rsidR="00A360DF">
        <w:rPr>
          <w:rStyle w:val="Odkaznapoznmkupodiarou"/>
        </w:rPr>
        <w:footnoteReference w:id="28"/>
      </w:r>
    </w:p>
    <w:p w:rsidR="002123D1" w:rsidRDefault="002123D1" w:rsidP="00A01CDB"/>
    <w:p w:rsidR="00184163" w:rsidRDefault="003F11FE" w:rsidP="00A01CDB">
      <w:pPr>
        <w:pStyle w:val="Nadpis2"/>
      </w:pPr>
      <w:bookmarkStart w:id="27" w:name="_Toc447622266"/>
      <w:r>
        <w:t xml:space="preserve">Analýza konkrétnych príkladov tvorby rezerv </w:t>
      </w:r>
      <w:r w:rsidR="00ED7418">
        <w:t xml:space="preserve">na banské škody v HBP, </w:t>
      </w:r>
      <w:r>
        <w:t>a.s.</w:t>
      </w:r>
      <w:bookmarkEnd w:id="27"/>
    </w:p>
    <w:p w:rsidR="003F11FE" w:rsidRDefault="003F11FE" w:rsidP="00A01CDB"/>
    <w:p w:rsidR="003E0C41" w:rsidRDefault="00383718" w:rsidP="00A01CDB">
      <w:r>
        <w:t>V ďalšej časti b</w:t>
      </w:r>
      <w:r w:rsidR="005479CB">
        <w:t>udeme analyzovať</w:t>
      </w:r>
      <w:r w:rsidR="003F11FE">
        <w:t>, ako podnik tvorí rezervy v prípade dvoch ťažobných polí. Konkrétne sa jedná o 7. ťažobné pole,</w:t>
      </w:r>
      <w:r>
        <w:t xml:space="preserve"> ktoré má životnosť do roku 2021 a 8. ťažobné pole, na ktorom sa už ukončila činnosť</w:t>
      </w:r>
      <w:r w:rsidR="003F11FE">
        <w:t xml:space="preserve">. </w:t>
      </w:r>
      <w:r w:rsidR="00E75A23">
        <w:t>Údaje vo všetkých tabuľkách pochádzajú z evidencie spoločnosti.</w:t>
      </w:r>
    </w:p>
    <w:p w:rsidR="003E0C41" w:rsidRDefault="003E0C41" w:rsidP="00A01CDB"/>
    <w:p w:rsidR="003E0C41" w:rsidRDefault="003E0C41" w:rsidP="00A01CDB">
      <w:pPr>
        <w:pStyle w:val="Nadpis3"/>
      </w:pPr>
      <w:bookmarkStart w:id="28" w:name="_Toc447622267"/>
      <w:r>
        <w:t>Analýza tvorby podľa IFRS</w:t>
      </w:r>
      <w:bookmarkEnd w:id="28"/>
    </w:p>
    <w:p w:rsidR="003E0C41" w:rsidRPr="005479CB" w:rsidRDefault="003E0C41" w:rsidP="00A01CDB"/>
    <w:p w:rsidR="003E0C41" w:rsidRDefault="003E0C41" w:rsidP="00A01CDB">
      <w:r>
        <w:t>V tabuľke č.1 si ukážeme tvorbu rezerv na škody a rekultivácie v daných ťažobných poliach a  v jednotlivých rokoch a spôsob ich výpočtu. Podnik nemá povinnosť účtovať podľa IFRS, pretože nespĺňa podmienky podľa Zákona č.431/2002 Z.</w:t>
      </w:r>
      <w:r w:rsidR="002B62DF">
        <w:t xml:space="preserve"> </w:t>
      </w:r>
      <w:r>
        <w:t>z. o účtovníctve. Podnik napri</w:t>
      </w:r>
      <w:r w:rsidR="00A01CDB">
        <w:t>ek tomu dobrovoľne IFRS používa a o</w:t>
      </w:r>
      <w:r>
        <w:t xml:space="preserve">krem toho </w:t>
      </w:r>
      <w:r w:rsidR="00A01CDB">
        <w:t>povinne účtuje</w:t>
      </w:r>
      <w:r>
        <w:t xml:space="preserve"> podľa platnej slovenskej </w:t>
      </w:r>
      <w:r>
        <w:lastRenderedPageBreak/>
        <w:t>legislatívy. Najprv si ukážeme výpočet podľa IFRS. Tento spôsob využíva prepočet na súčasnú hodnotu záväzku.</w:t>
      </w:r>
    </w:p>
    <w:p w:rsidR="007E52B5" w:rsidRDefault="007E52B5" w:rsidP="00A01CDB"/>
    <w:p w:rsidR="003E0C41" w:rsidRPr="00E33DA0" w:rsidRDefault="003E0C41" w:rsidP="00A01CDB">
      <w:pPr>
        <w:spacing w:line="240" w:lineRule="auto"/>
        <w:rPr>
          <w:b/>
        </w:rPr>
      </w:pPr>
      <w:r>
        <w:rPr>
          <w:b/>
        </w:rPr>
        <w:t>Tabuľka č.4: Analýza tvorby rezerv podľa IFRS</w:t>
      </w:r>
    </w:p>
    <w:tbl>
      <w:tblPr>
        <w:tblStyle w:val="Mriekatabuky"/>
        <w:tblW w:w="6380" w:type="dxa"/>
        <w:tblLook w:val="04A0"/>
      </w:tblPr>
      <w:tblGrid>
        <w:gridCol w:w="1700"/>
        <w:gridCol w:w="1170"/>
        <w:gridCol w:w="1170"/>
        <w:gridCol w:w="1170"/>
        <w:gridCol w:w="1170"/>
      </w:tblGrid>
      <w:tr w:rsidR="003E0C41" w:rsidRPr="003F11FE" w:rsidTr="003E0C41">
        <w:trPr>
          <w:trHeight w:val="256"/>
        </w:trPr>
        <w:tc>
          <w:tcPr>
            <w:tcW w:w="1700" w:type="dxa"/>
            <w:noWrap/>
            <w:hideMark/>
          </w:tcPr>
          <w:p w:rsidR="003E0C41" w:rsidRPr="001C4FF7" w:rsidRDefault="003E0C41" w:rsidP="00A01CDB">
            <w:pPr>
              <w:rPr>
                <w:rFonts w:eastAsia="Times New Roman" w:cs="Times New Roman"/>
                <w:lang w:eastAsia="sk-SK"/>
              </w:rPr>
            </w:pPr>
            <w:r w:rsidRPr="001C4FF7">
              <w:rPr>
                <w:rFonts w:eastAsia="Times New Roman" w:cs="Times New Roman"/>
                <w:lang w:eastAsia="sk-SK"/>
              </w:rPr>
              <w:t> </w:t>
            </w:r>
          </w:p>
        </w:tc>
        <w:tc>
          <w:tcPr>
            <w:tcW w:w="1170" w:type="dxa"/>
            <w:noWrap/>
            <w:hideMark/>
          </w:tcPr>
          <w:p w:rsidR="003E0C41" w:rsidRPr="001C4FF7" w:rsidRDefault="003E0C41" w:rsidP="00A01CDB">
            <w:pPr>
              <w:rPr>
                <w:rFonts w:eastAsia="Times New Roman" w:cs="Times New Roman"/>
                <w:lang w:eastAsia="sk-SK"/>
              </w:rPr>
            </w:pPr>
            <w:r w:rsidRPr="001C4FF7">
              <w:rPr>
                <w:rFonts w:eastAsia="Times New Roman" w:cs="Times New Roman"/>
                <w:lang w:eastAsia="sk-SK"/>
              </w:rPr>
              <w:t>7.ŤP</w:t>
            </w:r>
          </w:p>
        </w:tc>
        <w:tc>
          <w:tcPr>
            <w:tcW w:w="1170" w:type="dxa"/>
            <w:noWrap/>
            <w:hideMark/>
          </w:tcPr>
          <w:p w:rsidR="003E0C41" w:rsidRPr="001C4FF7" w:rsidRDefault="003E0C41" w:rsidP="00A01CDB">
            <w:pPr>
              <w:rPr>
                <w:rFonts w:eastAsia="Times New Roman" w:cs="Times New Roman"/>
                <w:lang w:eastAsia="sk-SK"/>
              </w:rPr>
            </w:pPr>
            <w:r w:rsidRPr="001C4FF7">
              <w:rPr>
                <w:rFonts w:eastAsia="Times New Roman" w:cs="Times New Roman"/>
                <w:lang w:eastAsia="sk-SK"/>
              </w:rPr>
              <w:t>SH</w:t>
            </w:r>
          </w:p>
        </w:tc>
        <w:tc>
          <w:tcPr>
            <w:tcW w:w="1170" w:type="dxa"/>
            <w:noWrap/>
            <w:hideMark/>
          </w:tcPr>
          <w:p w:rsidR="003E0C41" w:rsidRPr="001C4FF7" w:rsidRDefault="003E0C41" w:rsidP="00A01CDB">
            <w:pPr>
              <w:rPr>
                <w:rFonts w:eastAsia="Times New Roman" w:cs="Times New Roman"/>
                <w:lang w:eastAsia="sk-SK"/>
              </w:rPr>
            </w:pPr>
            <w:r>
              <w:rPr>
                <w:rFonts w:eastAsia="Times New Roman" w:cs="Times New Roman"/>
                <w:lang w:eastAsia="sk-SK"/>
              </w:rPr>
              <w:t>8</w:t>
            </w:r>
            <w:r w:rsidRPr="001C4FF7">
              <w:rPr>
                <w:rFonts w:eastAsia="Times New Roman" w:cs="Times New Roman"/>
                <w:lang w:eastAsia="sk-SK"/>
              </w:rPr>
              <w:t>.ŤP</w:t>
            </w:r>
          </w:p>
        </w:tc>
        <w:tc>
          <w:tcPr>
            <w:tcW w:w="1170" w:type="dxa"/>
            <w:noWrap/>
            <w:hideMark/>
          </w:tcPr>
          <w:p w:rsidR="003E0C41" w:rsidRPr="001C4FF7" w:rsidRDefault="003E0C41" w:rsidP="00A01CDB">
            <w:pPr>
              <w:rPr>
                <w:rFonts w:eastAsia="Times New Roman" w:cs="Times New Roman"/>
                <w:lang w:eastAsia="sk-SK"/>
              </w:rPr>
            </w:pPr>
            <w:r w:rsidRPr="001C4FF7">
              <w:rPr>
                <w:rFonts w:eastAsia="Times New Roman" w:cs="Times New Roman"/>
                <w:lang w:eastAsia="sk-SK"/>
              </w:rPr>
              <w:t>SH</w:t>
            </w:r>
          </w:p>
        </w:tc>
      </w:tr>
      <w:tr w:rsidR="003E0C41" w:rsidRPr="003F11FE" w:rsidTr="003E0C41">
        <w:trPr>
          <w:trHeight w:val="256"/>
        </w:trPr>
        <w:tc>
          <w:tcPr>
            <w:tcW w:w="1700" w:type="dxa"/>
            <w:noWrap/>
            <w:hideMark/>
          </w:tcPr>
          <w:p w:rsidR="003E0C41" w:rsidRPr="001C4FF7" w:rsidRDefault="003E0C41" w:rsidP="00A01CDB">
            <w:pPr>
              <w:rPr>
                <w:rFonts w:eastAsia="Times New Roman" w:cs="Times New Roman"/>
                <w:lang w:eastAsia="sk-SK"/>
              </w:rPr>
            </w:pPr>
            <w:r w:rsidRPr="001C4FF7">
              <w:rPr>
                <w:rFonts w:eastAsia="Times New Roman" w:cs="Times New Roman"/>
                <w:lang w:eastAsia="sk-SK"/>
              </w:rPr>
              <w:t>Š a R v r. 2015</w:t>
            </w:r>
          </w:p>
        </w:tc>
        <w:tc>
          <w:tcPr>
            <w:tcW w:w="1170" w:type="dxa"/>
            <w:noWrap/>
            <w:hideMark/>
          </w:tcPr>
          <w:p w:rsidR="003E0C41" w:rsidRPr="001C4FF7" w:rsidRDefault="003E0C41" w:rsidP="00A01CDB">
            <w:pPr>
              <w:rPr>
                <w:rFonts w:eastAsia="Times New Roman" w:cs="Times New Roman"/>
                <w:lang w:eastAsia="sk-SK"/>
              </w:rPr>
            </w:pPr>
            <w:r w:rsidRPr="001C4FF7">
              <w:rPr>
                <w:rFonts w:eastAsia="Times New Roman" w:cs="Times New Roman"/>
                <w:lang w:eastAsia="sk-SK"/>
              </w:rPr>
              <w:t>171 660</w:t>
            </w:r>
          </w:p>
        </w:tc>
        <w:tc>
          <w:tcPr>
            <w:tcW w:w="1170" w:type="dxa"/>
            <w:noWrap/>
            <w:hideMark/>
          </w:tcPr>
          <w:p w:rsidR="003E0C41" w:rsidRPr="001C4FF7" w:rsidRDefault="003E0C41" w:rsidP="00A01CDB">
            <w:pPr>
              <w:rPr>
                <w:rFonts w:eastAsia="Times New Roman" w:cs="Times New Roman"/>
                <w:lang w:eastAsia="sk-SK"/>
              </w:rPr>
            </w:pPr>
            <w:r w:rsidRPr="001C4FF7">
              <w:rPr>
                <w:rFonts w:eastAsia="Times New Roman" w:cs="Times New Roman"/>
                <w:lang w:eastAsia="sk-SK"/>
              </w:rPr>
              <w:t>171 660</w:t>
            </w:r>
          </w:p>
        </w:tc>
        <w:tc>
          <w:tcPr>
            <w:tcW w:w="1170" w:type="dxa"/>
            <w:noWrap/>
            <w:hideMark/>
          </w:tcPr>
          <w:p w:rsidR="003E0C41" w:rsidRPr="001C4FF7" w:rsidRDefault="003E0C41" w:rsidP="00A01CDB">
            <w:pPr>
              <w:rPr>
                <w:rFonts w:eastAsia="Times New Roman" w:cs="Times New Roman"/>
                <w:lang w:eastAsia="sk-SK"/>
              </w:rPr>
            </w:pPr>
            <w:r>
              <w:rPr>
                <w:rFonts w:eastAsia="Times New Roman" w:cs="Times New Roman"/>
                <w:lang w:eastAsia="sk-SK"/>
              </w:rPr>
              <w:t>111 625</w:t>
            </w:r>
          </w:p>
        </w:tc>
        <w:tc>
          <w:tcPr>
            <w:tcW w:w="1170" w:type="dxa"/>
            <w:noWrap/>
            <w:hideMark/>
          </w:tcPr>
          <w:p w:rsidR="003E0C41" w:rsidRPr="001C4FF7" w:rsidRDefault="003E0C41" w:rsidP="00A01CDB">
            <w:pPr>
              <w:rPr>
                <w:rFonts w:eastAsia="Times New Roman" w:cs="Times New Roman"/>
                <w:lang w:eastAsia="sk-SK"/>
              </w:rPr>
            </w:pPr>
            <w:r>
              <w:rPr>
                <w:rFonts w:eastAsia="Times New Roman" w:cs="Times New Roman"/>
                <w:lang w:eastAsia="sk-SK"/>
              </w:rPr>
              <w:t>111 625</w:t>
            </w:r>
          </w:p>
        </w:tc>
      </w:tr>
      <w:tr w:rsidR="003E0C41" w:rsidRPr="003F11FE" w:rsidTr="003E0C41">
        <w:trPr>
          <w:trHeight w:val="256"/>
        </w:trPr>
        <w:tc>
          <w:tcPr>
            <w:tcW w:w="1700" w:type="dxa"/>
            <w:noWrap/>
            <w:hideMark/>
          </w:tcPr>
          <w:p w:rsidR="003E0C41" w:rsidRPr="001C4FF7" w:rsidRDefault="003E0C41" w:rsidP="00A01CDB">
            <w:pPr>
              <w:rPr>
                <w:rFonts w:eastAsia="Times New Roman" w:cs="Times New Roman"/>
                <w:lang w:eastAsia="sk-SK"/>
              </w:rPr>
            </w:pPr>
            <w:r w:rsidRPr="001C4FF7">
              <w:rPr>
                <w:rFonts w:eastAsia="Times New Roman" w:cs="Times New Roman"/>
                <w:lang w:eastAsia="sk-SK"/>
              </w:rPr>
              <w:t>Š a R v r. 2016</w:t>
            </w:r>
          </w:p>
        </w:tc>
        <w:tc>
          <w:tcPr>
            <w:tcW w:w="1170" w:type="dxa"/>
            <w:noWrap/>
            <w:hideMark/>
          </w:tcPr>
          <w:p w:rsidR="003E0C41" w:rsidRPr="001C4FF7" w:rsidRDefault="003E0C41" w:rsidP="00A01CDB">
            <w:pPr>
              <w:rPr>
                <w:rFonts w:eastAsia="Times New Roman" w:cs="Times New Roman"/>
                <w:lang w:eastAsia="sk-SK"/>
              </w:rPr>
            </w:pPr>
            <w:r w:rsidRPr="001C4FF7">
              <w:rPr>
                <w:rFonts w:eastAsia="Times New Roman" w:cs="Times New Roman"/>
                <w:lang w:eastAsia="sk-SK"/>
              </w:rPr>
              <w:t>264 573</w:t>
            </w:r>
          </w:p>
        </w:tc>
        <w:tc>
          <w:tcPr>
            <w:tcW w:w="1170" w:type="dxa"/>
            <w:noWrap/>
            <w:hideMark/>
          </w:tcPr>
          <w:p w:rsidR="003E0C41" w:rsidRPr="001C4FF7" w:rsidRDefault="003E0C41" w:rsidP="00A01CDB">
            <w:pPr>
              <w:rPr>
                <w:rFonts w:eastAsia="Times New Roman" w:cs="Times New Roman"/>
                <w:lang w:eastAsia="sk-SK"/>
              </w:rPr>
            </w:pPr>
            <w:r w:rsidRPr="001C4FF7">
              <w:rPr>
                <w:rFonts w:eastAsia="Times New Roman" w:cs="Times New Roman"/>
                <w:lang w:eastAsia="sk-SK"/>
              </w:rPr>
              <w:t>263 415</w:t>
            </w:r>
          </w:p>
        </w:tc>
        <w:tc>
          <w:tcPr>
            <w:tcW w:w="1170" w:type="dxa"/>
            <w:noWrap/>
            <w:hideMark/>
          </w:tcPr>
          <w:p w:rsidR="003E0C41" w:rsidRPr="001C4FF7" w:rsidRDefault="003E0C41" w:rsidP="00A01CDB">
            <w:pPr>
              <w:rPr>
                <w:rFonts w:eastAsia="Times New Roman" w:cs="Times New Roman"/>
                <w:lang w:eastAsia="sk-SK"/>
              </w:rPr>
            </w:pPr>
            <w:r>
              <w:rPr>
                <w:rFonts w:eastAsia="Times New Roman" w:cs="Times New Roman"/>
                <w:lang w:eastAsia="sk-SK"/>
              </w:rPr>
              <w:t>140 000</w:t>
            </w:r>
          </w:p>
        </w:tc>
        <w:tc>
          <w:tcPr>
            <w:tcW w:w="1170" w:type="dxa"/>
            <w:noWrap/>
            <w:hideMark/>
          </w:tcPr>
          <w:p w:rsidR="003E0C41" w:rsidRPr="001C4FF7" w:rsidRDefault="003E0C41" w:rsidP="00A01CDB">
            <w:pPr>
              <w:rPr>
                <w:rFonts w:eastAsia="Times New Roman" w:cs="Times New Roman"/>
                <w:lang w:eastAsia="sk-SK"/>
              </w:rPr>
            </w:pPr>
            <w:r>
              <w:rPr>
                <w:rFonts w:eastAsia="Times New Roman" w:cs="Times New Roman"/>
                <w:lang w:eastAsia="sk-SK"/>
              </w:rPr>
              <w:t>139 387</w:t>
            </w:r>
          </w:p>
        </w:tc>
      </w:tr>
      <w:tr w:rsidR="003E0C41" w:rsidRPr="003F11FE" w:rsidTr="003E0C41">
        <w:trPr>
          <w:trHeight w:val="256"/>
        </w:trPr>
        <w:tc>
          <w:tcPr>
            <w:tcW w:w="1700" w:type="dxa"/>
            <w:noWrap/>
            <w:hideMark/>
          </w:tcPr>
          <w:p w:rsidR="003E0C41" w:rsidRPr="001C4FF7" w:rsidRDefault="003E0C41" w:rsidP="00A01CDB">
            <w:pPr>
              <w:rPr>
                <w:rFonts w:eastAsia="Times New Roman" w:cs="Times New Roman"/>
                <w:lang w:eastAsia="sk-SK"/>
              </w:rPr>
            </w:pPr>
            <w:r w:rsidRPr="001C4FF7">
              <w:rPr>
                <w:rFonts w:eastAsia="Times New Roman" w:cs="Times New Roman"/>
                <w:lang w:eastAsia="sk-SK"/>
              </w:rPr>
              <w:t>Š a R v r. 2017</w:t>
            </w:r>
          </w:p>
        </w:tc>
        <w:tc>
          <w:tcPr>
            <w:tcW w:w="1170" w:type="dxa"/>
            <w:noWrap/>
            <w:hideMark/>
          </w:tcPr>
          <w:p w:rsidR="003E0C41" w:rsidRPr="001C4FF7" w:rsidRDefault="003E0C41" w:rsidP="00A01CDB">
            <w:pPr>
              <w:rPr>
                <w:rFonts w:eastAsia="Times New Roman" w:cs="Times New Roman"/>
                <w:lang w:eastAsia="sk-SK"/>
              </w:rPr>
            </w:pPr>
            <w:r w:rsidRPr="001C4FF7">
              <w:rPr>
                <w:rFonts w:eastAsia="Times New Roman" w:cs="Times New Roman"/>
                <w:lang w:eastAsia="sk-SK"/>
              </w:rPr>
              <w:t>245 000</w:t>
            </w:r>
          </w:p>
        </w:tc>
        <w:tc>
          <w:tcPr>
            <w:tcW w:w="1170" w:type="dxa"/>
            <w:noWrap/>
            <w:hideMark/>
          </w:tcPr>
          <w:p w:rsidR="003E0C41" w:rsidRPr="001C4FF7" w:rsidRDefault="003E0C41" w:rsidP="00A01CDB">
            <w:pPr>
              <w:rPr>
                <w:rFonts w:eastAsia="Times New Roman" w:cs="Times New Roman"/>
                <w:lang w:eastAsia="sk-SK"/>
              </w:rPr>
            </w:pPr>
            <w:r w:rsidRPr="001C4FF7">
              <w:rPr>
                <w:rFonts w:eastAsia="Times New Roman" w:cs="Times New Roman"/>
                <w:lang w:eastAsia="sk-SK"/>
              </w:rPr>
              <w:t>242 860</w:t>
            </w:r>
          </w:p>
        </w:tc>
        <w:tc>
          <w:tcPr>
            <w:tcW w:w="1170" w:type="dxa"/>
            <w:noWrap/>
            <w:hideMark/>
          </w:tcPr>
          <w:p w:rsidR="003E0C41" w:rsidRPr="001C4FF7" w:rsidRDefault="003E0C41" w:rsidP="00A01CDB">
            <w:pPr>
              <w:rPr>
                <w:rFonts w:eastAsia="Times New Roman" w:cs="Times New Roman"/>
                <w:lang w:eastAsia="sk-SK"/>
              </w:rPr>
            </w:pPr>
            <w:r>
              <w:rPr>
                <w:rFonts w:eastAsia="Times New Roman" w:cs="Times New Roman"/>
                <w:lang w:eastAsia="sk-SK"/>
              </w:rPr>
              <w:t>120 000</w:t>
            </w:r>
          </w:p>
        </w:tc>
        <w:tc>
          <w:tcPr>
            <w:tcW w:w="1170" w:type="dxa"/>
            <w:noWrap/>
            <w:hideMark/>
          </w:tcPr>
          <w:p w:rsidR="003E0C41" w:rsidRPr="001C4FF7" w:rsidRDefault="003E0C41" w:rsidP="00A01CDB">
            <w:pPr>
              <w:rPr>
                <w:rFonts w:eastAsia="Times New Roman" w:cs="Times New Roman"/>
                <w:lang w:eastAsia="sk-SK"/>
              </w:rPr>
            </w:pPr>
            <w:r>
              <w:rPr>
                <w:rFonts w:eastAsia="Times New Roman" w:cs="Times New Roman"/>
                <w:lang w:eastAsia="sk-SK"/>
              </w:rPr>
              <w:t>118 952</w:t>
            </w:r>
          </w:p>
        </w:tc>
      </w:tr>
      <w:tr w:rsidR="003E0C41" w:rsidRPr="003F11FE" w:rsidTr="003E0C41">
        <w:trPr>
          <w:trHeight w:val="256"/>
        </w:trPr>
        <w:tc>
          <w:tcPr>
            <w:tcW w:w="1700" w:type="dxa"/>
            <w:noWrap/>
            <w:hideMark/>
          </w:tcPr>
          <w:p w:rsidR="003E0C41" w:rsidRPr="001C4FF7" w:rsidRDefault="003E0C41" w:rsidP="00A01CDB">
            <w:pPr>
              <w:rPr>
                <w:rFonts w:eastAsia="Times New Roman" w:cs="Times New Roman"/>
                <w:lang w:eastAsia="sk-SK"/>
              </w:rPr>
            </w:pPr>
            <w:r w:rsidRPr="001C4FF7">
              <w:rPr>
                <w:rFonts w:eastAsia="Times New Roman" w:cs="Times New Roman"/>
                <w:lang w:eastAsia="sk-SK"/>
              </w:rPr>
              <w:t>Š a R v r. 2018</w:t>
            </w:r>
          </w:p>
        </w:tc>
        <w:tc>
          <w:tcPr>
            <w:tcW w:w="1170" w:type="dxa"/>
            <w:noWrap/>
            <w:hideMark/>
          </w:tcPr>
          <w:p w:rsidR="003E0C41" w:rsidRPr="001C4FF7" w:rsidRDefault="003E0C41" w:rsidP="00A01CDB">
            <w:pPr>
              <w:rPr>
                <w:rFonts w:eastAsia="Times New Roman" w:cs="Times New Roman"/>
                <w:lang w:eastAsia="sk-SK"/>
              </w:rPr>
            </w:pPr>
            <w:r w:rsidRPr="001C4FF7">
              <w:rPr>
                <w:rFonts w:eastAsia="Times New Roman" w:cs="Times New Roman"/>
                <w:lang w:eastAsia="sk-SK"/>
              </w:rPr>
              <w:t>260 000</w:t>
            </w:r>
          </w:p>
        </w:tc>
        <w:tc>
          <w:tcPr>
            <w:tcW w:w="1170" w:type="dxa"/>
            <w:noWrap/>
            <w:hideMark/>
          </w:tcPr>
          <w:p w:rsidR="003E0C41" w:rsidRPr="001C4FF7" w:rsidRDefault="003E0C41" w:rsidP="00A01CDB">
            <w:pPr>
              <w:rPr>
                <w:rFonts w:eastAsia="Times New Roman" w:cs="Times New Roman"/>
                <w:lang w:eastAsia="sk-SK"/>
              </w:rPr>
            </w:pPr>
            <w:r w:rsidRPr="001C4FF7">
              <w:rPr>
                <w:rFonts w:eastAsia="Times New Roman" w:cs="Times New Roman"/>
                <w:lang w:eastAsia="sk-SK"/>
              </w:rPr>
              <w:t>250 042</w:t>
            </w:r>
          </w:p>
        </w:tc>
        <w:tc>
          <w:tcPr>
            <w:tcW w:w="1170" w:type="dxa"/>
            <w:noWrap/>
            <w:hideMark/>
          </w:tcPr>
          <w:p w:rsidR="003E0C41" w:rsidRPr="001C4FF7" w:rsidRDefault="003E0C41" w:rsidP="00A01CDB">
            <w:pPr>
              <w:rPr>
                <w:rFonts w:eastAsia="Times New Roman" w:cs="Times New Roman"/>
                <w:lang w:eastAsia="sk-SK"/>
              </w:rPr>
            </w:pPr>
            <w:r>
              <w:rPr>
                <w:rFonts w:eastAsia="Times New Roman" w:cs="Times New Roman"/>
                <w:lang w:eastAsia="sk-SK"/>
              </w:rPr>
              <w:t>120 000</w:t>
            </w:r>
          </w:p>
        </w:tc>
        <w:tc>
          <w:tcPr>
            <w:tcW w:w="1170" w:type="dxa"/>
            <w:noWrap/>
            <w:hideMark/>
          </w:tcPr>
          <w:p w:rsidR="003E0C41" w:rsidRPr="001C4FF7" w:rsidRDefault="003E0C41" w:rsidP="00A01CDB">
            <w:pPr>
              <w:rPr>
                <w:rFonts w:eastAsia="Times New Roman" w:cs="Times New Roman"/>
                <w:lang w:eastAsia="sk-SK"/>
              </w:rPr>
            </w:pPr>
            <w:r>
              <w:rPr>
                <w:rFonts w:eastAsia="Times New Roman" w:cs="Times New Roman"/>
                <w:lang w:eastAsia="sk-SK"/>
              </w:rPr>
              <w:t>115 404</w:t>
            </w:r>
          </w:p>
        </w:tc>
      </w:tr>
      <w:tr w:rsidR="003E0C41" w:rsidRPr="003F11FE" w:rsidTr="003E0C41">
        <w:trPr>
          <w:trHeight w:val="256"/>
        </w:trPr>
        <w:tc>
          <w:tcPr>
            <w:tcW w:w="1700" w:type="dxa"/>
            <w:noWrap/>
            <w:hideMark/>
          </w:tcPr>
          <w:p w:rsidR="003E0C41" w:rsidRPr="001C4FF7" w:rsidRDefault="003E0C41" w:rsidP="00A01CDB">
            <w:pPr>
              <w:rPr>
                <w:rFonts w:eastAsia="Times New Roman" w:cs="Times New Roman"/>
                <w:lang w:eastAsia="sk-SK"/>
              </w:rPr>
            </w:pPr>
            <w:r w:rsidRPr="001C4FF7">
              <w:rPr>
                <w:rFonts w:eastAsia="Times New Roman" w:cs="Times New Roman"/>
                <w:lang w:eastAsia="sk-SK"/>
              </w:rPr>
              <w:t>Š a R v r. 2019</w:t>
            </w:r>
          </w:p>
        </w:tc>
        <w:tc>
          <w:tcPr>
            <w:tcW w:w="1170" w:type="dxa"/>
            <w:noWrap/>
            <w:hideMark/>
          </w:tcPr>
          <w:p w:rsidR="003E0C41" w:rsidRPr="001C4FF7" w:rsidRDefault="003E0C41" w:rsidP="00A01CDB">
            <w:pPr>
              <w:rPr>
                <w:rFonts w:eastAsia="Times New Roman" w:cs="Times New Roman"/>
                <w:lang w:eastAsia="sk-SK"/>
              </w:rPr>
            </w:pPr>
            <w:r w:rsidRPr="001C4FF7">
              <w:rPr>
                <w:rFonts w:eastAsia="Times New Roman" w:cs="Times New Roman"/>
                <w:lang w:eastAsia="sk-SK"/>
              </w:rPr>
              <w:t>325 000</w:t>
            </w:r>
          </w:p>
        </w:tc>
        <w:tc>
          <w:tcPr>
            <w:tcW w:w="1170" w:type="dxa"/>
            <w:noWrap/>
            <w:hideMark/>
          </w:tcPr>
          <w:p w:rsidR="003E0C41" w:rsidRPr="001C4FF7" w:rsidRDefault="003E0C41" w:rsidP="00A01CDB">
            <w:pPr>
              <w:rPr>
                <w:rFonts w:eastAsia="Times New Roman" w:cs="Times New Roman"/>
                <w:lang w:eastAsia="sk-SK"/>
              </w:rPr>
            </w:pPr>
            <w:r w:rsidRPr="001C4FF7">
              <w:rPr>
                <w:rFonts w:eastAsia="Times New Roman" w:cs="Times New Roman"/>
                <w:lang w:eastAsia="sk-SK"/>
              </w:rPr>
              <w:t>308 511</w:t>
            </w:r>
          </w:p>
        </w:tc>
        <w:tc>
          <w:tcPr>
            <w:tcW w:w="1170" w:type="dxa"/>
            <w:noWrap/>
            <w:hideMark/>
          </w:tcPr>
          <w:p w:rsidR="003E0C41" w:rsidRPr="001C4FF7" w:rsidRDefault="003E0C41" w:rsidP="00A01CDB">
            <w:pPr>
              <w:rPr>
                <w:rFonts w:eastAsia="Times New Roman" w:cs="Times New Roman"/>
                <w:lang w:eastAsia="sk-SK"/>
              </w:rPr>
            </w:pPr>
            <w:r>
              <w:rPr>
                <w:rFonts w:eastAsia="Times New Roman" w:cs="Times New Roman"/>
                <w:lang w:eastAsia="sk-SK"/>
              </w:rPr>
              <w:t>18 905</w:t>
            </w:r>
          </w:p>
        </w:tc>
        <w:tc>
          <w:tcPr>
            <w:tcW w:w="1170" w:type="dxa"/>
            <w:noWrap/>
            <w:hideMark/>
          </w:tcPr>
          <w:p w:rsidR="003E0C41" w:rsidRPr="001C4FF7" w:rsidRDefault="003E0C41" w:rsidP="00A01CDB">
            <w:pPr>
              <w:rPr>
                <w:rFonts w:eastAsia="Times New Roman" w:cs="Times New Roman"/>
                <w:lang w:eastAsia="sk-SK"/>
              </w:rPr>
            </w:pPr>
            <w:r>
              <w:rPr>
                <w:rFonts w:eastAsia="Times New Roman" w:cs="Times New Roman"/>
                <w:lang w:eastAsia="sk-SK"/>
              </w:rPr>
              <w:t>17 946</w:t>
            </w:r>
          </w:p>
        </w:tc>
      </w:tr>
      <w:tr w:rsidR="003E0C41" w:rsidRPr="003F11FE" w:rsidTr="003E0C41">
        <w:trPr>
          <w:trHeight w:val="256"/>
        </w:trPr>
        <w:tc>
          <w:tcPr>
            <w:tcW w:w="1700" w:type="dxa"/>
            <w:noWrap/>
            <w:hideMark/>
          </w:tcPr>
          <w:p w:rsidR="003E0C41" w:rsidRPr="001C4FF7" w:rsidRDefault="003E0C41" w:rsidP="00A01CDB">
            <w:pPr>
              <w:rPr>
                <w:rFonts w:eastAsia="Times New Roman" w:cs="Times New Roman"/>
                <w:lang w:eastAsia="sk-SK"/>
              </w:rPr>
            </w:pPr>
            <w:r w:rsidRPr="001C4FF7">
              <w:rPr>
                <w:rFonts w:eastAsia="Times New Roman" w:cs="Times New Roman"/>
                <w:lang w:eastAsia="sk-SK"/>
              </w:rPr>
              <w:t>Š a R v r. 2020</w:t>
            </w:r>
          </w:p>
        </w:tc>
        <w:tc>
          <w:tcPr>
            <w:tcW w:w="1170" w:type="dxa"/>
            <w:noWrap/>
            <w:hideMark/>
          </w:tcPr>
          <w:p w:rsidR="003E0C41" w:rsidRPr="001C4FF7" w:rsidRDefault="003E0C41" w:rsidP="00A01CDB">
            <w:pPr>
              <w:rPr>
                <w:rFonts w:eastAsia="Times New Roman" w:cs="Times New Roman"/>
                <w:lang w:eastAsia="sk-SK"/>
              </w:rPr>
            </w:pPr>
            <w:r w:rsidRPr="001C4FF7">
              <w:rPr>
                <w:rFonts w:eastAsia="Times New Roman" w:cs="Times New Roman"/>
                <w:lang w:eastAsia="sk-SK"/>
              </w:rPr>
              <w:t>300 000</w:t>
            </w:r>
          </w:p>
        </w:tc>
        <w:tc>
          <w:tcPr>
            <w:tcW w:w="1170" w:type="dxa"/>
            <w:noWrap/>
            <w:hideMark/>
          </w:tcPr>
          <w:p w:rsidR="003E0C41" w:rsidRPr="001C4FF7" w:rsidRDefault="003E0C41" w:rsidP="00A01CDB">
            <w:pPr>
              <w:rPr>
                <w:rFonts w:eastAsia="Times New Roman" w:cs="Times New Roman"/>
                <w:lang w:eastAsia="sk-SK"/>
              </w:rPr>
            </w:pPr>
            <w:r w:rsidRPr="001C4FF7">
              <w:rPr>
                <w:rFonts w:eastAsia="Times New Roman" w:cs="Times New Roman"/>
                <w:lang w:eastAsia="sk-SK"/>
              </w:rPr>
              <w:t>281 096</w:t>
            </w:r>
          </w:p>
        </w:tc>
        <w:tc>
          <w:tcPr>
            <w:tcW w:w="1170" w:type="dxa"/>
            <w:noWrap/>
            <w:hideMark/>
          </w:tcPr>
          <w:p w:rsidR="003E0C41" w:rsidRPr="001C4FF7" w:rsidRDefault="003E0C41" w:rsidP="00A01CDB">
            <w:pPr>
              <w:rPr>
                <w:rFonts w:eastAsia="Times New Roman" w:cs="Times New Roman"/>
                <w:lang w:eastAsia="sk-SK"/>
              </w:rPr>
            </w:pPr>
            <w:r>
              <w:rPr>
                <w:rFonts w:eastAsia="Times New Roman" w:cs="Times New Roman"/>
                <w:lang w:eastAsia="sk-SK"/>
              </w:rPr>
              <w:t>0</w:t>
            </w:r>
          </w:p>
        </w:tc>
        <w:tc>
          <w:tcPr>
            <w:tcW w:w="1170" w:type="dxa"/>
            <w:noWrap/>
            <w:hideMark/>
          </w:tcPr>
          <w:p w:rsidR="003E0C41" w:rsidRPr="001C4FF7" w:rsidRDefault="003E0C41" w:rsidP="00A01CDB">
            <w:pPr>
              <w:rPr>
                <w:rFonts w:eastAsia="Times New Roman" w:cs="Times New Roman"/>
                <w:lang w:eastAsia="sk-SK"/>
              </w:rPr>
            </w:pPr>
            <w:r>
              <w:rPr>
                <w:rFonts w:eastAsia="Times New Roman" w:cs="Times New Roman"/>
                <w:lang w:eastAsia="sk-SK"/>
              </w:rPr>
              <w:t>0</w:t>
            </w:r>
          </w:p>
        </w:tc>
      </w:tr>
      <w:tr w:rsidR="003E0C41" w:rsidRPr="003F11FE" w:rsidTr="003E0C41">
        <w:trPr>
          <w:trHeight w:val="256"/>
        </w:trPr>
        <w:tc>
          <w:tcPr>
            <w:tcW w:w="1700" w:type="dxa"/>
            <w:noWrap/>
            <w:hideMark/>
          </w:tcPr>
          <w:p w:rsidR="003E0C41" w:rsidRPr="001C4FF7" w:rsidRDefault="003E0C41" w:rsidP="00A01CDB">
            <w:pPr>
              <w:rPr>
                <w:rFonts w:eastAsia="Times New Roman" w:cs="Times New Roman"/>
                <w:lang w:eastAsia="sk-SK"/>
              </w:rPr>
            </w:pPr>
            <w:r w:rsidRPr="001C4FF7">
              <w:rPr>
                <w:rFonts w:eastAsia="Times New Roman" w:cs="Times New Roman"/>
                <w:lang w:eastAsia="sk-SK"/>
              </w:rPr>
              <w:t>Š a R v r. 2021</w:t>
            </w:r>
          </w:p>
        </w:tc>
        <w:tc>
          <w:tcPr>
            <w:tcW w:w="1170" w:type="dxa"/>
            <w:noWrap/>
            <w:hideMark/>
          </w:tcPr>
          <w:p w:rsidR="003E0C41" w:rsidRPr="001C4FF7" w:rsidRDefault="003E0C41" w:rsidP="00A01CDB">
            <w:pPr>
              <w:rPr>
                <w:rFonts w:eastAsia="Times New Roman" w:cs="Times New Roman"/>
                <w:lang w:eastAsia="sk-SK"/>
              </w:rPr>
            </w:pPr>
            <w:r w:rsidRPr="001C4FF7">
              <w:rPr>
                <w:rFonts w:eastAsia="Times New Roman" w:cs="Times New Roman"/>
                <w:lang w:eastAsia="sk-SK"/>
              </w:rPr>
              <w:t>472 112</w:t>
            </w:r>
          </w:p>
        </w:tc>
        <w:tc>
          <w:tcPr>
            <w:tcW w:w="1170" w:type="dxa"/>
            <w:noWrap/>
            <w:hideMark/>
          </w:tcPr>
          <w:p w:rsidR="003E0C41" w:rsidRPr="001C4FF7" w:rsidRDefault="003E0C41" w:rsidP="00A01CDB">
            <w:pPr>
              <w:rPr>
                <w:rFonts w:eastAsia="Times New Roman" w:cs="Times New Roman"/>
                <w:lang w:eastAsia="sk-SK"/>
              </w:rPr>
            </w:pPr>
            <w:r w:rsidRPr="001C4FF7">
              <w:rPr>
                <w:rFonts w:eastAsia="Times New Roman" w:cs="Times New Roman"/>
                <w:lang w:eastAsia="sk-SK"/>
              </w:rPr>
              <w:t>421 391</w:t>
            </w:r>
          </w:p>
        </w:tc>
        <w:tc>
          <w:tcPr>
            <w:tcW w:w="1170" w:type="dxa"/>
            <w:noWrap/>
            <w:hideMark/>
          </w:tcPr>
          <w:p w:rsidR="003E0C41" w:rsidRPr="001C4FF7" w:rsidRDefault="003E0C41" w:rsidP="00A01CDB">
            <w:pPr>
              <w:rPr>
                <w:rFonts w:eastAsia="Times New Roman" w:cs="Times New Roman"/>
                <w:lang w:eastAsia="sk-SK"/>
              </w:rPr>
            </w:pPr>
            <w:r>
              <w:rPr>
                <w:rFonts w:eastAsia="Times New Roman" w:cs="Times New Roman"/>
                <w:lang w:eastAsia="sk-SK"/>
              </w:rPr>
              <w:t>0</w:t>
            </w:r>
          </w:p>
        </w:tc>
        <w:tc>
          <w:tcPr>
            <w:tcW w:w="1170" w:type="dxa"/>
            <w:noWrap/>
            <w:hideMark/>
          </w:tcPr>
          <w:p w:rsidR="003E0C41" w:rsidRPr="001C4FF7" w:rsidRDefault="003E0C41" w:rsidP="00A01CDB">
            <w:pPr>
              <w:rPr>
                <w:rFonts w:eastAsia="Times New Roman" w:cs="Times New Roman"/>
                <w:lang w:eastAsia="sk-SK"/>
              </w:rPr>
            </w:pPr>
            <w:r>
              <w:rPr>
                <w:rFonts w:eastAsia="Times New Roman" w:cs="Times New Roman"/>
                <w:lang w:eastAsia="sk-SK"/>
              </w:rPr>
              <w:t>0</w:t>
            </w:r>
          </w:p>
        </w:tc>
      </w:tr>
      <w:tr w:rsidR="003E0C41" w:rsidRPr="003F11FE" w:rsidTr="003E0C41">
        <w:trPr>
          <w:trHeight w:val="256"/>
        </w:trPr>
        <w:tc>
          <w:tcPr>
            <w:tcW w:w="1700" w:type="dxa"/>
            <w:noWrap/>
            <w:hideMark/>
          </w:tcPr>
          <w:p w:rsidR="003E0C41" w:rsidRPr="001C4FF7" w:rsidRDefault="003E0C41" w:rsidP="00A01CDB">
            <w:pPr>
              <w:rPr>
                <w:rFonts w:eastAsia="Times New Roman" w:cs="Times New Roman"/>
                <w:lang w:eastAsia="sk-SK"/>
              </w:rPr>
            </w:pPr>
            <w:r w:rsidRPr="001C4FF7">
              <w:rPr>
                <w:rFonts w:eastAsia="Times New Roman" w:cs="Times New Roman"/>
                <w:lang w:eastAsia="sk-SK"/>
              </w:rPr>
              <w:t>Š a R v r. 2022</w:t>
            </w:r>
          </w:p>
        </w:tc>
        <w:tc>
          <w:tcPr>
            <w:tcW w:w="1170" w:type="dxa"/>
            <w:noWrap/>
            <w:hideMark/>
          </w:tcPr>
          <w:p w:rsidR="003E0C41" w:rsidRPr="001C4FF7" w:rsidRDefault="003E0C41" w:rsidP="00A01CDB">
            <w:pPr>
              <w:rPr>
                <w:rFonts w:eastAsia="Times New Roman" w:cs="Times New Roman"/>
                <w:lang w:eastAsia="sk-SK"/>
              </w:rPr>
            </w:pPr>
            <w:r w:rsidRPr="001C4FF7">
              <w:rPr>
                <w:rFonts w:eastAsia="Times New Roman" w:cs="Times New Roman"/>
                <w:lang w:eastAsia="sk-SK"/>
              </w:rPr>
              <w:t>489 208</w:t>
            </w:r>
          </w:p>
        </w:tc>
        <w:tc>
          <w:tcPr>
            <w:tcW w:w="1170" w:type="dxa"/>
            <w:noWrap/>
            <w:hideMark/>
          </w:tcPr>
          <w:p w:rsidR="003E0C41" w:rsidRPr="001C4FF7" w:rsidRDefault="003E0C41" w:rsidP="00A01CDB">
            <w:pPr>
              <w:rPr>
                <w:rFonts w:eastAsia="Times New Roman" w:cs="Times New Roman"/>
                <w:lang w:eastAsia="sk-SK"/>
              </w:rPr>
            </w:pPr>
            <w:r w:rsidRPr="001C4FF7">
              <w:rPr>
                <w:rFonts w:eastAsia="Times New Roman" w:cs="Times New Roman"/>
                <w:lang w:eastAsia="sk-SK"/>
              </w:rPr>
              <w:t>428 457</w:t>
            </w:r>
          </w:p>
        </w:tc>
        <w:tc>
          <w:tcPr>
            <w:tcW w:w="1170" w:type="dxa"/>
            <w:noWrap/>
            <w:hideMark/>
          </w:tcPr>
          <w:p w:rsidR="003E0C41" w:rsidRPr="001C4FF7" w:rsidRDefault="003E0C41" w:rsidP="00A01CDB">
            <w:pPr>
              <w:rPr>
                <w:rFonts w:eastAsia="Times New Roman" w:cs="Times New Roman"/>
                <w:lang w:eastAsia="sk-SK"/>
              </w:rPr>
            </w:pPr>
            <w:r>
              <w:rPr>
                <w:rFonts w:eastAsia="Times New Roman" w:cs="Times New Roman"/>
                <w:lang w:eastAsia="sk-SK"/>
              </w:rPr>
              <w:t>0</w:t>
            </w:r>
          </w:p>
        </w:tc>
        <w:tc>
          <w:tcPr>
            <w:tcW w:w="1170" w:type="dxa"/>
            <w:noWrap/>
            <w:hideMark/>
          </w:tcPr>
          <w:p w:rsidR="003E0C41" w:rsidRPr="001C4FF7" w:rsidRDefault="003E0C41" w:rsidP="00A01CDB">
            <w:pPr>
              <w:rPr>
                <w:rFonts w:eastAsia="Times New Roman" w:cs="Times New Roman"/>
                <w:lang w:eastAsia="sk-SK"/>
              </w:rPr>
            </w:pPr>
            <w:r>
              <w:rPr>
                <w:rFonts w:eastAsia="Times New Roman" w:cs="Times New Roman"/>
                <w:lang w:eastAsia="sk-SK"/>
              </w:rPr>
              <w:t>0</w:t>
            </w:r>
          </w:p>
        </w:tc>
      </w:tr>
      <w:tr w:rsidR="003E0C41" w:rsidRPr="003F11FE" w:rsidTr="003E0C41">
        <w:trPr>
          <w:trHeight w:val="256"/>
        </w:trPr>
        <w:tc>
          <w:tcPr>
            <w:tcW w:w="1700" w:type="dxa"/>
            <w:noWrap/>
            <w:hideMark/>
          </w:tcPr>
          <w:p w:rsidR="003E0C41" w:rsidRPr="001C4FF7" w:rsidRDefault="003E0C41" w:rsidP="00A01CDB">
            <w:pPr>
              <w:rPr>
                <w:rFonts w:eastAsia="Times New Roman" w:cs="Times New Roman"/>
                <w:lang w:eastAsia="sk-SK"/>
              </w:rPr>
            </w:pPr>
            <w:r w:rsidRPr="001C4FF7">
              <w:rPr>
                <w:rFonts w:eastAsia="Times New Roman" w:cs="Times New Roman"/>
                <w:lang w:eastAsia="sk-SK"/>
              </w:rPr>
              <w:t>Š a R v r. 2023</w:t>
            </w:r>
          </w:p>
        </w:tc>
        <w:tc>
          <w:tcPr>
            <w:tcW w:w="1170" w:type="dxa"/>
            <w:noWrap/>
            <w:hideMark/>
          </w:tcPr>
          <w:p w:rsidR="003E0C41" w:rsidRPr="001C4FF7" w:rsidRDefault="003E0C41" w:rsidP="00A01CDB">
            <w:pPr>
              <w:rPr>
                <w:rFonts w:eastAsia="Times New Roman" w:cs="Times New Roman"/>
                <w:lang w:eastAsia="sk-SK"/>
              </w:rPr>
            </w:pPr>
            <w:r w:rsidRPr="001C4FF7">
              <w:rPr>
                <w:rFonts w:eastAsia="Times New Roman" w:cs="Times New Roman"/>
                <w:lang w:eastAsia="sk-SK"/>
              </w:rPr>
              <w:t>540 583</w:t>
            </w:r>
          </w:p>
        </w:tc>
        <w:tc>
          <w:tcPr>
            <w:tcW w:w="1170" w:type="dxa"/>
            <w:noWrap/>
            <w:hideMark/>
          </w:tcPr>
          <w:p w:rsidR="003E0C41" w:rsidRPr="001C4FF7" w:rsidRDefault="003E0C41" w:rsidP="00A01CDB">
            <w:pPr>
              <w:rPr>
                <w:rFonts w:eastAsia="Times New Roman" w:cs="Times New Roman"/>
                <w:lang w:eastAsia="sk-SK"/>
              </w:rPr>
            </w:pPr>
            <w:r w:rsidRPr="001C4FF7">
              <w:rPr>
                <w:rFonts w:eastAsia="Times New Roman" w:cs="Times New Roman"/>
                <w:lang w:eastAsia="sk-SK"/>
              </w:rPr>
              <w:t>464 568</w:t>
            </w:r>
          </w:p>
        </w:tc>
        <w:tc>
          <w:tcPr>
            <w:tcW w:w="1170" w:type="dxa"/>
            <w:noWrap/>
            <w:hideMark/>
          </w:tcPr>
          <w:p w:rsidR="003E0C41" w:rsidRPr="001C4FF7" w:rsidRDefault="003E0C41" w:rsidP="00A01CDB">
            <w:pPr>
              <w:rPr>
                <w:rFonts w:eastAsia="Times New Roman" w:cs="Times New Roman"/>
                <w:lang w:eastAsia="sk-SK"/>
              </w:rPr>
            </w:pPr>
            <w:r>
              <w:rPr>
                <w:rFonts w:eastAsia="Times New Roman" w:cs="Times New Roman"/>
                <w:lang w:eastAsia="sk-SK"/>
              </w:rPr>
              <w:t>0</w:t>
            </w:r>
          </w:p>
        </w:tc>
        <w:tc>
          <w:tcPr>
            <w:tcW w:w="1170" w:type="dxa"/>
            <w:noWrap/>
            <w:hideMark/>
          </w:tcPr>
          <w:p w:rsidR="003E0C41" w:rsidRPr="001C4FF7" w:rsidRDefault="003E0C41" w:rsidP="00A01CDB">
            <w:pPr>
              <w:rPr>
                <w:rFonts w:eastAsia="Times New Roman" w:cs="Times New Roman"/>
                <w:lang w:eastAsia="sk-SK"/>
              </w:rPr>
            </w:pPr>
            <w:r>
              <w:rPr>
                <w:rFonts w:eastAsia="Times New Roman" w:cs="Times New Roman"/>
                <w:lang w:eastAsia="sk-SK"/>
              </w:rPr>
              <w:t>0</w:t>
            </w:r>
          </w:p>
        </w:tc>
      </w:tr>
      <w:tr w:rsidR="003E0C41" w:rsidRPr="003F11FE" w:rsidTr="003E0C41">
        <w:trPr>
          <w:trHeight w:val="256"/>
        </w:trPr>
        <w:tc>
          <w:tcPr>
            <w:tcW w:w="1700" w:type="dxa"/>
            <w:noWrap/>
            <w:hideMark/>
          </w:tcPr>
          <w:p w:rsidR="003E0C41" w:rsidRPr="001C4FF7" w:rsidRDefault="003E0C41" w:rsidP="00A01CDB">
            <w:pPr>
              <w:rPr>
                <w:rFonts w:eastAsia="Times New Roman" w:cs="Times New Roman"/>
                <w:lang w:eastAsia="sk-SK"/>
              </w:rPr>
            </w:pPr>
            <w:r w:rsidRPr="001C4FF7">
              <w:rPr>
                <w:rFonts w:eastAsia="Times New Roman" w:cs="Times New Roman"/>
                <w:lang w:eastAsia="sk-SK"/>
              </w:rPr>
              <w:t>Š a R v r. 2024</w:t>
            </w:r>
          </w:p>
        </w:tc>
        <w:tc>
          <w:tcPr>
            <w:tcW w:w="1170" w:type="dxa"/>
            <w:noWrap/>
            <w:hideMark/>
          </w:tcPr>
          <w:p w:rsidR="003E0C41" w:rsidRPr="001C4FF7" w:rsidRDefault="003E0C41" w:rsidP="00A01CDB">
            <w:pPr>
              <w:rPr>
                <w:rFonts w:eastAsia="Times New Roman" w:cs="Times New Roman"/>
                <w:lang w:eastAsia="sk-SK"/>
              </w:rPr>
            </w:pPr>
            <w:r w:rsidRPr="001C4FF7">
              <w:rPr>
                <w:rFonts w:eastAsia="Times New Roman" w:cs="Times New Roman"/>
                <w:lang w:eastAsia="sk-SK"/>
              </w:rPr>
              <w:t>8 689</w:t>
            </w:r>
          </w:p>
        </w:tc>
        <w:tc>
          <w:tcPr>
            <w:tcW w:w="1170" w:type="dxa"/>
            <w:noWrap/>
            <w:hideMark/>
          </w:tcPr>
          <w:p w:rsidR="003E0C41" w:rsidRPr="001C4FF7" w:rsidRDefault="003E0C41" w:rsidP="00A01CDB">
            <w:pPr>
              <w:rPr>
                <w:rFonts w:eastAsia="Times New Roman" w:cs="Times New Roman"/>
                <w:lang w:eastAsia="sk-SK"/>
              </w:rPr>
            </w:pPr>
            <w:r w:rsidRPr="001C4FF7">
              <w:rPr>
                <w:rFonts w:eastAsia="Times New Roman" w:cs="Times New Roman"/>
                <w:lang w:eastAsia="sk-SK"/>
              </w:rPr>
              <w:t>7 242</w:t>
            </w:r>
          </w:p>
        </w:tc>
        <w:tc>
          <w:tcPr>
            <w:tcW w:w="1170" w:type="dxa"/>
            <w:noWrap/>
            <w:hideMark/>
          </w:tcPr>
          <w:p w:rsidR="003E0C41" w:rsidRPr="001C4FF7" w:rsidRDefault="003E0C41" w:rsidP="00A01CDB">
            <w:pPr>
              <w:rPr>
                <w:rFonts w:eastAsia="Times New Roman" w:cs="Times New Roman"/>
                <w:lang w:eastAsia="sk-SK"/>
              </w:rPr>
            </w:pPr>
            <w:r>
              <w:rPr>
                <w:rFonts w:eastAsia="Times New Roman" w:cs="Times New Roman"/>
                <w:lang w:eastAsia="sk-SK"/>
              </w:rPr>
              <w:t>0</w:t>
            </w:r>
          </w:p>
        </w:tc>
        <w:tc>
          <w:tcPr>
            <w:tcW w:w="1170" w:type="dxa"/>
            <w:noWrap/>
            <w:hideMark/>
          </w:tcPr>
          <w:p w:rsidR="003E0C41" w:rsidRPr="001C4FF7" w:rsidRDefault="003E0C41" w:rsidP="00A01CDB">
            <w:pPr>
              <w:rPr>
                <w:rFonts w:eastAsia="Times New Roman" w:cs="Times New Roman"/>
                <w:lang w:eastAsia="sk-SK"/>
              </w:rPr>
            </w:pPr>
            <w:r>
              <w:rPr>
                <w:rFonts w:eastAsia="Times New Roman" w:cs="Times New Roman"/>
                <w:lang w:eastAsia="sk-SK"/>
              </w:rPr>
              <w:t>0</w:t>
            </w:r>
          </w:p>
        </w:tc>
      </w:tr>
      <w:tr w:rsidR="003E0C41" w:rsidRPr="003F11FE" w:rsidTr="003E0C41">
        <w:trPr>
          <w:trHeight w:val="256"/>
        </w:trPr>
        <w:tc>
          <w:tcPr>
            <w:tcW w:w="1700" w:type="dxa"/>
            <w:noWrap/>
            <w:hideMark/>
          </w:tcPr>
          <w:p w:rsidR="003E0C41" w:rsidRPr="001C4FF7" w:rsidRDefault="003E0C41" w:rsidP="00A01CDB">
            <w:pPr>
              <w:rPr>
                <w:rFonts w:eastAsia="Times New Roman" w:cs="Times New Roman"/>
                <w:lang w:eastAsia="sk-SK"/>
              </w:rPr>
            </w:pPr>
            <w:r w:rsidRPr="001C4FF7">
              <w:rPr>
                <w:rFonts w:eastAsia="Times New Roman" w:cs="Times New Roman"/>
                <w:lang w:eastAsia="sk-SK"/>
              </w:rPr>
              <w:t>Š a R v r. 2025</w:t>
            </w:r>
          </w:p>
        </w:tc>
        <w:tc>
          <w:tcPr>
            <w:tcW w:w="1170" w:type="dxa"/>
            <w:noWrap/>
            <w:hideMark/>
          </w:tcPr>
          <w:p w:rsidR="003E0C41" w:rsidRPr="001C4FF7" w:rsidRDefault="003E0C41" w:rsidP="00A01CDB">
            <w:pPr>
              <w:rPr>
                <w:rFonts w:eastAsia="Times New Roman" w:cs="Times New Roman"/>
                <w:lang w:eastAsia="sk-SK"/>
              </w:rPr>
            </w:pPr>
            <w:r w:rsidRPr="001C4FF7">
              <w:rPr>
                <w:rFonts w:eastAsia="Times New Roman" w:cs="Times New Roman"/>
                <w:lang w:eastAsia="sk-SK"/>
              </w:rPr>
              <w:t>0</w:t>
            </w:r>
          </w:p>
        </w:tc>
        <w:tc>
          <w:tcPr>
            <w:tcW w:w="1170" w:type="dxa"/>
            <w:noWrap/>
            <w:hideMark/>
          </w:tcPr>
          <w:p w:rsidR="003E0C41" w:rsidRPr="001C4FF7" w:rsidRDefault="003E0C41" w:rsidP="00A01CDB">
            <w:pPr>
              <w:rPr>
                <w:rFonts w:eastAsia="Times New Roman" w:cs="Times New Roman"/>
                <w:lang w:eastAsia="sk-SK"/>
              </w:rPr>
            </w:pPr>
            <w:r w:rsidRPr="001C4FF7">
              <w:rPr>
                <w:rFonts w:eastAsia="Times New Roman" w:cs="Times New Roman"/>
                <w:lang w:eastAsia="sk-SK"/>
              </w:rPr>
              <w:t>0</w:t>
            </w:r>
          </w:p>
        </w:tc>
        <w:tc>
          <w:tcPr>
            <w:tcW w:w="1170" w:type="dxa"/>
            <w:noWrap/>
            <w:hideMark/>
          </w:tcPr>
          <w:p w:rsidR="003E0C41" w:rsidRPr="001C4FF7" w:rsidRDefault="003E0C41" w:rsidP="00A01CDB">
            <w:pPr>
              <w:rPr>
                <w:rFonts w:eastAsia="Times New Roman" w:cs="Times New Roman"/>
                <w:lang w:eastAsia="sk-SK"/>
              </w:rPr>
            </w:pPr>
            <w:r>
              <w:rPr>
                <w:rFonts w:eastAsia="Times New Roman" w:cs="Times New Roman"/>
                <w:lang w:eastAsia="sk-SK"/>
              </w:rPr>
              <w:t>0</w:t>
            </w:r>
          </w:p>
        </w:tc>
        <w:tc>
          <w:tcPr>
            <w:tcW w:w="1170" w:type="dxa"/>
            <w:noWrap/>
            <w:hideMark/>
          </w:tcPr>
          <w:p w:rsidR="003E0C41" w:rsidRPr="001C4FF7" w:rsidRDefault="003E0C41" w:rsidP="00A01CDB">
            <w:pPr>
              <w:rPr>
                <w:rFonts w:eastAsia="Times New Roman" w:cs="Times New Roman"/>
                <w:lang w:eastAsia="sk-SK"/>
              </w:rPr>
            </w:pPr>
            <w:r>
              <w:rPr>
                <w:rFonts w:eastAsia="Times New Roman" w:cs="Times New Roman"/>
                <w:lang w:eastAsia="sk-SK"/>
              </w:rPr>
              <w:t>0</w:t>
            </w:r>
          </w:p>
        </w:tc>
      </w:tr>
      <w:tr w:rsidR="003E0C41" w:rsidRPr="003F11FE" w:rsidTr="003E0C41">
        <w:trPr>
          <w:trHeight w:val="256"/>
        </w:trPr>
        <w:tc>
          <w:tcPr>
            <w:tcW w:w="1700" w:type="dxa"/>
            <w:noWrap/>
            <w:hideMark/>
          </w:tcPr>
          <w:p w:rsidR="003E0C41" w:rsidRPr="001C4FF7" w:rsidRDefault="003E0C41" w:rsidP="00A01CDB">
            <w:pPr>
              <w:rPr>
                <w:rFonts w:eastAsia="Times New Roman" w:cs="Times New Roman"/>
                <w:lang w:eastAsia="sk-SK"/>
              </w:rPr>
            </w:pPr>
            <w:r w:rsidRPr="001C4FF7">
              <w:rPr>
                <w:rFonts w:eastAsia="Times New Roman" w:cs="Times New Roman"/>
                <w:lang w:eastAsia="sk-SK"/>
              </w:rPr>
              <w:t>Š a R v r. 2026</w:t>
            </w:r>
          </w:p>
        </w:tc>
        <w:tc>
          <w:tcPr>
            <w:tcW w:w="1170" w:type="dxa"/>
            <w:noWrap/>
            <w:hideMark/>
          </w:tcPr>
          <w:p w:rsidR="003E0C41" w:rsidRPr="001C4FF7" w:rsidRDefault="003E0C41" w:rsidP="00A01CDB">
            <w:pPr>
              <w:rPr>
                <w:rFonts w:eastAsia="Times New Roman" w:cs="Times New Roman"/>
                <w:lang w:eastAsia="sk-SK"/>
              </w:rPr>
            </w:pPr>
            <w:r w:rsidRPr="001C4FF7">
              <w:rPr>
                <w:rFonts w:eastAsia="Times New Roman" w:cs="Times New Roman"/>
                <w:lang w:eastAsia="sk-SK"/>
              </w:rPr>
              <w:t>0</w:t>
            </w:r>
          </w:p>
        </w:tc>
        <w:tc>
          <w:tcPr>
            <w:tcW w:w="1170" w:type="dxa"/>
            <w:noWrap/>
            <w:hideMark/>
          </w:tcPr>
          <w:p w:rsidR="003E0C41" w:rsidRPr="001C4FF7" w:rsidRDefault="003E0C41" w:rsidP="00A01CDB">
            <w:pPr>
              <w:rPr>
                <w:rFonts w:eastAsia="Times New Roman" w:cs="Times New Roman"/>
                <w:lang w:eastAsia="sk-SK"/>
              </w:rPr>
            </w:pPr>
            <w:r w:rsidRPr="001C4FF7">
              <w:rPr>
                <w:rFonts w:eastAsia="Times New Roman" w:cs="Times New Roman"/>
                <w:lang w:eastAsia="sk-SK"/>
              </w:rPr>
              <w:t>0</w:t>
            </w:r>
          </w:p>
        </w:tc>
        <w:tc>
          <w:tcPr>
            <w:tcW w:w="1170" w:type="dxa"/>
            <w:noWrap/>
            <w:hideMark/>
          </w:tcPr>
          <w:p w:rsidR="003E0C41" w:rsidRPr="001C4FF7" w:rsidRDefault="003E0C41" w:rsidP="00A01CDB">
            <w:pPr>
              <w:rPr>
                <w:rFonts w:eastAsia="Times New Roman" w:cs="Times New Roman"/>
                <w:lang w:eastAsia="sk-SK"/>
              </w:rPr>
            </w:pPr>
            <w:r>
              <w:rPr>
                <w:rFonts w:eastAsia="Times New Roman" w:cs="Times New Roman"/>
                <w:lang w:eastAsia="sk-SK"/>
              </w:rPr>
              <w:t>0</w:t>
            </w:r>
          </w:p>
        </w:tc>
        <w:tc>
          <w:tcPr>
            <w:tcW w:w="1170" w:type="dxa"/>
            <w:noWrap/>
            <w:hideMark/>
          </w:tcPr>
          <w:p w:rsidR="003E0C41" w:rsidRPr="001C4FF7" w:rsidRDefault="003E0C41" w:rsidP="00A01CDB">
            <w:pPr>
              <w:rPr>
                <w:rFonts w:eastAsia="Times New Roman" w:cs="Times New Roman"/>
                <w:lang w:eastAsia="sk-SK"/>
              </w:rPr>
            </w:pPr>
            <w:r>
              <w:rPr>
                <w:rFonts w:eastAsia="Times New Roman" w:cs="Times New Roman"/>
                <w:lang w:eastAsia="sk-SK"/>
              </w:rPr>
              <w:t>0</w:t>
            </w:r>
          </w:p>
        </w:tc>
      </w:tr>
      <w:tr w:rsidR="003E0C41" w:rsidRPr="003F11FE" w:rsidTr="003E0C41">
        <w:trPr>
          <w:trHeight w:val="256"/>
        </w:trPr>
        <w:tc>
          <w:tcPr>
            <w:tcW w:w="1700" w:type="dxa"/>
            <w:noWrap/>
            <w:hideMark/>
          </w:tcPr>
          <w:p w:rsidR="003E0C41" w:rsidRPr="001C4FF7" w:rsidRDefault="003E0C41" w:rsidP="00A01CDB">
            <w:pPr>
              <w:rPr>
                <w:rFonts w:eastAsia="Times New Roman" w:cs="Times New Roman"/>
                <w:lang w:eastAsia="sk-SK"/>
              </w:rPr>
            </w:pPr>
            <w:r w:rsidRPr="001C4FF7">
              <w:rPr>
                <w:rFonts w:eastAsia="Times New Roman" w:cs="Times New Roman"/>
                <w:lang w:eastAsia="sk-SK"/>
              </w:rPr>
              <w:t>Š a R v r. 2027</w:t>
            </w:r>
          </w:p>
        </w:tc>
        <w:tc>
          <w:tcPr>
            <w:tcW w:w="1170" w:type="dxa"/>
            <w:noWrap/>
            <w:hideMark/>
          </w:tcPr>
          <w:p w:rsidR="003E0C41" w:rsidRPr="001C4FF7" w:rsidRDefault="003E0C41" w:rsidP="00A01CDB">
            <w:pPr>
              <w:rPr>
                <w:rFonts w:eastAsia="Times New Roman" w:cs="Times New Roman"/>
                <w:lang w:eastAsia="sk-SK"/>
              </w:rPr>
            </w:pPr>
            <w:r w:rsidRPr="001C4FF7">
              <w:rPr>
                <w:rFonts w:eastAsia="Times New Roman" w:cs="Times New Roman"/>
                <w:lang w:eastAsia="sk-SK"/>
              </w:rPr>
              <w:t>0</w:t>
            </w:r>
          </w:p>
        </w:tc>
        <w:tc>
          <w:tcPr>
            <w:tcW w:w="1170" w:type="dxa"/>
            <w:noWrap/>
            <w:hideMark/>
          </w:tcPr>
          <w:p w:rsidR="003E0C41" w:rsidRPr="001C4FF7" w:rsidRDefault="003E0C41" w:rsidP="00A01CDB">
            <w:pPr>
              <w:rPr>
                <w:rFonts w:eastAsia="Times New Roman" w:cs="Times New Roman"/>
                <w:lang w:eastAsia="sk-SK"/>
              </w:rPr>
            </w:pPr>
            <w:r w:rsidRPr="001C4FF7">
              <w:rPr>
                <w:rFonts w:eastAsia="Times New Roman" w:cs="Times New Roman"/>
                <w:lang w:eastAsia="sk-SK"/>
              </w:rPr>
              <w:t>0</w:t>
            </w:r>
          </w:p>
        </w:tc>
        <w:tc>
          <w:tcPr>
            <w:tcW w:w="1170" w:type="dxa"/>
            <w:noWrap/>
            <w:hideMark/>
          </w:tcPr>
          <w:p w:rsidR="003E0C41" w:rsidRPr="001C4FF7" w:rsidRDefault="003E0C41" w:rsidP="00A01CDB">
            <w:pPr>
              <w:rPr>
                <w:rFonts w:eastAsia="Times New Roman" w:cs="Times New Roman"/>
                <w:lang w:eastAsia="sk-SK"/>
              </w:rPr>
            </w:pPr>
            <w:r>
              <w:rPr>
                <w:rFonts w:eastAsia="Times New Roman" w:cs="Times New Roman"/>
                <w:lang w:eastAsia="sk-SK"/>
              </w:rPr>
              <w:t>0</w:t>
            </w:r>
          </w:p>
        </w:tc>
        <w:tc>
          <w:tcPr>
            <w:tcW w:w="1170" w:type="dxa"/>
            <w:noWrap/>
            <w:hideMark/>
          </w:tcPr>
          <w:p w:rsidR="003E0C41" w:rsidRPr="001C4FF7" w:rsidRDefault="003E0C41" w:rsidP="00A01CDB">
            <w:pPr>
              <w:rPr>
                <w:rFonts w:eastAsia="Times New Roman" w:cs="Times New Roman"/>
                <w:lang w:eastAsia="sk-SK"/>
              </w:rPr>
            </w:pPr>
            <w:r>
              <w:rPr>
                <w:rFonts w:eastAsia="Times New Roman" w:cs="Times New Roman"/>
                <w:lang w:eastAsia="sk-SK"/>
              </w:rPr>
              <w:t>0</w:t>
            </w:r>
          </w:p>
        </w:tc>
      </w:tr>
      <w:tr w:rsidR="003E0C41" w:rsidRPr="003F11FE" w:rsidTr="003E0C41">
        <w:trPr>
          <w:trHeight w:val="256"/>
        </w:trPr>
        <w:tc>
          <w:tcPr>
            <w:tcW w:w="1700" w:type="dxa"/>
            <w:noWrap/>
            <w:hideMark/>
          </w:tcPr>
          <w:p w:rsidR="003E0C41" w:rsidRPr="001C4FF7" w:rsidRDefault="003E0C41" w:rsidP="00A01CDB">
            <w:pPr>
              <w:rPr>
                <w:rFonts w:eastAsia="Times New Roman" w:cs="Times New Roman"/>
                <w:lang w:eastAsia="sk-SK"/>
              </w:rPr>
            </w:pPr>
            <w:r w:rsidRPr="001C4FF7">
              <w:rPr>
                <w:rFonts w:eastAsia="Times New Roman" w:cs="Times New Roman"/>
                <w:lang w:eastAsia="sk-SK"/>
              </w:rPr>
              <w:t>Š a R v r. 2028</w:t>
            </w:r>
          </w:p>
        </w:tc>
        <w:tc>
          <w:tcPr>
            <w:tcW w:w="1170" w:type="dxa"/>
            <w:noWrap/>
            <w:hideMark/>
          </w:tcPr>
          <w:p w:rsidR="003E0C41" w:rsidRPr="001C4FF7" w:rsidRDefault="003E0C41" w:rsidP="00A01CDB">
            <w:pPr>
              <w:rPr>
                <w:rFonts w:eastAsia="Times New Roman" w:cs="Times New Roman"/>
                <w:lang w:eastAsia="sk-SK"/>
              </w:rPr>
            </w:pPr>
            <w:r w:rsidRPr="001C4FF7">
              <w:rPr>
                <w:rFonts w:eastAsia="Times New Roman" w:cs="Times New Roman"/>
                <w:lang w:eastAsia="sk-SK"/>
              </w:rPr>
              <w:t>0</w:t>
            </w:r>
          </w:p>
        </w:tc>
        <w:tc>
          <w:tcPr>
            <w:tcW w:w="1170" w:type="dxa"/>
            <w:noWrap/>
            <w:hideMark/>
          </w:tcPr>
          <w:p w:rsidR="003E0C41" w:rsidRPr="001C4FF7" w:rsidRDefault="003E0C41" w:rsidP="00A01CDB">
            <w:pPr>
              <w:rPr>
                <w:rFonts w:eastAsia="Times New Roman" w:cs="Times New Roman"/>
                <w:lang w:eastAsia="sk-SK"/>
              </w:rPr>
            </w:pPr>
            <w:r w:rsidRPr="001C4FF7">
              <w:rPr>
                <w:rFonts w:eastAsia="Times New Roman" w:cs="Times New Roman"/>
                <w:lang w:eastAsia="sk-SK"/>
              </w:rPr>
              <w:t>0</w:t>
            </w:r>
          </w:p>
        </w:tc>
        <w:tc>
          <w:tcPr>
            <w:tcW w:w="1170" w:type="dxa"/>
            <w:noWrap/>
            <w:hideMark/>
          </w:tcPr>
          <w:p w:rsidR="003E0C41" w:rsidRPr="001C4FF7" w:rsidRDefault="003E0C41" w:rsidP="00A01CDB">
            <w:pPr>
              <w:rPr>
                <w:rFonts w:eastAsia="Times New Roman" w:cs="Times New Roman"/>
                <w:lang w:eastAsia="sk-SK"/>
              </w:rPr>
            </w:pPr>
            <w:r>
              <w:rPr>
                <w:rFonts w:eastAsia="Times New Roman" w:cs="Times New Roman"/>
                <w:lang w:eastAsia="sk-SK"/>
              </w:rPr>
              <w:t>0</w:t>
            </w:r>
          </w:p>
        </w:tc>
        <w:tc>
          <w:tcPr>
            <w:tcW w:w="1170" w:type="dxa"/>
            <w:noWrap/>
            <w:hideMark/>
          </w:tcPr>
          <w:p w:rsidR="003E0C41" w:rsidRPr="001C4FF7" w:rsidRDefault="003E0C41" w:rsidP="00A01CDB">
            <w:pPr>
              <w:rPr>
                <w:rFonts w:eastAsia="Times New Roman" w:cs="Times New Roman"/>
                <w:lang w:eastAsia="sk-SK"/>
              </w:rPr>
            </w:pPr>
            <w:r>
              <w:rPr>
                <w:rFonts w:eastAsia="Times New Roman" w:cs="Times New Roman"/>
                <w:lang w:eastAsia="sk-SK"/>
              </w:rPr>
              <w:t>0</w:t>
            </w:r>
          </w:p>
        </w:tc>
      </w:tr>
      <w:tr w:rsidR="003E0C41" w:rsidRPr="003F11FE" w:rsidTr="003E0C41">
        <w:trPr>
          <w:trHeight w:val="256"/>
        </w:trPr>
        <w:tc>
          <w:tcPr>
            <w:tcW w:w="1700" w:type="dxa"/>
            <w:noWrap/>
            <w:hideMark/>
          </w:tcPr>
          <w:p w:rsidR="003E0C41" w:rsidRPr="001C4FF7" w:rsidRDefault="003E0C41" w:rsidP="00A01CDB">
            <w:pPr>
              <w:rPr>
                <w:rFonts w:eastAsia="Times New Roman" w:cs="Times New Roman"/>
                <w:lang w:eastAsia="sk-SK"/>
              </w:rPr>
            </w:pPr>
            <w:r w:rsidRPr="001C4FF7">
              <w:rPr>
                <w:rFonts w:eastAsia="Times New Roman" w:cs="Times New Roman"/>
                <w:lang w:eastAsia="sk-SK"/>
              </w:rPr>
              <w:t>Š a R v r. 2029</w:t>
            </w:r>
          </w:p>
        </w:tc>
        <w:tc>
          <w:tcPr>
            <w:tcW w:w="1170" w:type="dxa"/>
            <w:noWrap/>
            <w:hideMark/>
          </w:tcPr>
          <w:p w:rsidR="003E0C41" w:rsidRPr="001C4FF7" w:rsidRDefault="003E0C41" w:rsidP="00A01CDB">
            <w:pPr>
              <w:rPr>
                <w:rFonts w:eastAsia="Times New Roman" w:cs="Times New Roman"/>
                <w:lang w:eastAsia="sk-SK"/>
              </w:rPr>
            </w:pPr>
            <w:r w:rsidRPr="001C4FF7">
              <w:rPr>
                <w:rFonts w:eastAsia="Times New Roman" w:cs="Times New Roman"/>
                <w:lang w:eastAsia="sk-SK"/>
              </w:rPr>
              <w:t>0</w:t>
            </w:r>
          </w:p>
        </w:tc>
        <w:tc>
          <w:tcPr>
            <w:tcW w:w="1170" w:type="dxa"/>
            <w:noWrap/>
            <w:hideMark/>
          </w:tcPr>
          <w:p w:rsidR="003E0C41" w:rsidRPr="001C4FF7" w:rsidRDefault="003E0C41" w:rsidP="00A01CDB">
            <w:pPr>
              <w:rPr>
                <w:rFonts w:eastAsia="Times New Roman" w:cs="Times New Roman"/>
                <w:lang w:eastAsia="sk-SK"/>
              </w:rPr>
            </w:pPr>
            <w:r w:rsidRPr="001C4FF7">
              <w:rPr>
                <w:rFonts w:eastAsia="Times New Roman" w:cs="Times New Roman"/>
                <w:lang w:eastAsia="sk-SK"/>
              </w:rPr>
              <w:t>0</w:t>
            </w:r>
          </w:p>
        </w:tc>
        <w:tc>
          <w:tcPr>
            <w:tcW w:w="1170" w:type="dxa"/>
            <w:noWrap/>
            <w:hideMark/>
          </w:tcPr>
          <w:p w:rsidR="003E0C41" w:rsidRPr="001C4FF7" w:rsidRDefault="003E0C41" w:rsidP="00A01CDB">
            <w:pPr>
              <w:rPr>
                <w:rFonts w:eastAsia="Times New Roman" w:cs="Times New Roman"/>
                <w:lang w:eastAsia="sk-SK"/>
              </w:rPr>
            </w:pPr>
            <w:r>
              <w:rPr>
                <w:rFonts w:eastAsia="Times New Roman" w:cs="Times New Roman"/>
                <w:lang w:eastAsia="sk-SK"/>
              </w:rPr>
              <w:t>0</w:t>
            </w:r>
          </w:p>
        </w:tc>
        <w:tc>
          <w:tcPr>
            <w:tcW w:w="1170" w:type="dxa"/>
            <w:noWrap/>
            <w:hideMark/>
          </w:tcPr>
          <w:p w:rsidR="003E0C41" w:rsidRPr="001C4FF7" w:rsidRDefault="003E0C41" w:rsidP="00A01CDB">
            <w:pPr>
              <w:rPr>
                <w:rFonts w:eastAsia="Times New Roman" w:cs="Times New Roman"/>
                <w:lang w:eastAsia="sk-SK"/>
              </w:rPr>
            </w:pPr>
            <w:r>
              <w:rPr>
                <w:rFonts w:eastAsia="Times New Roman" w:cs="Times New Roman"/>
                <w:lang w:eastAsia="sk-SK"/>
              </w:rPr>
              <w:t>0</w:t>
            </w:r>
          </w:p>
        </w:tc>
      </w:tr>
      <w:tr w:rsidR="003E0C41" w:rsidRPr="003F11FE" w:rsidTr="003E0C41">
        <w:trPr>
          <w:trHeight w:val="256"/>
        </w:trPr>
        <w:tc>
          <w:tcPr>
            <w:tcW w:w="1700" w:type="dxa"/>
            <w:noWrap/>
            <w:hideMark/>
          </w:tcPr>
          <w:p w:rsidR="003E0C41" w:rsidRPr="001C4FF7" w:rsidRDefault="003E0C41" w:rsidP="00A01CDB">
            <w:pPr>
              <w:rPr>
                <w:rFonts w:eastAsia="Times New Roman" w:cs="Times New Roman"/>
                <w:lang w:eastAsia="sk-SK"/>
              </w:rPr>
            </w:pPr>
            <w:r w:rsidRPr="001C4FF7">
              <w:rPr>
                <w:rFonts w:eastAsia="Times New Roman" w:cs="Times New Roman"/>
                <w:lang w:eastAsia="sk-SK"/>
              </w:rPr>
              <w:t>Š a R v r. 2030</w:t>
            </w:r>
          </w:p>
        </w:tc>
        <w:tc>
          <w:tcPr>
            <w:tcW w:w="1170" w:type="dxa"/>
            <w:noWrap/>
            <w:hideMark/>
          </w:tcPr>
          <w:p w:rsidR="003E0C41" w:rsidRPr="001C4FF7" w:rsidRDefault="003E0C41" w:rsidP="00A01CDB">
            <w:pPr>
              <w:rPr>
                <w:rFonts w:eastAsia="Times New Roman" w:cs="Times New Roman"/>
                <w:lang w:eastAsia="sk-SK"/>
              </w:rPr>
            </w:pPr>
            <w:r w:rsidRPr="001C4FF7">
              <w:rPr>
                <w:rFonts w:eastAsia="Times New Roman" w:cs="Times New Roman"/>
                <w:lang w:eastAsia="sk-SK"/>
              </w:rPr>
              <w:t>0</w:t>
            </w:r>
          </w:p>
        </w:tc>
        <w:tc>
          <w:tcPr>
            <w:tcW w:w="1170" w:type="dxa"/>
            <w:noWrap/>
            <w:hideMark/>
          </w:tcPr>
          <w:p w:rsidR="003E0C41" w:rsidRPr="001C4FF7" w:rsidRDefault="003E0C41" w:rsidP="00A01CDB">
            <w:pPr>
              <w:rPr>
                <w:rFonts w:eastAsia="Times New Roman" w:cs="Times New Roman"/>
                <w:lang w:eastAsia="sk-SK"/>
              </w:rPr>
            </w:pPr>
            <w:r w:rsidRPr="001C4FF7">
              <w:rPr>
                <w:rFonts w:eastAsia="Times New Roman" w:cs="Times New Roman"/>
                <w:lang w:eastAsia="sk-SK"/>
              </w:rPr>
              <w:t>0</w:t>
            </w:r>
          </w:p>
        </w:tc>
        <w:tc>
          <w:tcPr>
            <w:tcW w:w="1170" w:type="dxa"/>
            <w:noWrap/>
            <w:hideMark/>
          </w:tcPr>
          <w:p w:rsidR="003E0C41" w:rsidRPr="001C4FF7" w:rsidRDefault="003E0C41" w:rsidP="00A01CDB">
            <w:pPr>
              <w:rPr>
                <w:rFonts w:eastAsia="Times New Roman" w:cs="Times New Roman"/>
                <w:lang w:eastAsia="sk-SK"/>
              </w:rPr>
            </w:pPr>
            <w:r>
              <w:rPr>
                <w:rFonts w:eastAsia="Times New Roman" w:cs="Times New Roman"/>
                <w:lang w:eastAsia="sk-SK"/>
              </w:rPr>
              <w:t>0</w:t>
            </w:r>
          </w:p>
        </w:tc>
        <w:tc>
          <w:tcPr>
            <w:tcW w:w="1170" w:type="dxa"/>
            <w:noWrap/>
            <w:hideMark/>
          </w:tcPr>
          <w:p w:rsidR="003E0C41" w:rsidRPr="001C4FF7" w:rsidRDefault="003E0C41" w:rsidP="00A01CDB">
            <w:pPr>
              <w:rPr>
                <w:rFonts w:eastAsia="Times New Roman" w:cs="Times New Roman"/>
                <w:lang w:eastAsia="sk-SK"/>
              </w:rPr>
            </w:pPr>
            <w:r>
              <w:rPr>
                <w:rFonts w:eastAsia="Times New Roman" w:cs="Times New Roman"/>
                <w:lang w:eastAsia="sk-SK"/>
              </w:rPr>
              <w:t>0</w:t>
            </w:r>
          </w:p>
        </w:tc>
      </w:tr>
      <w:tr w:rsidR="003E0C41" w:rsidRPr="003F11FE" w:rsidTr="003E0C41">
        <w:trPr>
          <w:trHeight w:val="256"/>
        </w:trPr>
        <w:tc>
          <w:tcPr>
            <w:tcW w:w="1700" w:type="dxa"/>
            <w:noWrap/>
            <w:hideMark/>
          </w:tcPr>
          <w:p w:rsidR="003E0C41" w:rsidRPr="001C4FF7" w:rsidRDefault="003E0C41" w:rsidP="00A01CDB">
            <w:pPr>
              <w:rPr>
                <w:rFonts w:eastAsia="Times New Roman" w:cs="Times New Roman"/>
                <w:lang w:eastAsia="sk-SK"/>
              </w:rPr>
            </w:pPr>
            <w:r w:rsidRPr="001C4FF7">
              <w:rPr>
                <w:rFonts w:eastAsia="Times New Roman" w:cs="Times New Roman"/>
                <w:lang w:eastAsia="sk-SK"/>
              </w:rPr>
              <w:t>Spolu Š a</w:t>
            </w:r>
            <w:r w:rsidR="00A01CDB">
              <w:rPr>
                <w:rFonts w:eastAsia="Times New Roman" w:cs="Times New Roman"/>
                <w:lang w:eastAsia="sk-SK"/>
              </w:rPr>
              <w:t> </w:t>
            </w:r>
            <w:r w:rsidRPr="001C4FF7">
              <w:rPr>
                <w:rFonts w:eastAsia="Times New Roman" w:cs="Times New Roman"/>
                <w:lang w:eastAsia="sk-SK"/>
              </w:rPr>
              <w:t>R</w:t>
            </w:r>
          </w:p>
        </w:tc>
        <w:tc>
          <w:tcPr>
            <w:tcW w:w="1170" w:type="dxa"/>
            <w:noWrap/>
            <w:hideMark/>
          </w:tcPr>
          <w:p w:rsidR="003E0C41" w:rsidRPr="001C4FF7" w:rsidRDefault="003E0C41" w:rsidP="00A01CDB">
            <w:pPr>
              <w:rPr>
                <w:rFonts w:eastAsia="Times New Roman" w:cs="Times New Roman"/>
                <w:lang w:eastAsia="sk-SK"/>
              </w:rPr>
            </w:pPr>
            <w:r w:rsidRPr="001C4FF7">
              <w:rPr>
                <w:rFonts w:eastAsia="Times New Roman" w:cs="Times New Roman"/>
                <w:lang w:eastAsia="sk-SK"/>
              </w:rPr>
              <w:t>3 076 825</w:t>
            </w:r>
          </w:p>
        </w:tc>
        <w:tc>
          <w:tcPr>
            <w:tcW w:w="1170" w:type="dxa"/>
            <w:noWrap/>
            <w:hideMark/>
          </w:tcPr>
          <w:p w:rsidR="003E0C41" w:rsidRPr="001C4FF7" w:rsidRDefault="003E0C41" w:rsidP="00A01CDB">
            <w:pPr>
              <w:rPr>
                <w:rFonts w:eastAsia="Times New Roman" w:cs="Times New Roman"/>
                <w:lang w:eastAsia="sk-SK"/>
              </w:rPr>
            </w:pPr>
            <w:r w:rsidRPr="001C4FF7">
              <w:rPr>
                <w:rFonts w:eastAsia="Times New Roman" w:cs="Times New Roman"/>
                <w:lang w:eastAsia="sk-SK"/>
              </w:rPr>
              <w:t>2 839 243</w:t>
            </w:r>
          </w:p>
        </w:tc>
        <w:tc>
          <w:tcPr>
            <w:tcW w:w="1170" w:type="dxa"/>
            <w:noWrap/>
            <w:hideMark/>
          </w:tcPr>
          <w:p w:rsidR="003E0C41" w:rsidRPr="001C4FF7" w:rsidRDefault="003E0C41" w:rsidP="00A01CDB">
            <w:pPr>
              <w:rPr>
                <w:rFonts w:eastAsia="Times New Roman" w:cs="Times New Roman"/>
                <w:lang w:eastAsia="sk-SK"/>
              </w:rPr>
            </w:pPr>
            <w:r>
              <w:rPr>
                <w:rFonts w:eastAsia="Times New Roman" w:cs="Times New Roman"/>
                <w:lang w:eastAsia="sk-SK"/>
              </w:rPr>
              <w:t>510 530</w:t>
            </w:r>
          </w:p>
        </w:tc>
        <w:tc>
          <w:tcPr>
            <w:tcW w:w="1170" w:type="dxa"/>
            <w:noWrap/>
            <w:hideMark/>
          </w:tcPr>
          <w:p w:rsidR="003E0C41" w:rsidRPr="001C4FF7" w:rsidRDefault="003E0C41" w:rsidP="00A01CDB">
            <w:pPr>
              <w:rPr>
                <w:rFonts w:eastAsia="Times New Roman" w:cs="Times New Roman"/>
                <w:lang w:eastAsia="sk-SK"/>
              </w:rPr>
            </w:pPr>
            <w:r>
              <w:rPr>
                <w:rFonts w:eastAsia="Times New Roman" w:cs="Times New Roman"/>
                <w:lang w:eastAsia="sk-SK"/>
              </w:rPr>
              <w:t>503 314</w:t>
            </w:r>
          </w:p>
        </w:tc>
      </w:tr>
    </w:tbl>
    <w:p w:rsidR="003E0C41" w:rsidRPr="00691181" w:rsidRDefault="003E0C41" w:rsidP="00A01CDB">
      <w:pPr>
        <w:rPr>
          <w:i/>
          <w:sz w:val="20"/>
          <w:szCs w:val="20"/>
        </w:rPr>
      </w:pPr>
      <w:r>
        <w:rPr>
          <w:i/>
          <w:sz w:val="20"/>
          <w:szCs w:val="20"/>
        </w:rPr>
        <w:t>Zdroj: vlastné spracovanie podľa internej evidencie spoločnosti</w:t>
      </w:r>
    </w:p>
    <w:p w:rsidR="003E0C41" w:rsidRDefault="003E0C41" w:rsidP="00A01CDB"/>
    <w:p w:rsidR="003E0C41" w:rsidRDefault="003E0C41" w:rsidP="00A01CDB">
      <w:r>
        <w:t xml:space="preserve">V tabuľke vidíme, ako podnik tvorí celkové rezervy pre dané ťažobné pole. Hodnoty v stĺpcoch 7.ŤP a 8.ŤP udávajú celkový súčet rezerv na škody, výkupy, asanácie, projekty a rekultivácie pre dané ťažobné pole. Stĺpec SH pri oboch ťažobných poliach udáva súčasnú hodnotu záväzku. Súčtová hodnota v poslednom riadku udáva, aká celková rezerva sa má vytvoriť pre náhradu škôd a rekultivácií pre konkrétne ťažobné polia. Hodnoty za jednotlivé roky udávajú, v akej výške sa má rezerva vytvoriť ku koncu daného roku. </w:t>
      </w:r>
    </w:p>
    <w:p w:rsidR="008C567A" w:rsidRDefault="008C567A" w:rsidP="00A01CDB"/>
    <w:p w:rsidR="00B42C39" w:rsidRDefault="00B42C39" w:rsidP="00A01CDB">
      <w:r>
        <w:t xml:space="preserve">Na prvú ukážku použijeme rok 2022. Pre 7. ťažobné pole (ŤP) sa musí do 31.12.2022 vytvoriť rezerva o výške 489 208 €. V nasledujúcom roku 2023 sa teda predpokladá výdaj v tejto výške potrebný k náhrade škôd alebo na rekultiváciu pozemkov zasiahnutým týmto ťažobným poľom. Stĺpec SH udáva, aká je súčasná hodnota výšky danej rezervy. Pre rok 2022 je súčasná hodnota </w:t>
      </w:r>
      <w:r w:rsidR="00E172F8">
        <w:t xml:space="preserve">záväzku 428 457 €. Vychádzajúc </w:t>
      </w:r>
      <w:r>
        <w:t xml:space="preserve">z princípov a zásad tvorby rezerv podľa IFRS to znamená, že keby si podnik dnes kúpil štátny dlhopis v hodnote 428 457 €, tak v roku 2022 by mal sumu potrebnú na vytvorenie rezervy na úhradu predmetnej škody vo výške 489 208 €. </w:t>
      </w:r>
    </w:p>
    <w:p w:rsidR="008C567A" w:rsidRDefault="008C567A" w:rsidP="00A01CDB"/>
    <w:p w:rsidR="00B42C39" w:rsidRDefault="00B42C39" w:rsidP="00A01CDB">
      <w:proofErr w:type="spellStart"/>
      <w:r>
        <w:lastRenderedPageBreak/>
        <w:t>Odúročovanie</w:t>
      </w:r>
      <w:proofErr w:type="spellEnd"/>
      <w:r>
        <w:t xml:space="preserve"> sa počíta podľa úrokových sadzieb štátnych dlhopisov s dobou splatnosti čo najbližšou k dobe vytvorenia rezervy. Používajú sa údaje uverejnené na webovej stránke Agentúry pre riadenie dlhu a likvidity (</w:t>
      </w:r>
      <w:proofErr w:type="spellStart"/>
      <w:r>
        <w:t>www.ardal.sk</w:t>
      </w:r>
      <w:proofErr w:type="spellEnd"/>
      <w:r>
        <w:t>), ktorá zverejňuje všetky aktuálne vydané štátne dlhopisy spolu s ich úrokovými sadzbami</w:t>
      </w:r>
      <w:r>
        <w:rPr>
          <w:rStyle w:val="Odkaznapoznmkupodiarou"/>
        </w:rPr>
        <w:footnoteReference w:id="29"/>
      </w:r>
      <w:r>
        <w:t>.</w:t>
      </w:r>
    </w:p>
    <w:p w:rsidR="008C567A" w:rsidRDefault="008C567A" w:rsidP="00A01CDB"/>
    <w:p w:rsidR="00B42C39" w:rsidRDefault="00B42C39" w:rsidP="00A01CDB">
      <w:r>
        <w:t xml:space="preserve">V zozname za rok 2015 vidíme všetky zobchodované štátne dlhopisy so všetkými potrebnými údajmi, ako je napríklad identifikačné číslo, zobchodovaný objem, dátum vydania a dátum splatnosti či akceptované výnosy do splatnosti. Podnik pre svoje výpočty používa priemerné akceptované výnosy. Podľa hodnôt výnosov sa prepočíta súčasná hodnota rezerv. V prípade rezervy tvorenej v roku 2022 sa </w:t>
      </w:r>
      <w:proofErr w:type="spellStart"/>
      <w:r>
        <w:t>odúročuje</w:t>
      </w:r>
      <w:proofErr w:type="spellEnd"/>
      <w:r>
        <w:t xml:space="preserve"> podľa emisie splatnej  28.2.2023, s výnosom </w:t>
      </w:r>
      <w:r w:rsidRPr="005479CB">
        <w:t xml:space="preserve">1,9123% </w:t>
      </w:r>
      <w:proofErr w:type="spellStart"/>
      <w:r w:rsidRPr="005479CB">
        <w:t>p.a</w:t>
      </w:r>
      <w:proofErr w:type="spellEnd"/>
      <w:r w:rsidRPr="005479CB">
        <w:t>.</w:t>
      </w:r>
      <w:r>
        <w:t xml:space="preserve"> Výpočet prebehne nasledovne: </w:t>
      </w:r>
    </w:p>
    <w:p w:rsidR="00B42C39" w:rsidRDefault="00B42C39" w:rsidP="00A01CDB"/>
    <w:p w:rsidR="00B42C39" w:rsidRDefault="00B42C39" w:rsidP="00A01CDB">
      <w:pPr>
        <w:rPr>
          <w:rFonts w:eastAsiaTheme="minorEastAsia"/>
          <w:sz w:val="28"/>
          <w:szCs w:val="28"/>
        </w:rPr>
      </w:pPr>
      <w:r>
        <w:t xml:space="preserve">súčasná hodnota v r. 2015 = </w:t>
      </w:r>
      <m:oMath>
        <m:f>
          <m:fPr>
            <m:ctrlPr>
              <w:rPr>
                <w:rFonts w:ascii="Cambria Math" w:hAnsi="Cambria Math" w:cs="Times New Roman"/>
                <w:i/>
                <w:sz w:val="28"/>
                <w:szCs w:val="28"/>
              </w:rPr>
            </m:ctrlPr>
          </m:fPr>
          <m:num>
            <m:r>
              <w:rPr>
                <w:rFonts w:ascii="Cambria Math" w:cs="Times New Roman"/>
                <w:sz w:val="28"/>
                <w:szCs w:val="28"/>
              </w:rPr>
              <m:t>489 208</m:t>
            </m:r>
          </m:num>
          <m:den>
            <m:r>
              <w:rPr>
                <w:rFonts w:ascii="Cambria Math" w:cs="Times New Roman"/>
                <w:sz w:val="28"/>
                <w:szCs w:val="28"/>
              </w:rPr>
              <m:t>(1+0, 019123)</m:t>
            </m:r>
            <m:r>
              <w:rPr>
                <w:rFonts w:ascii="Cambria Math" w:cs="Times New Roman"/>
                <w:sz w:val="28"/>
                <w:szCs w:val="28"/>
                <w:lang w:val="en-US"/>
              </w:rPr>
              <m:t>^7</m:t>
            </m:r>
          </m:den>
        </m:f>
      </m:oMath>
      <w:r>
        <w:rPr>
          <w:rFonts w:eastAsiaTheme="minorEastAsia"/>
          <w:sz w:val="28"/>
          <w:szCs w:val="28"/>
        </w:rPr>
        <w:t xml:space="preserve"> = 428 457 €</w:t>
      </w:r>
    </w:p>
    <w:p w:rsidR="00B42C39" w:rsidRDefault="00B42C39" w:rsidP="00A01CDB">
      <w:pPr>
        <w:rPr>
          <w:szCs w:val="24"/>
        </w:rPr>
      </w:pPr>
    </w:p>
    <w:p w:rsidR="00B42C39" w:rsidRDefault="00B42C39" w:rsidP="00A01CDB">
      <w:pPr>
        <w:rPr>
          <w:szCs w:val="24"/>
        </w:rPr>
      </w:pPr>
      <w:r>
        <w:rPr>
          <w:szCs w:val="24"/>
        </w:rPr>
        <w:t xml:space="preserve">Pre lepšiu predstavu uvedieme aj ďalší výpočet. Pre 8. ŤP sa má v roku 2018 vytvoriť rezerva vo výške 120 000 €.  Pre prepočet na súčasnú hodnotu použijeme štátny dlhopis so splatnosťou 28.11.2018, ktorý má úrokovú mieru 1,3102% </w:t>
      </w:r>
      <w:proofErr w:type="spellStart"/>
      <w:r>
        <w:rPr>
          <w:szCs w:val="24"/>
        </w:rPr>
        <w:t>p.a</w:t>
      </w:r>
      <w:proofErr w:type="spellEnd"/>
      <w:r>
        <w:rPr>
          <w:szCs w:val="24"/>
        </w:rPr>
        <w:t>.</w:t>
      </w:r>
    </w:p>
    <w:p w:rsidR="00B42C39" w:rsidRDefault="00B42C39" w:rsidP="00A01CDB">
      <w:pPr>
        <w:rPr>
          <w:szCs w:val="24"/>
        </w:rPr>
      </w:pPr>
    </w:p>
    <w:p w:rsidR="00B42C39" w:rsidRDefault="00B42C39" w:rsidP="00A01CDB">
      <w:pPr>
        <w:rPr>
          <w:rFonts w:eastAsiaTheme="minorEastAsia"/>
          <w:sz w:val="28"/>
          <w:szCs w:val="28"/>
        </w:rPr>
      </w:pPr>
      <w:r>
        <w:rPr>
          <w:szCs w:val="24"/>
        </w:rPr>
        <w:t xml:space="preserve">súčasná hodnota v r. 2018 = </w:t>
      </w:r>
      <m:oMath>
        <m:f>
          <m:fPr>
            <m:ctrlPr>
              <w:rPr>
                <w:rFonts w:ascii="Cambria Math" w:hAnsi="Cambria Math"/>
                <w:i/>
                <w:sz w:val="28"/>
                <w:szCs w:val="28"/>
              </w:rPr>
            </m:ctrlPr>
          </m:fPr>
          <m:num>
            <m:r>
              <w:rPr>
                <w:rFonts w:ascii="Cambria Math" w:hAnsi="Cambria Math"/>
                <w:sz w:val="28"/>
                <w:szCs w:val="28"/>
              </w:rPr>
              <m:t>120 000</m:t>
            </m:r>
          </m:num>
          <m:den>
            <m:r>
              <w:rPr>
                <w:rFonts w:ascii="Cambria Math" w:hAnsi="Cambria Math"/>
                <w:sz w:val="28"/>
                <w:szCs w:val="28"/>
              </w:rPr>
              <m:t>(1+0,013102)</m:t>
            </m:r>
            <m:r>
              <w:rPr>
                <w:rFonts w:ascii="Cambria Math" w:hAnsi="Cambria Math"/>
                <w:sz w:val="28"/>
                <w:szCs w:val="28"/>
                <w:lang w:val="en-US"/>
              </w:rPr>
              <m:t>^3</m:t>
            </m:r>
          </m:den>
        </m:f>
      </m:oMath>
      <w:r w:rsidRPr="001313E8">
        <w:rPr>
          <w:rFonts w:eastAsiaTheme="minorEastAsia"/>
          <w:sz w:val="28"/>
          <w:szCs w:val="28"/>
        </w:rPr>
        <w:t xml:space="preserve"> = </w:t>
      </w:r>
      <w:r>
        <w:rPr>
          <w:rFonts w:eastAsiaTheme="minorEastAsia"/>
          <w:sz w:val="28"/>
          <w:szCs w:val="28"/>
        </w:rPr>
        <w:t>115 404 €</w:t>
      </w:r>
    </w:p>
    <w:p w:rsidR="00B42C39" w:rsidRDefault="00B42C39" w:rsidP="00A01CDB">
      <w:pPr>
        <w:rPr>
          <w:rFonts w:eastAsiaTheme="minorEastAsia"/>
          <w:sz w:val="28"/>
          <w:szCs w:val="28"/>
        </w:rPr>
      </w:pPr>
    </w:p>
    <w:p w:rsidR="00B42C39" w:rsidRDefault="00B42C39" w:rsidP="00A01CDB">
      <w:pPr>
        <w:rPr>
          <w:szCs w:val="24"/>
        </w:rPr>
      </w:pPr>
      <w:r>
        <w:rPr>
          <w:szCs w:val="24"/>
        </w:rPr>
        <w:t xml:space="preserve">Uvedený postup zobrazuje tvorbu rezerv podľa IFRS. </w:t>
      </w:r>
    </w:p>
    <w:p w:rsidR="007E52B5" w:rsidRDefault="007E52B5" w:rsidP="00A01CDB">
      <w:pPr>
        <w:rPr>
          <w:szCs w:val="24"/>
        </w:rPr>
      </w:pPr>
    </w:p>
    <w:p w:rsidR="00B42C39" w:rsidRDefault="00B42C39" w:rsidP="00A01CDB">
      <w:pPr>
        <w:pStyle w:val="Nadpis3"/>
      </w:pPr>
      <w:bookmarkStart w:id="29" w:name="_Toc447622268"/>
      <w:r>
        <w:t>Analýza tvorby podľa slovenskej právnej úpravy - nedaňovo</w:t>
      </w:r>
      <w:bookmarkEnd w:id="29"/>
    </w:p>
    <w:p w:rsidR="00B42C39" w:rsidRDefault="00B42C39" w:rsidP="00A01CDB">
      <w:pPr>
        <w:rPr>
          <w:szCs w:val="24"/>
        </w:rPr>
      </w:pPr>
    </w:p>
    <w:p w:rsidR="00B42C39" w:rsidRDefault="00B42C39" w:rsidP="00A01CDB">
      <w:pPr>
        <w:rPr>
          <w:szCs w:val="24"/>
        </w:rPr>
      </w:pPr>
      <w:r>
        <w:rPr>
          <w:szCs w:val="24"/>
        </w:rPr>
        <w:t>Tvorba rezerv podľa slovenskej právnej úpravy je mierne odlišná, neprepočítava sa na súčasnú hodnotu. Podnik si pre každý rok zostaví tabuľku pre všetky ťažobné polia, uvedie stav rezervy ku koncu predchádzajúceho roku, čerpanie, ktoré prebehlo v danom roku, celkovú budúcu rezervu, životnosť rezervy a stav rezervy ku koncu daného roku.</w:t>
      </w:r>
    </w:p>
    <w:p w:rsidR="00B42C39" w:rsidRDefault="00B42C39" w:rsidP="00A01CDB">
      <w:pPr>
        <w:rPr>
          <w:szCs w:val="24"/>
        </w:rPr>
      </w:pPr>
      <w:r>
        <w:rPr>
          <w:szCs w:val="24"/>
        </w:rPr>
        <w:lastRenderedPageBreak/>
        <w:t xml:space="preserve">Ukážeme si tabuľku pre rok 2014. Tabuľka pre tento rok je názornejšia </w:t>
      </w:r>
      <w:r w:rsidR="00A01CDB">
        <w:rPr>
          <w:szCs w:val="24"/>
        </w:rPr>
        <w:t>k vytvoreniu lepšej predstavy o problematike tvorby rezerv podľa slovenských postupov.</w:t>
      </w:r>
    </w:p>
    <w:p w:rsidR="007E52B5" w:rsidRDefault="007E52B5" w:rsidP="00A01CDB">
      <w:pPr>
        <w:spacing w:line="240" w:lineRule="auto"/>
        <w:rPr>
          <w:b/>
          <w:szCs w:val="24"/>
        </w:rPr>
      </w:pPr>
    </w:p>
    <w:p w:rsidR="007E52B5" w:rsidRDefault="007E52B5" w:rsidP="00A01CDB">
      <w:pPr>
        <w:spacing w:line="240" w:lineRule="auto"/>
        <w:rPr>
          <w:b/>
          <w:szCs w:val="24"/>
        </w:rPr>
      </w:pPr>
    </w:p>
    <w:p w:rsidR="00B42C39" w:rsidRPr="00E33DA0" w:rsidRDefault="00B42C39" w:rsidP="00A01CDB">
      <w:pPr>
        <w:spacing w:line="240" w:lineRule="auto"/>
        <w:rPr>
          <w:b/>
          <w:szCs w:val="24"/>
        </w:rPr>
      </w:pPr>
      <w:r>
        <w:rPr>
          <w:b/>
          <w:szCs w:val="24"/>
        </w:rPr>
        <w:t>Tabuľka č.5: Výpočet rezerv podľa slovenskej úpravy</w:t>
      </w:r>
    </w:p>
    <w:tbl>
      <w:tblPr>
        <w:tblStyle w:val="Mriekatabuky"/>
        <w:tblW w:w="0" w:type="auto"/>
        <w:tblInd w:w="-38" w:type="dxa"/>
        <w:tblCellMar>
          <w:left w:w="70" w:type="dxa"/>
          <w:right w:w="70" w:type="dxa"/>
        </w:tblCellMar>
        <w:tblLook w:val="0000"/>
      </w:tblPr>
      <w:tblGrid>
        <w:gridCol w:w="5070"/>
        <w:gridCol w:w="1410"/>
        <w:gridCol w:w="7"/>
        <w:gridCol w:w="1418"/>
        <w:gridCol w:w="1305"/>
      </w:tblGrid>
      <w:tr w:rsidR="00B42C39" w:rsidTr="000771CE">
        <w:trPr>
          <w:gridBefore w:val="1"/>
          <w:wBefore w:w="5070" w:type="dxa"/>
          <w:trHeight w:val="270"/>
        </w:trPr>
        <w:tc>
          <w:tcPr>
            <w:tcW w:w="1410" w:type="dxa"/>
            <w:vAlign w:val="center"/>
          </w:tcPr>
          <w:p w:rsidR="00B42C39" w:rsidRDefault="00B42C39" w:rsidP="00A01CDB">
            <w:pPr>
              <w:spacing w:line="276" w:lineRule="auto"/>
              <w:rPr>
                <w:szCs w:val="24"/>
              </w:rPr>
            </w:pPr>
            <w:r>
              <w:rPr>
                <w:szCs w:val="24"/>
              </w:rPr>
              <w:t>7. ŤP š</w:t>
            </w:r>
          </w:p>
        </w:tc>
        <w:tc>
          <w:tcPr>
            <w:tcW w:w="1425" w:type="dxa"/>
            <w:gridSpan w:val="2"/>
            <w:vAlign w:val="center"/>
          </w:tcPr>
          <w:p w:rsidR="00B42C39" w:rsidRDefault="00B42C39" w:rsidP="00A01CDB">
            <w:pPr>
              <w:spacing w:line="276" w:lineRule="auto"/>
              <w:rPr>
                <w:szCs w:val="24"/>
              </w:rPr>
            </w:pPr>
            <w:r>
              <w:rPr>
                <w:szCs w:val="24"/>
              </w:rPr>
              <w:t>7.ŤP a</w:t>
            </w:r>
          </w:p>
        </w:tc>
        <w:tc>
          <w:tcPr>
            <w:tcW w:w="1305" w:type="dxa"/>
            <w:vAlign w:val="center"/>
          </w:tcPr>
          <w:p w:rsidR="00B42C39" w:rsidRDefault="00B42C39" w:rsidP="00A01CDB">
            <w:pPr>
              <w:spacing w:line="276" w:lineRule="auto"/>
              <w:rPr>
                <w:szCs w:val="24"/>
              </w:rPr>
            </w:pPr>
            <w:r>
              <w:rPr>
                <w:szCs w:val="24"/>
              </w:rPr>
              <w:t>8. ŤP š</w:t>
            </w:r>
          </w:p>
        </w:tc>
      </w:tr>
      <w:tr w:rsidR="00B42C39" w:rsidTr="000771CE">
        <w:tblPrEx>
          <w:tblCellMar>
            <w:left w:w="108" w:type="dxa"/>
            <w:right w:w="108" w:type="dxa"/>
          </w:tblCellMar>
          <w:tblLook w:val="04A0"/>
        </w:tblPrEx>
        <w:tc>
          <w:tcPr>
            <w:tcW w:w="5070" w:type="dxa"/>
          </w:tcPr>
          <w:p w:rsidR="00B42C39" w:rsidRDefault="00B42C39" w:rsidP="00A01CDB">
            <w:pPr>
              <w:spacing w:line="276" w:lineRule="auto"/>
              <w:rPr>
                <w:szCs w:val="24"/>
              </w:rPr>
            </w:pPr>
            <w:r>
              <w:rPr>
                <w:szCs w:val="24"/>
              </w:rPr>
              <w:t>stav rezervy k 31.12.2013</w:t>
            </w:r>
          </w:p>
        </w:tc>
        <w:tc>
          <w:tcPr>
            <w:tcW w:w="1417" w:type="dxa"/>
            <w:gridSpan w:val="2"/>
            <w:vAlign w:val="center"/>
          </w:tcPr>
          <w:p w:rsidR="00B42C39" w:rsidRDefault="00B42C39" w:rsidP="00A01CDB">
            <w:pPr>
              <w:spacing w:line="276" w:lineRule="auto"/>
              <w:rPr>
                <w:szCs w:val="24"/>
              </w:rPr>
            </w:pPr>
            <w:r>
              <w:rPr>
                <w:szCs w:val="24"/>
              </w:rPr>
              <w:t>269 660</w:t>
            </w:r>
          </w:p>
        </w:tc>
        <w:tc>
          <w:tcPr>
            <w:tcW w:w="1418" w:type="dxa"/>
            <w:vAlign w:val="center"/>
          </w:tcPr>
          <w:p w:rsidR="00B42C39" w:rsidRDefault="00B42C39" w:rsidP="00A01CDB">
            <w:pPr>
              <w:spacing w:line="276" w:lineRule="auto"/>
              <w:rPr>
                <w:szCs w:val="24"/>
              </w:rPr>
            </w:pPr>
            <w:r>
              <w:rPr>
                <w:szCs w:val="24"/>
              </w:rPr>
              <w:t>15 000</w:t>
            </w:r>
          </w:p>
        </w:tc>
        <w:tc>
          <w:tcPr>
            <w:tcW w:w="1305" w:type="dxa"/>
            <w:vAlign w:val="center"/>
          </w:tcPr>
          <w:p w:rsidR="00B42C39" w:rsidRDefault="00B42C39" w:rsidP="00A01CDB">
            <w:pPr>
              <w:spacing w:line="276" w:lineRule="auto"/>
              <w:rPr>
                <w:szCs w:val="24"/>
              </w:rPr>
            </w:pPr>
            <w:r>
              <w:rPr>
                <w:szCs w:val="24"/>
              </w:rPr>
              <w:t>153 735</w:t>
            </w:r>
          </w:p>
        </w:tc>
      </w:tr>
      <w:tr w:rsidR="00B42C39" w:rsidTr="000771CE">
        <w:tblPrEx>
          <w:tblCellMar>
            <w:left w:w="108" w:type="dxa"/>
            <w:right w:w="108" w:type="dxa"/>
          </w:tblCellMar>
          <w:tblLook w:val="04A0"/>
        </w:tblPrEx>
        <w:tc>
          <w:tcPr>
            <w:tcW w:w="5070" w:type="dxa"/>
          </w:tcPr>
          <w:p w:rsidR="00B42C39" w:rsidRDefault="00B42C39" w:rsidP="00A01CDB">
            <w:pPr>
              <w:spacing w:line="276" w:lineRule="auto"/>
              <w:rPr>
                <w:szCs w:val="24"/>
              </w:rPr>
            </w:pPr>
            <w:r>
              <w:rPr>
                <w:szCs w:val="24"/>
              </w:rPr>
              <w:t>čerpanie 2014</w:t>
            </w:r>
          </w:p>
        </w:tc>
        <w:tc>
          <w:tcPr>
            <w:tcW w:w="1417" w:type="dxa"/>
            <w:gridSpan w:val="2"/>
            <w:vAlign w:val="center"/>
          </w:tcPr>
          <w:p w:rsidR="00B42C39" w:rsidRDefault="00B42C39" w:rsidP="00A01CDB">
            <w:pPr>
              <w:spacing w:line="276" w:lineRule="auto"/>
              <w:rPr>
                <w:szCs w:val="24"/>
              </w:rPr>
            </w:pPr>
            <w:r>
              <w:rPr>
                <w:szCs w:val="24"/>
              </w:rPr>
              <w:t>15 813</w:t>
            </w:r>
          </w:p>
        </w:tc>
        <w:tc>
          <w:tcPr>
            <w:tcW w:w="1418" w:type="dxa"/>
            <w:vAlign w:val="center"/>
          </w:tcPr>
          <w:p w:rsidR="00B42C39" w:rsidRDefault="00B42C39" w:rsidP="00A01CDB">
            <w:pPr>
              <w:spacing w:line="276" w:lineRule="auto"/>
              <w:rPr>
                <w:szCs w:val="24"/>
              </w:rPr>
            </w:pPr>
            <w:r>
              <w:rPr>
                <w:szCs w:val="24"/>
              </w:rPr>
              <w:t>427</w:t>
            </w:r>
          </w:p>
        </w:tc>
        <w:tc>
          <w:tcPr>
            <w:tcW w:w="1305" w:type="dxa"/>
            <w:vAlign w:val="center"/>
          </w:tcPr>
          <w:p w:rsidR="00B42C39" w:rsidRDefault="00B42C39" w:rsidP="00A01CDB">
            <w:pPr>
              <w:spacing w:line="276" w:lineRule="auto"/>
              <w:rPr>
                <w:szCs w:val="24"/>
              </w:rPr>
            </w:pPr>
            <w:r>
              <w:rPr>
                <w:szCs w:val="24"/>
              </w:rPr>
              <w:t>18 601</w:t>
            </w:r>
          </w:p>
        </w:tc>
      </w:tr>
      <w:tr w:rsidR="00B42C39" w:rsidTr="000771CE">
        <w:tblPrEx>
          <w:tblCellMar>
            <w:left w:w="108" w:type="dxa"/>
            <w:right w:w="108" w:type="dxa"/>
          </w:tblCellMar>
          <w:tblLook w:val="04A0"/>
        </w:tblPrEx>
        <w:tc>
          <w:tcPr>
            <w:tcW w:w="5070" w:type="dxa"/>
          </w:tcPr>
          <w:p w:rsidR="00B42C39" w:rsidRDefault="00B42C39" w:rsidP="00A01CDB">
            <w:pPr>
              <w:spacing w:line="276" w:lineRule="auto"/>
              <w:rPr>
                <w:szCs w:val="24"/>
              </w:rPr>
            </w:pPr>
            <w:r>
              <w:rPr>
                <w:szCs w:val="24"/>
              </w:rPr>
              <w:t>stav po čerpaní</w:t>
            </w:r>
          </w:p>
        </w:tc>
        <w:tc>
          <w:tcPr>
            <w:tcW w:w="1417" w:type="dxa"/>
            <w:gridSpan w:val="2"/>
            <w:vAlign w:val="center"/>
          </w:tcPr>
          <w:p w:rsidR="00B42C39" w:rsidRDefault="00A01CDB" w:rsidP="00A01CDB">
            <w:pPr>
              <w:spacing w:line="276" w:lineRule="auto"/>
              <w:rPr>
                <w:szCs w:val="24"/>
              </w:rPr>
            </w:pPr>
            <w:r>
              <w:rPr>
                <w:szCs w:val="24"/>
              </w:rPr>
              <w:t>253 847</w:t>
            </w:r>
          </w:p>
        </w:tc>
        <w:tc>
          <w:tcPr>
            <w:tcW w:w="1418" w:type="dxa"/>
            <w:vAlign w:val="center"/>
          </w:tcPr>
          <w:p w:rsidR="00B42C39" w:rsidRDefault="00B42C39" w:rsidP="00A01CDB">
            <w:pPr>
              <w:spacing w:line="276" w:lineRule="auto"/>
              <w:rPr>
                <w:szCs w:val="24"/>
              </w:rPr>
            </w:pPr>
            <w:r>
              <w:rPr>
                <w:szCs w:val="24"/>
              </w:rPr>
              <w:t>14 573</w:t>
            </w:r>
          </w:p>
        </w:tc>
        <w:tc>
          <w:tcPr>
            <w:tcW w:w="1305" w:type="dxa"/>
            <w:vAlign w:val="center"/>
          </w:tcPr>
          <w:p w:rsidR="00B42C39" w:rsidRDefault="00B42C39" w:rsidP="00A01CDB">
            <w:pPr>
              <w:spacing w:line="276" w:lineRule="auto"/>
              <w:rPr>
                <w:szCs w:val="24"/>
              </w:rPr>
            </w:pPr>
            <w:r>
              <w:rPr>
                <w:szCs w:val="24"/>
              </w:rPr>
              <w:t>135 134</w:t>
            </w:r>
          </w:p>
        </w:tc>
      </w:tr>
      <w:tr w:rsidR="00B42C39" w:rsidTr="000771CE">
        <w:tblPrEx>
          <w:tblCellMar>
            <w:left w:w="108" w:type="dxa"/>
            <w:right w:w="108" w:type="dxa"/>
          </w:tblCellMar>
          <w:tblLook w:val="04A0"/>
        </w:tblPrEx>
        <w:tc>
          <w:tcPr>
            <w:tcW w:w="5070" w:type="dxa"/>
          </w:tcPr>
          <w:p w:rsidR="00B42C39" w:rsidRDefault="00B42C39" w:rsidP="00A01CDB">
            <w:pPr>
              <w:spacing w:line="276" w:lineRule="auto"/>
              <w:rPr>
                <w:szCs w:val="24"/>
              </w:rPr>
            </w:pPr>
            <w:r>
              <w:rPr>
                <w:szCs w:val="24"/>
              </w:rPr>
              <w:t>celková budúca rezerva v r.2014</w:t>
            </w:r>
          </w:p>
        </w:tc>
        <w:tc>
          <w:tcPr>
            <w:tcW w:w="1417" w:type="dxa"/>
            <w:gridSpan w:val="2"/>
            <w:vAlign w:val="center"/>
          </w:tcPr>
          <w:p w:rsidR="00B42C39" w:rsidRDefault="00B42C39" w:rsidP="00A01CDB">
            <w:pPr>
              <w:spacing w:line="276" w:lineRule="auto"/>
              <w:rPr>
                <w:szCs w:val="24"/>
              </w:rPr>
            </w:pPr>
            <w:r>
              <w:rPr>
                <w:szCs w:val="24"/>
              </w:rPr>
              <w:t>228 847</w:t>
            </w:r>
          </w:p>
        </w:tc>
        <w:tc>
          <w:tcPr>
            <w:tcW w:w="1418" w:type="dxa"/>
            <w:vAlign w:val="center"/>
          </w:tcPr>
          <w:p w:rsidR="00B42C39" w:rsidRDefault="00B42C39" w:rsidP="00A01CDB">
            <w:pPr>
              <w:spacing w:line="276" w:lineRule="auto"/>
              <w:rPr>
                <w:szCs w:val="24"/>
              </w:rPr>
            </w:pPr>
            <w:r>
              <w:rPr>
                <w:szCs w:val="24"/>
              </w:rPr>
              <w:t>39 573</w:t>
            </w:r>
          </w:p>
        </w:tc>
        <w:tc>
          <w:tcPr>
            <w:tcW w:w="1305" w:type="dxa"/>
            <w:vAlign w:val="center"/>
          </w:tcPr>
          <w:p w:rsidR="00B42C39" w:rsidRDefault="00B42C39" w:rsidP="00A01CDB">
            <w:pPr>
              <w:spacing w:line="276" w:lineRule="auto"/>
              <w:rPr>
                <w:szCs w:val="24"/>
              </w:rPr>
            </w:pPr>
            <w:r>
              <w:rPr>
                <w:szCs w:val="24"/>
              </w:rPr>
              <w:t>135 134</w:t>
            </w:r>
          </w:p>
        </w:tc>
      </w:tr>
      <w:tr w:rsidR="00B42C39" w:rsidTr="000771CE">
        <w:tblPrEx>
          <w:tblCellMar>
            <w:left w:w="108" w:type="dxa"/>
            <w:right w:w="108" w:type="dxa"/>
          </w:tblCellMar>
          <w:tblLook w:val="04A0"/>
        </w:tblPrEx>
        <w:tc>
          <w:tcPr>
            <w:tcW w:w="5070" w:type="dxa"/>
          </w:tcPr>
          <w:p w:rsidR="00B42C39" w:rsidRDefault="00B42C39" w:rsidP="00A01CDB">
            <w:pPr>
              <w:spacing w:line="276" w:lineRule="auto"/>
              <w:rPr>
                <w:szCs w:val="24"/>
              </w:rPr>
            </w:pPr>
            <w:r>
              <w:rPr>
                <w:szCs w:val="24"/>
              </w:rPr>
              <w:t>životnosť tvorby rezervy od r. 2014 - roky</w:t>
            </w:r>
          </w:p>
        </w:tc>
        <w:tc>
          <w:tcPr>
            <w:tcW w:w="1417" w:type="dxa"/>
            <w:gridSpan w:val="2"/>
            <w:vAlign w:val="center"/>
          </w:tcPr>
          <w:p w:rsidR="00B42C39" w:rsidRDefault="00B42C39" w:rsidP="00A01CDB">
            <w:pPr>
              <w:spacing w:line="276" w:lineRule="auto"/>
              <w:rPr>
                <w:szCs w:val="24"/>
              </w:rPr>
            </w:pPr>
            <w:r>
              <w:rPr>
                <w:szCs w:val="24"/>
              </w:rPr>
              <w:t>9</w:t>
            </w:r>
          </w:p>
        </w:tc>
        <w:tc>
          <w:tcPr>
            <w:tcW w:w="1418" w:type="dxa"/>
            <w:vAlign w:val="center"/>
          </w:tcPr>
          <w:p w:rsidR="00B42C39" w:rsidRDefault="00B42C39" w:rsidP="00A01CDB">
            <w:pPr>
              <w:spacing w:line="276" w:lineRule="auto"/>
              <w:rPr>
                <w:szCs w:val="24"/>
              </w:rPr>
            </w:pPr>
            <w:r>
              <w:rPr>
                <w:szCs w:val="24"/>
              </w:rPr>
              <w:t>2</w:t>
            </w:r>
          </w:p>
        </w:tc>
        <w:tc>
          <w:tcPr>
            <w:tcW w:w="1305" w:type="dxa"/>
            <w:vAlign w:val="center"/>
          </w:tcPr>
          <w:p w:rsidR="00B42C39" w:rsidRDefault="00B42C39" w:rsidP="00A01CDB">
            <w:pPr>
              <w:spacing w:line="276" w:lineRule="auto"/>
              <w:rPr>
                <w:szCs w:val="24"/>
              </w:rPr>
            </w:pPr>
            <w:r>
              <w:rPr>
                <w:szCs w:val="24"/>
              </w:rPr>
              <w:t>5</w:t>
            </w:r>
          </w:p>
        </w:tc>
      </w:tr>
      <w:tr w:rsidR="00B42C39" w:rsidTr="000771CE">
        <w:tblPrEx>
          <w:tblCellMar>
            <w:left w:w="108" w:type="dxa"/>
            <w:right w:w="108" w:type="dxa"/>
          </w:tblCellMar>
          <w:tblLook w:val="04A0"/>
        </w:tblPrEx>
        <w:tc>
          <w:tcPr>
            <w:tcW w:w="5070" w:type="dxa"/>
          </w:tcPr>
          <w:p w:rsidR="00B42C39" w:rsidRDefault="00B42C39" w:rsidP="00A01CDB">
            <w:pPr>
              <w:spacing w:line="276" w:lineRule="auto"/>
              <w:rPr>
                <w:szCs w:val="24"/>
              </w:rPr>
            </w:pPr>
            <w:r>
              <w:rPr>
                <w:szCs w:val="24"/>
              </w:rPr>
              <w:t>potreba tvorby do konca životnosti</w:t>
            </w:r>
          </w:p>
        </w:tc>
        <w:tc>
          <w:tcPr>
            <w:tcW w:w="1417" w:type="dxa"/>
            <w:gridSpan w:val="2"/>
            <w:vAlign w:val="center"/>
          </w:tcPr>
          <w:p w:rsidR="00B42C39" w:rsidRDefault="00B42C39" w:rsidP="00A01CDB">
            <w:pPr>
              <w:spacing w:line="276" w:lineRule="auto"/>
              <w:rPr>
                <w:szCs w:val="24"/>
              </w:rPr>
            </w:pPr>
            <w:r>
              <w:rPr>
                <w:szCs w:val="24"/>
              </w:rPr>
              <w:t>-25 000</w:t>
            </w:r>
          </w:p>
        </w:tc>
        <w:tc>
          <w:tcPr>
            <w:tcW w:w="1418" w:type="dxa"/>
            <w:vAlign w:val="center"/>
          </w:tcPr>
          <w:p w:rsidR="00B42C39" w:rsidRDefault="00B42C39" w:rsidP="00A01CDB">
            <w:pPr>
              <w:spacing w:line="276" w:lineRule="auto"/>
              <w:rPr>
                <w:szCs w:val="24"/>
              </w:rPr>
            </w:pPr>
            <w:r>
              <w:rPr>
                <w:szCs w:val="24"/>
              </w:rPr>
              <w:t>25 000</w:t>
            </w:r>
          </w:p>
        </w:tc>
        <w:tc>
          <w:tcPr>
            <w:tcW w:w="1305" w:type="dxa"/>
            <w:vAlign w:val="center"/>
          </w:tcPr>
          <w:p w:rsidR="00B42C39" w:rsidRDefault="00B42C39" w:rsidP="00A01CDB">
            <w:pPr>
              <w:spacing w:line="276" w:lineRule="auto"/>
              <w:rPr>
                <w:szCs w:val="24"/>
              </w:rPr>
            </w:pPr>
            <w:r>
              <w:rPr>
                <w:szCs w:val="24"/>
              </w:rPr>
              <w:t>0</w:t>
            </w:r>
          </w:p>
        </w:tc>
      </w:tr>
      <w:tr w:rsidR="00B42C39" w:rsidTr="000771CE">
        <w:tblPrEx>
          <w:tblCellMar>
            <w:left w:w="108" w:type="dxa"/>
            <w:right w:w="108" w:type="dxa"/>
          </w:tblCellMar>
          <w:tblLook w:val="04A0"/>
        </w:tblPrEx>
        <w:tc>
          <w:tcPr>
            <w:tcW w:w="5070" w:type="dxa"/>
          </w:tcPr>
          <w:p w:rsidR="00B42C39" w:rsidRDefault="00B42C39" w:rsidP="00A01CDB">
            <w:pPr>
              <w:spacing w:line="276" w:lineRule="auto"/>
              <w:rPr>
                <w:szCs w:val="24"/>
              </w:rPr>
            </w:pPr>
            <w:r>
              <w:rPr>
                <w:szCs w:val="24"/>
              </w:rPr>
              <w:t>tvorba / zrušenie 2014</w:t>
            </w:r>
          </w:p>
        </w:tc>
        <w:tc>
          <w:tcPr>
            <w:tcW w:w="1417" w:type="dxa"/>
            <w:gridSpan w:val="2"/>
            <w:vAlign w:val="center"/>
          </w:tcPr>
          <w:p w:rsidR="00B42C39" w:rsidRDefault="00B42C39" w:rsidP="00A01CDB">
            <w:pPr>
              <w:spacing w:line="276" w:lineRule="auto"/>
              <w:rPr>
                <w:szCs w:val="24"/>
              </w:rPr>
            </w:pPr>
            <w:r>
              <w:rPr>
                <w:szCs w:val="24"/>
              </w:rPr>
              <w:t>-25 000</w:t>
            </w:r>
          </w:p>
        </w:tc>
        <w:tc>
          <w:tcPr>
            <w:tcW w:w="1418" w:type="dxa"/>
            <w:vAlign w:val="center"/>
          </w:tcPr>
          <w:p w:rsidR="00B42C39" w:rsidRDefault="00B42C39" w:rsidP="00A01CDB">
            <w:pPr>
              <w:spacing w:line="276" w:lineRule="auto"/>
              <w:rPr>
                <w:szCs w:val="24"/>
              </w:rPr>
            </w:pPr>
            <w:r>
              <w:rPr>
                <w:szCs w:val="24"/>
              </w:rPr>
              <w:t>12 500</w:t>
            </w:r>
          </w:p>
        </w:tc>
        <w:tc>
          <w:tcPr>
            <w:tcW w:w="1305" w:type="dxa"/>
            <w:vAlign w:val="center"/>
          </w:tcPr>
          <w:p w:rsidR="00B42C39" w:rsidRDefault="00B42C39" w:rsidP="00A01CDB">
            <w:pPr>
              <w:spacing w:line="276" w:lineRule="auto"/>
              <w:rPr>
                <w:szCs w:val="24"/>
              </w:rPr>
            </w:pPr>
            <w:r>
              <w:rPr>
                <w:szCs w:val="24"/>
              </w:rPr>
              <w:t>0</w:t>
            </w:r>
          </w:p>
        </w:tc>
      </w:tr>
      <w:tr w:rsidR="00B42C39" w:rsidTr="000771CE">
        <w:tblPrEx>
          <w:tblCellMar>
            <w:left w:w="108" w:type="dxa"/>
            <w:right w:w="108" w:type="dxa"/>
          </w:tblCellMar>
          <w:tblLook w:val="04A0"/>
        </w:tblPrEx>
        <w:tc>
          <w:tcPr>
            <w:tcW w:w="5070" w:type="dxa"/>
          </w:tcPr>
          <w:p w:rsidR="00B42C39" w:rsidRDefault="00B42C39" w:rsidP="00A01CDB">
            <w:pPr>
              <w:spacing w:line="276" w:lineRule="auto"/>
              <w:rPr>
                <w:szCs w:val="24"/>
              </w:rPr>
            </w:pPr>
            <w:r>
              <w:rPr>
                <w:szCs w:val="24"/>
              </w:rPr>
              <w:t>stav rezervy k 31.12.2014</w:t>
            </w:r>
          </w:p>
        </w:tc>
        <w:tc>
          <w:tcPr>
            <w:tcW w:w="1417" w:type="dxa"/>
            <w:gridSpan w:val="2"/>
            <w:vAlign w:val="center"/>
          </w:tcPr>
          <w:p w:rsidR="00B42C39" w:rsidRDefault="00B42C39" w:rsidP="00A01CDB">
            <w:pPr>
              <w:spacing w:line="276" w:lineRule="auto"/>
              <w:rPr>
                <w:szCs w:val="24"/>
              </w:rPr>
            </w:pPr>
            <w:r>
              <w:rPr>
                <w:szCs w:val="24"/>
              </w:rPr>
              <w:t>228 847</w:t>
            </w:r>
          </w:p>
        </w:tc>
        <w:tc>
          <w:tcPr>
            <w:tcW w:w="1418" w:type="dxa"/>
            <w:vAlign w:val="center"/>
          </w:tcPr>
          <w:p w:rsidR="00B42C39" w:rsidRDefault="00B42C39" w:rsidP="00A01CDB">
            <w:pPr>
              <w:spacing w:line="276" w:lineRule="auto"/>
              <w:rPr>
                <w:szCs w:val="24"/>
              </w:rPr>
            </w:pPr>
            <w:r>
              <w:rPr>
                <w:szCs w:val="24"/>
              </w:rPr>
              <w:t>27 073</w:t>
            </w:r>
          </w:p>
        </w:tc>
        <w:tc>
          <w:tcPr>
            <w:tcW w:w="1305" w:type="dxa"/>
            <w:vAlign w:val="center"/>
          </w:tcPr>
          <w:p w:rsidR="00B42C39" w:rsidRDefault="00B42C39" w:rsidP="00A01CDB">
            <w:pPr>
              <w:spacing w:line="276" w:lineRule="auto"/>
              <w:rPr>
                <w:szCs w:val="24"/>
              </w:rPr>
            </w:pPr>
            <w:r>
              <w:rPr>
                <w:szCs w:val="24"/>
              </w:rPr>
              <w:t>135 134</w:t>
            </w:r>
          </w:p>
        </w:tc>
      </w:tr>
    </w:tbl>
    <w:p w:rsidR="00B42C39" w:rsidRPr="00691181" w:rsidRDefault="00B42C39" w:rsidP="00A01CDB">
      <w:pPr>
        <w:rPr>
          <w:i/>
          <w:sz w:val="20"/>
          <w:szCs w:val="20"/>
        </w:rPr>
      </w:pPr>
      <w:r>
        <w:rPr>
          <w:i/>
          <w:sz w:val="20"/>
          <w:szCs w:val="20"/>
        </w:rPr>
        <w:t>Zdroj: vlastné spracovanie podľa internej evidencie spoločnosti</w:t>
      </w:r>
    </w:p>
    <w:p w:rsidR="00B42C39" w:rsidRDefault="00B42C39" w:rsidP="00A01CDB">
      <w:pPr>
        <w:rPr>
          <w:szCs w:val="24"/>
        </w:rPr>
      </w:pPr>
    </w:p>
    <w:p w:rsidR="0007177C" w:rsidRDefault="00B42C39" w:rsidP="00A01CDB">
      <w:pPr>
        <w:rPr>
          <w:szCs w:val="24"/>
        </w:rPr>
      </w:pPr>
      <w:r>
        <w:rPr>
          <w:szCs w:val="24"/>
        </w:rPr>
        <w:t>V jednotlivých stĺpcoch vidíme stavy a čerpania rezerv pre 7. ťažobné pole - škody, 7. ťažobné pole - asanácie a 8. ťažobné pole - škody. V prvom riadku je uvedený stav rezervy ku koncu predchádzajúceho roku.  V ďalšom riadku vidíme, či v roku 2014 prebehlo nejaké čerpanie a v akej výške. Čerpanie sa odčíta zo stavu rezervy v prvom riadku a zaznačí sa nový stav. Ďalej tabuľka udáva, aká celková rezerva bude potrebná v danom roku</w:t>
      </w:r>
      <w:r w:rsidR="00A01CDB">
        <w:rPr>
          <w:szCs w:val="24"/>
        </w:rPr>
        <w:t xml:space="preserve"> a tiež</w:t>
      </w:r>
      <w:r>
        <w:rPr>
          <w:szCs w:val="24"/>
        </w:rPr>
        <w:t xml:space="preserve"> koľko</w:t>
      </w:r>
      <w:r w:rsidR="008C567A">
        <w:rPr>
          <w:szCs w:val="24"/>
        </w:rPr>
        <w:t xml:space="preserve"> </w:t>
      </w:r>
      <w:r w:rsidR="007E7B01">
        <w:rPr>
          <w:szCs w:val="24"/>
        </w:rPr>
        <w:t xml:space="preserve">rokov do konca životnosti zostáva. Od celkovej budúcej rezervy sa odčíta stav, ktorý má podnik v súčasnosti a vyjde nám hodnota, ktorú musí podnik do konca životnosti ešte nasporiť. </w:t>
      </w:r>
      <w:r w:rsidR="005479CB">
        <w:rPr>
          <w:szCs w:val="24"/>
        </w:rPr>
        <w:t>Podľa počtu rokov do konca životnosti sa prepočíta potreba tvorby v nasledujúcom roku, ktorá sa pripočíta k súčasnému stavu rezervy. Túto hodnotu vidíme v poslednom riadku tabuľky a udáva stav rezervy k 31.12.2014.</w:t>
      </w:r>
    </w:p>
    <w:p w:rsidR="00155780" w:rsidRDefault="00155780" w:rsidP="00A01CDB">
      <w:pPr>
        <w:rPr>
          <w:szCs w:val="24"/>
        </w:rPr>
      </w:pPr>
    </w:p>
    <w:p w:rsidR="00B42C39" w:rsidRDefault="005479CB" w:rsidP="00A01CDB">
      <w:pPr>
        <w:rPr>
          <w:szCs w:val="24"/>
        </w:rPr>
      </w:pPr>
      <w:r>
        <w:rPr>
          <w:szCs w:val="24"/>
        </w:rPr>
        <w:t>Príklad: 7. ťažobné pole - asanácie. 31.12.2013 bol stav rezervy 15 000</w:t>
      </w:r>
      <w:r w:rsidR="0036189C">
        <w:rPr>
          <w:szCs w:val="24"/>
        </w:rPr>
        <w:t xml:space="preserve"> €</w:t>
      </w:r>
      <w:r>
        <w:rPr>
          <w:szCs w:val="24"/>
        </w:rPr>
        <w:t>. V roku 2014 prebehlo čerpanie vo výške 427</w:t>
      </w:r>
      <w:r w:rsidR="0036189C">
        <w:rPr>
          <w:szCs w:val="24"/>
        </w:rPr>
        <w:t xml:space="preserve"> €</w:t>
      </w:r>
      <w:r>
        <w:rPr>
          <w:szCs w:val="24"/>
        </w:rPr>
        <w:t>, teda stav po čerpaní bol 14 573</w:t>
      </w:r>
      <w:r w:rsidR="0036189C">
        <w:rPr>
          <w:szCs w:val="24"/>
        </w:rPr>
        <w:t xml:space="preserve"> €</w:t>
      </w:r>
      <w:r>
        <w:rPr>
          <w:szCs w:val="24"/>
        </w:rPr>
        <w:t>. Podnik vie, že ku koncu životnosti musí byť na tento účel vytvorená rezerva 39 573</w:t>
      </w:r>
      <w:r w:rsidR="0036189C">
        <w:rPr>
          <w:szCs w:val="24"/>
        </w:rPr>
        <w:t xml:space="preserve"> €</w:t>
      </w:r>
      <w:r>
        <w:rPr>
          <w:szCs w:val="24"/>
        </w:rPr>
        <w:t>, z čoho ale už 14 573</w:t>
      </w:r>
      <w:r w:rsidR="0036189C">
        <w:rPr>
          <w:szCs w:val="24"/>
        </w:rPr>
        <w:t xml:space="preserve"> €</w:t>
      </w:r>
      <w:r>
        <w:rPr>
          <w:szCs w:val="24"/>
        </w:rPr>
        <w:t xml:space="preserve"> má. Zostáva vytvoriť ešte rezervu 25 000</w:t>
      </w:r>
      <w:r w:rsidR="0036189C">
        <w:rPr>
          <w:szCs w:val="24"/>
        </w:rPr>
        <w:t xml:space="preserve"> €</w:t>
      </w:r>
      <w:r>
        <w:rPr>
          <w:szCs w:val="24"/>
        </w:rPr>
        <w:t>. Doba životnosti je 2 roky, teda na jeden rok vychádza tvorba rezervy 12 500</w:t>
      </w:r>
      <w:r w:rsidR="0036189C">
        <w:rPr>
          <w:szCs w:val="24"/>
        </w:rPr>
        <w:t xml:space="preserve"> €</w:t>
      </w:r>
      <w:r>
        <w:rPr>
          <w:szCs w:val="24"/>
        </w:rPr>
        <w:t>. Túto sumu pripočítame k stavu po čerpaní a dostaneme  27 073</w:t>
      </w:r>
      <w:r w:rsidR="0036189C">
        <w:rPr>
          <w:szCs w:val="24"/>
        </w:rPr>
        <w:t xml:space="preserve"> €</w:t>
      </w:r>
      <w:r>
        <w:rPr>
          <w:szCs w:val="24"/>
        </w:rPr>
        <w:t xml:space="preserve">, čo je stav k 31.12.2014. </w:t>
      </w:r>
    </w:p>
    <w:p w:rsidR="007E52B5" w:rsidRDefault="007E52B5" w:rsidP="00A01CDB">
      <w:pPr>
        <w:rPr>
          <w:szCs w:val="24"/>
        </w:rPr>
      </w:pPr>
    </w:p>
    <w:p w:rsidR="00B42C39" w:rsidRDefault="00B42C39" w:rsidP="00A01CDB">
      <w:pPr>
        <w:pStyle w:val="Nadpis3"/>
      </w:pPr>
      <w:bookmarkStart w:id="30" w:name="_Toc447622269"/>
      <w:r>
        <w:t>Analýza tvorby podľa slovenskej právnej úpravy - daňovo</w:t>
      </w:r>
      <w:bookmarkEnd w:id="30"/>
    </w:p>
    <w:p w:rsidR="00B42C39" w:rsidRDefault="00B42C39" w:rsidP="00A01CDB">
      <w:pPr>
        <w:rPr>
          <w:szCs w:val="24"/>
        </w:rPr>
      </w:pPr>
      <w:r>
        <w:rPr>
          <w:szCs w:val="24"/>
        </w:rPr>
        <w:t xml:space="preserve">Podnik tvorí rezervy aj daňovo, a to konkrétne rezervy na projekty a rekultivácie. Rezervy na škody, výkupy a asanácie nie sú daňovo uznateľné, takže podnik ich vytvára len účtovne. </w:t>
      </w:r>
    </w:p>
    <w:p w:rsidR="00B42C39" w:rsidRDefault="00B42C39" w:rsidP="00A01CDB">
      <w:pPr>
        <w:rPr>
          <w:szCs w:val="24"/>
        </w:rPr>
      </w:pPr>
      <w:r>
        <w:rPr>
          <w:szCs w:val="24"/>
        </w:rPr>
        <w:lastRenderedPageBreak/>
        <w:t>Naopak, rezervy na projekty a rekultivácie patria medzi daňovo uznateľné od roku 2006 a </w:t>
      </w:r>
    </w:p>
    <w:p w:rsidR="00B42C39" w:rsidRDefault="00B42C39" w:rsidP="00A01CDB">
      <w:pPr>
        <w:rPr>
          <w:szCs w:val="24"/>
        </w:rPr>
      </w:pPr>
      <w:r>
        <w:rPr>
          <w:szCs w:val="24"/>
        </w:rPr>
        <w:t>podnik si ich môže odčítať zo základu dane. Podnik si teda tieto rezervy tvorí účtovne aj daňovo. Keďže rezervy na projekty a rekultivácie neboli do roku 2005 daňovo uznateľné, rezervy vytvorené do konca roku 2005 sú nedaňové. Rezervy tvorené od roku 2006 sú už daňové. Súčet vytvorenej účtovnej a daňovej rezervy musí na konci tvoriť celkovú potrebnú rezervu. V prípade potreby čerpania rezervy čerpá podnik najprv rezervu účtovnú (skôr vytvorenú, staršiu) , až po jej vyčerpaní pristupuje k čerpaniu rezervy daňovej.</w:t>
      </w:r>
      <w:r w:rsidR="00155780">
        <w:rPr>
          <w:szCs w:val="24"/>
        </w:rPr>
        <w:t xml:space="preserve"> </w:t>
      </w:r>
      <w:r>
        <w:rPr>
          <w:szCs w:val="24"/>
        </w:rPr>
        <w:t xml:space="preserve">Aby sme nadviazali na predchádzajúci príklad, ukážeme si tvorbu daňových rezerv pre 7. a 8. ťažobné pole. </w:t>
      </w:r>
    </w:p>
    <w:p w:rsidR="00B42C39" w:rsidRPr="00A913D8" w:rsidRDefault="00B42C39" w:rsidP="00A01CDB">
      <w:pPr>
        <w:spacing w:line="240" w:lineRule="auto"/>
        <w:rPr>
          <w:b/>
          <w:szCs w:val="24"/>
        </w:rPr>
      </w:pPr>
      <w:r>
        <w:rPr>
          <w:b/>
          <w:szCs w:val="24"/>
        </w:rPr>
        <w:t>Tabuľka č.6: Tvorba daňových rezerv pre rok 2014</w:t>
      </w:r>
    </w:p>
    <w:tbl>
      <w:tblPr>
        <w:tblW w:w="8059" w:type="dxa"/>
        <w:tblInd w:w="70" w:type="dxa"/>
        <w:tblCellMar>
          <w:left w:w="70" w:type="dxa"/>
          <w:right w:w="70" w:type="dxa"/>
        </w:tblCellMar>
        <w:tblLook w:val="04A0"/>
      </w:tblPr>
      <w:tblGrid>
        <w:gridCol w:w="3598"/>
        <w:gridCol w:w="1008"/>
        <w:gridCol w:w="1294"/>
        <w:gridCol w:w="1008"/>
        <w:gridCol w:w="1151"/>
      </w:tblGrid>
      <w:tr w:rsidR="00B42C39" w:rsidRPr="0011634B" w:rsidTr="000771CE">
        <w:trPr>
          <w:trHeight w:val="236"/>
        </w:trPr>
        <w:tc>
          <w:tcPr>
            <w:tcW w:w="35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sidRPr="0011634B">
              <w:rPr>
                <w:rFonts w:eastAsia="Times New Roman" w:cs="Times New Roman"/>
                <w:sz w:val="22"/>
                <w:lang w:eastAsia="sk-SK"/>
              </w:rPr>
              <w:t>rok 201</w:t>
            </w:r>
            <w:r>
              <w:rPr>
                <w:rFonts w:eastAsia="Times New Roman" w:cs="Times New Roman"/>
                <w:sz w:val="22"/>
                <w:lang w:eastAsia="sk-SK"/>
              </w:rPr>
              <w:t>4</w:t>
            </w: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sidRPr="001C4FF7">
              <w:rPr>
                <w:rFonts w:eastAsia="Times New Roman" w:cs="Times New Roman"/>
                <w:sz w:val="22"/>
                <w:lang w:eastAsia="sk-SK"/>
              </w:rPr>
              <w:t xml:space="preserve">7. </w:t>
            </w:r>
            <w:proofErr w:type="spellStart"/>
            <w:r w:rsidRPr="001C4FF7">
              <w:rPr>
                <w:rFonts w:eastAsia="Times New Roman" w:cs="Times New Roman"/>
                <w:sz w:val="22"/>
                <w:lang w:eastAsia="sk-SK"/>
              </w:rPr>
              <w:t>ŤPp</w:t>
            </w:r>
            <w:proofErr w:type="spellEnd"/>
          </w:p>
        </w:tc>
        <w:tc>
          <w:tcPr>
            <w:tcW w:w="1294" w:type="dxa"/>
            <w:tcBorders>
              <w:top w:val="single" w:sz="4" w:space="0" w:color="auto"/>
              <w:left w:val="nil"/>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sidRPr="0011634B">
              <w:rPr>
                <w:rFonts w:eastAsia="Times New Roman" w:cs="Times New Roman"/>
                <w:sz w:val="22"/>
                <w:lang w:eastAsia="sk-SK"/>
              </w:rPr>
              <w:t>7.ŤP</w:t>
            </w:r>
            <w:r w:rsidRPr="001C4FF7">
              <w:rPr>
                <w:rFonts w:eastAsia="Times New Roman" w:cs="Times New Roman"/>
                <w:sz w:val="22"/>
                <w:lang w:eastAsia="sk-SK"/>
              </w:rPr>
              <w:t>r</w:t>
            </w: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Pr>
                <w:rFonts w:eastAsia="Times New Roman" w:cs="Times New Roman"/>
                <w:sz w:val="22"/>
                <w:lang w:eastAsia="sk-SK"/>
              </w:rPr>
              <w:t xml:space="preserve">8. </w:t>
            </w:r>
            <w:proofErr w:type="spellStart"/>
            <w:r>
              <w:rPr>
                <w:rFonts w:eastAsia="Times New Roman" w:cs="Times New Roman"/>
                <w:sz w:val="22"/>
                <w:lang w:eastAsia="sk-SK"/>
              </w:rPr>
              <w:t>ŤP</w:t>
            </w:r>
            <w:r w:rsidRPr="001C4FF7">
              <w:rPr>
                <w:rFonts w:eastAsia="Times New Roman" w:cs="Times New Roman"/>
                <w:sz w:val="22"/>
                <w:lang w:eastAsia="sk-SK"/>
              </w:rPr>
              <w:t>p</w:t>
            </w:r>
            <w:proofErr w:type="spellEnd"/>
          </w:p>
        </w:tc>
        <w:tc>
          <w:tcPr>
            <w:tcW w:w="1151" w:type="dxa"/>
            <w:tcBorders>
              <w:top w:val="single" w:sz="4" w:space="0" w:color="auto"/>
              <w:left w:val="nil"/>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Pr>
                <w:rFonts w:eastAsia="Times New Roman" w:cs="Times New Roman"/>
                <w:sz w:val="22"/>
                <w:lang w:eastAsia="sk-SK"/>
              </w:rPr>
              <w:t>8</w:t>
            </w:r>
            <w:r w:rsidRPr="001C4FF7">
              <w:rPr>
                <w:rFonts w:eastAsia="Times New Roman" w:cs="Times New Roman"/>
                <w:sz w:val="22"/>
                <w:lang w:eastAsia="sk-SK"/>
              </w:rPr>
              <w:t xml:space="preserve">. </w:t>
            </w:r>
            <w:proofErr w:type="spellStart"/>
            <w:r w:rsidRPr="001C4FF7">
              <w:rPr>
                <w:rFonts w:eastAsia="Times New Roman" w:cs="Times New Roman"/>
                <w:sz w:val="22"/>
                <w:lang w:eastAsia="sk-SK"/>
              </w:rPr>
              <w:t>ŤPr</w:t>
            </w:r>
            <w:proofErr w:type="spellEnd"/>
          </w:p>
        </w:tc>
      </w:tr>
      <w:tr w:rsidR="00B42C39" w:rsidRPr="0011634B" w:rsidTr="000771CE">
        <w:trPr>
          <w:trHeight w:val="236"/>
        </w:trPr>
        <w:tc>
          <w:tcPr>
            <w:tcW w:w="3598" w:type="dxa"/>
            <w:tcBorders>
              <w:top w:val="nil"/>
              <w:left w:val="single" w:sz="4" w:space="0" w:color="auto"/>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sidRPr="0011634B">
              <w:rPr>
                <w:rFonts w:eastAsia="Times New Roman" w:cs="Times New Roman"/>
                <w:sz w:val="22"/>
                <w:lang w:eastAsia="sk-SK"/>
              </w:rPr>
              <w:t>stav rezervy k 31.12.201</w:t>
            </w:r>
            <w:r>
              <w:rPr>
                <w:rFonts w:eastAsia="Times New Roman" w:cs="Times New Roman"/>
                <w:sz w:val="22"/>
                <w:lang w:eastAsia="sk-SK"/>
              </w:rPr>
              <w:t>3</w:t>
            </w:r>
          </w:p>
        </w:tc>
        <w:tc>
          <w:tcPr>
            <w:tcW w:w="1008" w:type="dxa"/>
            <w:tcBorders>
              <w:top w:val="nil"/>
              <w:left w:val="nil"/>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Pr>
                <w:rFonts w:eastAsia="Times New Roman" w:cs="Times New Roman"/>
                <w:sz w:val="22"/>
                <w:lang w:eastAsia="sk-SK"/>
              </w:rPr>
              <w:t>21 601</w:t>
            </w:r>
          </w:p>
        </w:tc>
        <w:tc>
          <w:tcPr>
            <w:tcW w:w="1294" w:type="dxa"/>
            <w:tcBorders>
              <w:top w:val="nil"/>
              <w:left w:val="nil"/>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Pr>
                <w:rFonts w:eastAsia="Times New Roman" w:cs="Times New Roman"/>
                <w:sz w:val="22"/>
                <w:lang w:eastAsia="sk-SK"/>
              </w:rPr>
              <w:t>561 193</w:t>
            </w:r>
          </w:p>
        </w:tc>
        <w:tc>
          <w:tcPr>
            <w:tcW w:w="1008" w:type="dxa"/>
            <w:tcBorders>
              <w:top w:val="nil"/>
              <w:left w:val="nil"/>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Pr>
                <w:rFonts w:eastAsia="Times New Roman" w:cs="Times New Roman"/>
                <w:lang w:eastAsia="sk-SK"/>
              </w:rPr>
              <w:t>30 000</w:t>
            </w:r>
          </w:p>
        </w:tc>
        <w:tc>
          <w:tcPr>
            <w:tcW w:w="1151" w:type="dxa"/>
            <w:tcBorders>
              <w:top w:val="nil"/>
              <w:left w:val="nil"/>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Pr>
                <w:rFonts w:eastAsia="Times New Roman" w:cs="Times New Roman"/>
                <w:lang w:eastAsia="sk-SK"/>
              </w:rPr>
              <w:t>349 490</w:t>
            </w:r>
          </w:p>
        </w:tc>
      </w:tr>
      <w:tr w:rsidR="00B42C39" w:rsidRPr="0011634B" w:rsidTr="000771CE">
        <w:trPr>
          <w:trHeight w:val="236"/>
        </w:trPr>
        <w:tc>
          <w:tcPr>
            <w:tcW w:w="3598" w:type="dxa"/>
            <w:tcBorders>
              <w:top w:val="nil"/>
              <w:left w:val="single" w:sz="4" w:space="0" w:color="auto"/>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sidRPr="0011634B">
              <w:rPr>
                <w:rFonts w:eastAsia="Times New Roman" w:cs="Times New Roman"/>
                <w:sz w:val="22"/>
                <w:lang w:eastAsia="sk-SK"/>
              </w:rPr>
              <w:t>celková budúca rezerva v r.201</w:t>
            </w:r>
            <w:r>
              <w:rPr>
                <w:rFonts w:eastAsia="Times New Roman" w:cs="Times New Roman"/>
                <w:sz w:val="22"/>
                <w:lang w:eastAsia="sk-SK"/>
              </w:rPr>
              <w:t>4</w:t>
            </w:r>
          </w:p>
        </w:tc>
        <w:tc>
          <w:tcPr>
            <w:tcW w:w="1008" w:type="dxa"/>
            <w:tcBorders>
              <w:top w:val="nil"/>
              <w:left w:val="nil"/>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sidRPr="0011634B">
              <w:rPr>
                <w:rFonts w:eastAsia="Times New Roman" w:cs="Times New Roman"/>
                <w:sz w:val="22"/>
                <w:lang w:eastAsia="sk-SK"/>
              </w:rPr>
              <w:t>150 000</w:t>
            </w:r>
          </w:p>
        </w:tc>
        <w:tc>
          <w:tcPr>
            <w:tcW w:w="1294" w:type="dxa"/>
            <w:tcBorders>
              <w:top w:val="nil"/>
              <w:left w:val="nil"/>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sidRPr="0011634B">
              <w:rPr>
                <w:rFonts w:eastAsia="Times New Roman" w:cs="Times New Roman"/>
                <w:sz w:val="22"/>
                <w:lang w:eastAsia="sk-SK"/>
              </w:rPr>
              <w:t>2</w:t>
            </w:r>
            <w:r>
              <w:rPr>
                <w:rFonts w:eastAsia="Times New Roman" w:cs="Times New Roman"/>
                <w:sz w:val="22"/>
                <w:lang w:eastAsia="sk-SK"/>
              </w:rPr>
              <w:t> 658 405</w:t>
            </w:r>
          </w:p>
        </w:tc>
        <w:tc>
          <w:tcPr>
            <w:tcW w:w="1008" w:type="dxa"/>
            <w:tcBorders>
              <w:top w:val="nil"/>
              <w:left w:val="nil"/>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Pr>
                <w:rFonts w:eastAsia="Times New Roman" w:cs="Times New Roman"/>
                <w:lang w:eastAsia="sk-SK"/>
              </w:rPr>
              <w:t>30 000</w:t>
            </w:r>
          </w:p>
        </w:tc>
        <w:tc>
          <w:tcPr>
            <w:tcW w:w="1151" w:type="dxa"/>
            <w:tcBorders>
              <w:top w:val="nil"/>
              <w:left w:val="nil"/>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Pr>
                <w:rFonts w:eastAsia="Times New Roman" w:cs="Times New Roman"/>
                <w:lang w:eastAsia="sk-SK"/>
              </w:rPr>
              <w:t>345 396</w:t>
            </w:r>
          </w:p>
        </w:tc>
      </w:tr>
      <w:tr w:rsidR="00B42C39" w:rsidRPr="0011634B" w:rsidTr="000771CE">
        <w:trPr>
          <w:trHeight w:val="236"/>
        </w:trPr>
        <w:tc>
          <w:tcPr>
            <w:tcW w:w="3598" w:type="dxa"/>
            <w:tcBorders>
              <w:top w:val="nil"/>
              <w:left w:val="single" w:sz="4" w:space="0" w:color="auto"/>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Pr>
                <w:rFonts w:eastAsia="Times New Roman" w:cs="Times New Roman"/>
                <w:sz w:val="22"/>
                <w:lang w:eastAsia="sk-SK"/>
              </w:rPr>
              <w:t>životnosť rezervy od r. 2014</w:t>
            </w:r>
            <w:r w:rsidRPr="0011634B">
              <w:rPr>
                <w:rFonts w:eastAsia="Times New Roman" w:cs="Times New Roman"/>
                <w:sz w:val="22"/>
                <w:lang w:eastAsia="sk-SK"/>
              </w:rPr>
              <w:t xml:space="preserve"> - roky</w:t>
            </w:r>
          </w:p>
        </w:tc>
        <w:tc>
          <w:tcPr>
            <w:tcW w:w="1008" w:type="dxa"/>
            <w:tcBorders>
              <w:top w:val="nil"/>
              <w:left w:val="nil"/>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Pr>
                <w:rFonts w:eastAsia="Times New Roman" w:cs="Times New Roman"/>
                <w:sz w:val="22"/>
                <w:lang w:eastAsia="sk-SK"/>
              </w:rPr>
              <w:t>8</w:t>
            </w:r>
          </w:p>
        </w:tc>
        <w:tc>
          <w:tcPr>
            <w:tcW w:w="1294" w:type="dxa"/>
            <w:tcBorders>
              <w:top w:val="nil"/>
              <w:left w:val="nil"/>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Pr>
                <w:rFonts w:eastAsia="Times New Roman" w:cs="Times New Roman"/>
                <w:sz w:val="22"/>
                <w:lang w:eastAsia="sk-SK"/>
              </w:rPr>
              <w:t>10</w:t>
            </w:r>
          </w:p>
        </w:tc>
        <w:tc>
          <w:tcPr>
            <w:tcW w:w="1008" w:type="dxa"/>
            <w:tcBorders>
              <w:top w:val="nil"/>
              <w:left w:val="nil"/>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Pr>
                <w:rFonts w:eastAsia="Times New Roman" w:cs="Times New Roman"/>
                <w:lang w:eastAsia="sk-SK"/>
              </w:rPr>
              <w:t>3</w:t>
            </w:r>
          </w:p>
        </w:tc>
        <w:tc>
          <w:tcPr>
            <w:tcW w:w="1151" w:type="dxa"/>
            <w:tcBorders>
              <w:top w:val="nil"/>
              <w:left w:val="nil"/>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Pr>
                <w:rFonts w:eastAsia="Times New Roman" w:cs="Times New Roman"/>
                <w:lang w:eastAsia="sk-SK"/>
              </w:rPr>
              <w:t>5</w:t>
            </w:r>
          </w:p>
        </w:tc>
      </w:tr>
      <w:tr w:rsidR="00B42C39" w:rsidRPr="0011634B" w:rsidTr="000771CE">
        <w:trPr>
          <w:trHeight w:val="236"/>
        </w:trPr>
        <w:tc>
          <w:tcPr>
            <w:tcW w:w="3598" w:type="dxa"/>
            <w:tcBorders>
              <w:top w:val="nil"/>
              <w:left w:val="single" w:sz="4" w:space="0" w:color="auto"/>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sidRPr="0011634B">
              <w:rPr>
                <w:rFonts w:eastAsia="Times New Roman" w:cs="Times New Roman"/>
                <w:sz w:val="22"/>
                <w:lang w:eastAsia="sk-SK"/>
              </w:rPr>
              <w:t>potreba tvorby do konca životnosti</w:t>
            </w:r>
          </w:p>
        </w:tc>
        <w:tc>
          <w:tcPr>
            <w:tcW w:w="1008" w:type="dxa"/>
            <w:tcBorders>
              <w:top w:val="nil"/>
              <w:left w:val="nil"/>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Pr>
                <w:rFonts w:eastAsia="Times New Roman" w:cs="Times New Roman"/>
                <w:sz w:val="22"/>
                <w:lang w:eastAsia="sk-SK"/>
              </w:rPr>
              <w:t>15 68</w:t>
            </w:r>
            <w:r w:rsidRPr="0011634B">
              <w:rPr>
                <w:rFonts w:eastAsia="Times New Roman" w:cs="Times New Roman"/>
                <w:sz w:val="22"/>
                <w:lang w:eastAsia="sk-SK"/>
              </w:rPr>
              <w:t>3</w:t>
            </w:r>
          </w:p>
        </w:tc>
        <w:tc>
          <w:tcPr>
            <w:tcW w:w="1294" w:type="dxa"/>
            <w:tcBorders>
              <w:top w:val="nil"/>
              <w:left w:val="nil"/>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Pr>
                <w:rFonts w:eastAsia="Times New Roman" w:cs="Times New Roman"/>
                <w:sz w:val="22"/>
                <w:lang w:eastAsia="sk-SK"/>
              </w:rPr>
              <w:t>1 865</w:t>
            </w:r>
          </w:p>
        </w:tc>
        <w:tc>
          <w:tcPr>
            <w:tcW w:w="1008" w:type="dxa"/>
            <w:tcBorders>
              <w:top w:val="nil"/>
              <w:left w:val="nil"/>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Pr>
                <w:rFonts w:eastAsia="Times New Roman" w:cs="Times New Roman"/>
                <w:lang w:eastAsia="sk-SK"/>
              </w:rPr>
              <w:t>0</w:t>
            </w:r>
          </w:p>
        </w:tc>
        <w:tc>
          <w:tcPr>
            <w:tcW w:w="1151" w:type="dxa"/>
            <w:tcBorders>
              <w:top w:val="nil"/>
              <w:left w:val="nil"/>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Pr>
                <w:rFonts w:eastAsia="Times New Roman" w:cs="Times New Roman"/>
                <w:lang w:eastAsia="sk-SK"/>
              </w:rPr>
              <w:t>-4 094</w:t>
            </w:r>
          </w:p>
        </w:tc>
      </w:tr>
      <w:tr w:rsidR="00B42C39" w:rsidRPr="0011634B" w:rsidTr="000771CE">
        <w:trPr>
          <w:trHeight w:val="236"/>
        </w:trPr>
        <w:tc>
          <w:tcPr>
            <w:tcW w:w="3598" w:type="dxa"/>
            <w:tcBorders>
              <w:top w:val="nil"/>
              <w:left w:val="single" w:sz="4" w:space="0" w:color="auto"/>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Pr>
                <w:rFonts w:eastAsia="Times New Roman" w:cs="Times New Roman"/>
                <w:sz w:val="22"/>
                <w:lang w:eastAsia="sk-SK"/>
              </w:rPr>
              <w:t>tvorba / zrušenie 2014</w:t>
            </w:r>
            <w:r w:rsidRPr="0011634B">
              <w:rPr>
                <w:rFonts w:eastAsia="Times New Roman" w:cs="Times New Roman"/>
                <w:sz w:val="22"/>
                <w:lang w:eastAsia="sk-SK"/>
              </w:rPr>
              <w:t xml:space="preserve">    + / -</w:t>
            </w:r>
          </w:p>
        </w:tc>
        <w:tc>
          <w:tcPr>
            <w:tcW w:w="1008" w:type="dxa"/>
            <w:tcBorders>
              <w:top w:val="nil"/>
              <w:left w:val="nil"/>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sidRPr="0011634B">
              <w:rPr>
                <w:rFonts w:eastAsia="Times New Roman" w:cs="Times New Roman"/>
                <w:sz w:val="22"/>
                <w:lang w:eastAsia="sk-SK"/>
              </w:rPr>
              <w:t>1 960</w:t>
            </w:r>
          </w:p>
        </w:tc>
        <w:tc>
          <w:tcPr>
            <w:tcW w:w="1294" w:type="dxa"/>
            <w:tcBorders>
              <w:top w:val="nil"/>
              <w:left w:val="nil"/>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Pr>
                <w:rFonts w:eastAsia="Times New Roman" w:cs="Times New Roman"/>
                <w:sz w:val="22"/>
                <w:lang w:eastAsia="sk-SK"/>
              </w:rPr>
              <w:t>186</w:t>
            </w:r>
          </w:p>
        </w:tc>
        <w:tc>
          <w:tcPr>
            <w:tcW w:w="1008" w:type="dxa"/>
            <w:tcBorders>
              <w:top w:val="nil"/>
              <w:left w:val="nil"/>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Pr>
                <w:rFonts w:eastAsia="Times New Roman" w:cs="Times New Roman"/>
                <w:lang w:eastAsia="sk-SK"/>
              </w:rPr>
              <w:t>0</w:t>
            </w:r>
          </w:p>
        </w:tc>
        <w:tc>
          <w:tcPr>
            <w:tcW w:w="1151" w:type="dxa"/>
            <w:tcBorders>
              <w:top w:val="nil"/>
              <w:left w:val="nil"/>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Pr>
                <w:rFonts w:eastAsia="Times New Roman" w:cs="Times New Roman"/>
                <w:lang w:eastAsia="sk-SK"/>
              </w:rPr>
              <w:t>-4 094</w:t>
            </w:r>
          </w:p>
        </w:tc>
      </w:tr>
      <w:tr w:rsidR="00B42C39" w:rsidRPr="0011634B" w:rsidTr="000771CE">
        <w:trPr>
          <w:trHeight w:val="236"/>
        </w:trPr>
        <w:tc>
          <w:tcPr>
            <w:tcW w:w="3598" w:type="dxa"/>
            <w:tcBorders>
              <w:top w:val="nil"/>
              <w:left w:val="single" w:sz="4" w:space="0" w:color="auto"/>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sidRPr="0011634B">
              <w:rPr>
                <w:rFonts w:eastAsia="Times New Roman" w:cs="Times New Roman"/>
                <w:sz w:val="22"/>
                <w:lang w:eastAsia="sk-SK"/>
              </w:rPr>
              <w:t>stav rezervy k 31.12.201</w:t>
            </w:r>
            <w:r>
              <w:rPr>
                <w:rFonts w:eastAsia="Times New Roman" w:cs="Times New Roman"/>
                <w:sz w:val="22"/>
                <w:lang w:eastAsia="sk-SK"/>
              </w:rPr>
              <w:t>4</w:t>
            </w:r>
          </w:p>
        </w:tc>
        <w:tc>
          <w:tcPr>
            <w:tcW w:w="1008" w:type="dxa"/>
            <w:tcBorders>
              <w:top w:val="nil"/>
              <w:left w:val="nil"/>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Pr>
                <w:rFonts w:eastAsia="Times New Roman" w:cs="Times New Roman"/>
                <w:sz w:val="22"/>
                <w:lang w:eastAsia="sk-SK"/>
              </w:rPr>
              <w:t>23 561</w:t>
            </w:r>
          </w:p>
        </w:tc>
        <w:tc>
          <w:tcPr>
            <w:tcW w:w="1294" w:type="dxa"/>
            <w:tcBorders>
              <w:top w:val="nil"/>
              <w:left w:val="nil"/>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sidRPr="0011634B">
              <w:rPr>
                <w:rFonts w:eastAsia="Times New Roman" w:cs="Times New Roman"/>
                <w:sz w:val="22"/>
                <w:lang w:eastAsia="sk-SK"/>
              </w:rPr>
              <w:t xml:space="preserve">561 </w:t>
            </w:r>
            <w:r>
              <w:rPr>
                <w:rFonts w:eastAsia="Times New Roman" w:cs="Times New Roman"/>
                <w:sz w:val="22"/>
                <w:lang w:eastAsia="sk-SK"/>
              </w:rPr>
              <w:t>380</w:t>
            </w:r>
          </w:p>
        </w:tc>
        <w:tc>
          <w:tcPr>
            <w:tcW w:w="1008" w:type="dxa"/>
            <w:tcBorders>
              <w:top w:val="nil"/>
              <w:left w:val="nil"/>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Pr>
                <w:rFonts w:eastAsia="Times New Roman" w:cs="Times New Roman"/>
                <w:lang w:eastAsia="sk-SK"/>
              </w:rPr>
              <w:t>30 000</w:t>
            </w:r>
          </w:p>
        </w:tc>
        <w:tc>
          <w:tcPr>
            <w:tcW w:w="1151" w:type="dxa"/>
            <w:tcBorders>
              <w:top w:val="nil"/>
              <w:left w:val="nil"/>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Pr>
                <w:rFonts w:eastAsia="Times New Roman" w:cs="Times New Roman"/>
                <w:lang w:eastAsia="sk-SK"/>
              </w:rPr>
              <w:t>345 396</w:t>
            </w:r>
          </w:p>
        </w:tc>
      </w:tr>
      <w:tr w:rsidR="00B42C39" w:rsidRPr="0011634B" w:rsidTr="000771CE">
        <w:trPr>
          <w:trHeight w:val="129"/>
        </w:trPr>
        <w:tc>
          <w:tcPr>
            <w:tcW w:w="3598" w:type="dxa"/>
            <w:tcBorders>
              <w:top w:val="nil"/>
              <w:left w:val="nil"/>
              <w:bottom w:val="nil"/>
              <w:right w:val="nil"/>
            </w:tcBorders>
            <w:shd w:val="clear" w:color="auto" w:fill="auto"/>
            <w:noWrap/>
            <w:vAlign w:val="bottom"/>
            <w:hideMark/>
          </w:tcPr>
          <w:p w:rsidR="00B42C39" w:rsidRPr="0049772C" w:rsidRDefault="00B42C39" w:rsidP="00A01CDB">
            <w:pPr>
              <w:rPr>
                <w:i/>
                <w:sz w:val="20"/>
                <w:szCs w:val="20"/>
              </w:rPr>
            </w:pPr>
            <w:r>
              <w:rPr>
                <w:i/>
                <w:sz w:val="20"/>
                <w:szCs w:val="20"/>
              </w:rPr>
              <w:t>Zdroj: interná evidencia spoločnosti</w:t>
            </w:r>
          </w:p>
        </w:tc>
        <w:tc>
          <w:tcPr>
            <w:tcW w:w="1008" w:type="dxa"/>
            <w:tcBorders>
              <w:top w:val="nil"/>
              <w:left w:val="nil"/>
              <w:bottom w:val="nil"/>
              <w:right w:val="nil"/>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p>
        </w:tc>
        <w:tc>
          <w:tcPr>
            <w:tcW w:w="1294" w:type="dxa"/>
            <w:tcBorders>
              <w:top w:val="nil"/>
              <w:left w:val="nil"/>
              <w:bottom w:val="nil"/>
              <w:right w:val="nil"/>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p>
        </w:tc>
        <w:tc>
          <w:tcPr>
            <w:tcW w:w="1008" w:type="dxa"/>
            <w:tcBorders>
              <w:top w:val="nil"/>
              <w:left w:val="nil"/>
              <w:bottom w:val="nil"/>
              <w:right w:val="nil"/>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p>
        </w:tc>
        <w:tc>
          <w:tcPr>
            <w:tcW w:w="1151" w:type="dxa"/>
            <w:tcBorders>
              <w:top w:val="nil"/>
              <w:left w:val="nil"/>
              <w:bottom w:val="nil"/>
              <w:right w:val="nil"/>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p>
        </w:tc>
      </w:tr>
    </w:tbl>
    <w:p w:rsidR="00B42C39" w:rsidRDefault="00B42C39" w:rsidP="00A01CDB"/>
    <w:p w:rsidR="00B42C39" w:rsidRDefault="00B42C39" w:rsidP="00A01CDB">
      <w:r>
        <w:t>Vysvetlivky: 7.ŤPp, resp. 7.ŤPr - 7. ťažobné pole, projekty, resp. rekultivácie</w:t>
      </w:r>
    </w:p>
    <w:p w:rsidR="00B42C39" w:rsidRDefault="00B42C39" w:rsidP="00A01CDB">
      <w:r>
        <w:tab/>
        <w:t xml:space="preserve">          8,ŤPp, resp. 8.ŤPr - 8. ťažobné pole, projekty, resp. rekultivácie</w:t>
      </w:r>
    </w:p>
    <w:p w:rsidR="007E52B5" w:rsidRDefault="007E52B5" w:rsidP="00A01CDB"/>
    <w:p w:rsidR="00B42C39" w:rsidRPr="0049772C" w:rsidRDefault="00B42C39" w:rsidP="00A01CDB">
      <w:pPr>
        <w:spacing w:line="276" w:lineRule="auto"/>
        <w:rPr>
          <w:b/>
        </w:rPr>
      </w:pPr>
      <w:r w:rsidRPr="0049772C">
        <w:rPr>
          <w:b/>
        </w:rPr>
        <w:t>Tabuľka č.7</w:t>
      </w:r>
      <w:r>
        <w:rPr>
          <w:b/>
        </w:rPr>
        <w:t>: Tvorba daňových rezerv pre rok 2015</w:t>
      </w:r>
    </w:p>
    <w:tbl>
      <w:tblPr>
        <w:tblW w:w="8059" w:type="dxa"/>
        <w:tblInd w:w="70" w:type="dxa"/>
        <w:tblCellMar>
          <w:left w:w="70" w:type="dxa"/>
          <w:right w:w="70" w:type="dxa"/>
        </w:tblCellMar>
        <w:tblLook w:val="04A0"/>
      </w:tblPr>
      <w:tblGrid>
        <w:gridCol w:w="3598"/>
        <w:gridCol w:w="1008"/>
        <w:gridCol w:w="1294"/>
        <w:gridCol w:w="1008"/>
        <w:gridCol w:w="1151"/>
      </w:tblGrid>
      <w:tr w:rsidR="00B42C39" w:rsidRPr="0011634B" w:rsidTr="000771CE">
        <w:trPr>
          <w:trHeight w:val="236"/>
        </w:trPr>
        <w:tc>
          <w:tcPr>
            <w:tcW w:w="35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sidRPr="0011634B">
              <w:rPr>
                <w:rFonts w:eastAsia="Times New Roman" w:cs="Times New Roman"/>
                <w:sz w:val="22"/>
                <w:lang w:eastAsia="sk-SK"/>
              </w:rPr>
              <w:t>rok 201</w:t>
            </w:r>
            <w:r>
              <w:rPr>
                <w:rFonts w:eastAsia="Times New Roman" w:cs="Times New Roman"/>
                <w:sz w:val="22"/>
                <w:lang w:eastAsia="sk-SK"/>
              </w:rPr>
              <w:t>5</w:t>
            </w: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sidRPr="0011634B">
              <w:rPr>
                <w:rFonts w:eastAsia="Times New Roman" w:cs="Times New Roman"/>
                <w:sz w:val="22"/>
                <w:lang w:eastAsia="sk-SK"/>
              </w:rPr>
              <w:t>7.ŤPp</w:t>
            </w:r>
          </w:p>
        </w:tc>
        <w:tc>
          <w:tcPr>
            <w:tcW w:w="1294" w:type="dxa"/>
            <w:tcBorders>
              <w:top w:val="single" w:sz="4" w:space="0" w:color="auto"/>
              <w:left w:val="nil"/>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sidRPr="0011634B">
              <w:rPr>
                <w:rFonts w:eastAsia="Times New Roman" w:cs="Times New Roman"/>
                <w:sz w:val="22"/>
                <w:lang w:eastAsia="sk-SK"/>
              </w:rPr>
              <w:t>7.ŤPr</w:t>
            </w: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Pr>
                <w:rFonts w:eastAsia="Times New Roman" w:cs="Times New Roman"/>
                <w:sz w:val="22"/>
                <w:lang w:eastAsia="sk-SK"/>
              </w:rPr>
              <w:t>8</w:t>
            </w:r>
            <w:r w:rsidRPr="001C4FF7">
              <w:rPr>
                <w:rFonts w:eastAsia="Times New Roman" w:cs="Times New Roman"/>
                <w:sz w:val="22"/>
                <w:lang w:eastAsia="sk-SK"/>
              </w:rPr>
              <w:t xml:space="preserve">. </w:t>
            </w:r>
            <w:proofErr w:type="spellStart"/>
            <w:r w:rsidRPr="001C4FF7">
              <w:rPr>
                <w:rFonts w:eastAsia="Times New Roman" w:cs="Times New Roman"/>
                <w:sz w:val="22"/>
                <w:lang w:eastAsia="sk-SK"/>
              </w:rPr>
              <w:t>ŤPp</w:t>
            </w:r>
            <w:proofErr w:type="spellEnd"/>
          </w:p>
        </w:tc>
        <w:tc>
          <w:tcPr>
            <w:tcW w:w="1151" w:type="dxa"/>
            <w:tcBorders>
              <w:top w:val="single" w:sz="4" w:space="0" w:color="auto"/>
              <w:left w:val="nil"/>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Pr>
                <w:rFonts w:eastAsia="Times New Roman" w:cs="Times New Roman"/>
                <w:sz w:val="22"/>
                <w:lang w:eastAsia="sk-SK"/>
              </w:rPr>
              <w:t>8</w:t>
            </w:r>
            <w:r w:rsidRPr="001C4FF7">
              <w:rPr>
                <w:rFonts w:eastAsia="Times New Roman" w:cs="Times New Roman"/>
                <w:sz w:val="22"/>
                <w:lang w:eastAsia="sk-SK"/>
              </w:rPr>
              <w:t xml:space="preserve">. </w:t>
            </w:r>
            <w:proofErr w:type="spellStart"/>
            <w:r w:rsidRPr="001C4FF7">
              <w:rPr>
                <w:rFonts w:eastAsia="Times New Roman" w:cs="Times New Roman"/>
                <w:sz w:val="22"/>
                <w:lang w:eastAsia="sk-SK"/>
              </w:rPr>
              <w:t>ŤPr</w:t>
            </w:r>
            <w:proofErr w:type="spellEnd"/>
          </w:p>
        </w:tc>
      </w:tr>
      <w:tr w:rsidR="00B42C39" w:rsidRPr="0011634B" w:rsidTr="000771CE">
        <w:trPr>
          <w:trHeight w:val="236"/>
        </w:trPr>
        <w:tc>
          <w:tcPr>
            <w:tcW w:w="3598" w:type="dxa"/>
            <w:tcBorders>
              <w:top w:val="nil"/>
              <w:left w:val="single" w:sz="4" w:space="0" w:color="auto"/>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sidRPr="0011634B">
              <w:rPr>
                <w:rFonts w:eastAsia="Times New Roman" w:cs="Times New Roman"/>
                <w:sz w:val="22"/>
                <w:lang w:eastAsia="sk-SK"/>
              </w:rPr>
              <w:t>stav rezervy k 31.12.201</w:t>
            </w:r>
            <w:r>
              <w:rPr>
                <w:rFonts w:eastAsia="Times New Roman" w:cs="Times New Roman"/>
                <w:sz w:val="22"/>
                <w:lang w:eastAsia="sk-SK"/>
              </w:rPr>
              <w:t>4</w:t>
            </w:r>
          </w:p>
        </w:tc>
        <w:tc>
          <w:tcPr>
            <w:tcW w:w="1008" w:type="dxa"/>
            <w:tcBorders>
              <w:top w:val="nil"/>
              <w:left w:val="nil"/>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sidRPr="0011634B">
              <w:rPr>
                <w:rFonts w:eastAsia="Times New Roman" w:cs="Times New Roman"/>
                <w:sz w:val="22"/>
                <w:lang w:eastAsia="sk-SK"/>
              </w:rPr>
              <w:t>2</w:t>
            </w:r>
            <w:r>
              <w:rPr>
                <w:rFonts w:eastAsia="Times New Roman" w:cs="Times New Roman"/>
                <w:sz w:val="22"/>
                <w:lang w:eastAsia="sk-SK"/>
              </w:rPr>
              <w:t>3 561</w:t>
            </w:r>
          </w:p>
        </w:tc>
        <w:tc>
          <w:tcPr>
            <w:tcW w:w="1294" w:type="dxa"/>
            <w:tcBorders>
              <w:top w:val="nil"/>
              <w:left w:val="nil"/>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sidRPr="0011634B">
              <w:rPr>
                <w:rFonts w:eastAsia="Times New Roman" w:cs="Times New Roman"/>
                <w:sz w:val="22"/>
                <w:lang w:eastAsia="sk-SK"/>
              </w:rPr>
              <w:t xml:space="preserve">561 </w:t>
            </w:r>
            <w:r>
              <w:rPr>
                <w:rFonts w:eastAsia="Times New Roman" w:cs="Times New Roman"/>
                <w:sz w:val="22"/>
                <w:lang w:eastAsia="sk-SK"/>
              </w:rPr>
              <w:t>380</w:t>
            </w:r>
          </w:p>
        </w:tc>
        <w:tc>
          <w:tcPr>
            <w:tcW w:w="1008" w:type="dxa"/>
            <w:tcBorders>
              <w:top w:val="nil"/>
              <w:left w:val="nil"/>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Pr>
                <w:rFonts w:eastAsia="Times New Roman" w:cs="Times New Roman"/>
                <w:sz w:val="22"/>
                <w:lang w:eastAsia="sk-SK"/>
              </w:rPr>
              <w:t>30 000</w:t>
            </w:r>
          </w:p>
        </w:tc>
        <w:tc>
          <w:tcPr>
            <w:tcW w:w="1151" w:type="dxa"/>
            <w:tcBorders>
              <w:top w:val="nil"/>
              <w:left w:val="nil"/>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Pr>
                <w:rFonts w:eastAsia="Times New Roman" w:cs="Times New Roman"/>
                <w:sz w:val="22"/>
                <w:lang w:eastAsia="sk-SK"/>
              </w:rPr>
              <w:t>345 396</w:t>
            </w:r>
          </w:p>
        </w:tc>
      </w:tr>
      <w:tr w:rsidR="00B42C39" w:rsidRPr="0011634B" w:rsidTr="000771CE">
        <w:trPr>
          <w:trHeight w:val="236"/>
        </w:trPr>
        <w:tc>
          <w:tcPr>
            <w:tcW w:w="3598" w:type="dxa"/>
            <w:tcBorders>
              <w:top w:val="nil"/>
              <w:left w:val="single" w:sz="4" w:space="0" w:color="auto"/>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sidRPr="0011634B">
              <w:rPr>
                <w:rFonts w:eastAsia="Times New Roman" w:cs="Times New Roman"/>
                <w:sz w:val="22"/>
                <w:lang w:eastAsia="sk-SK"/>
              </w:rPr>
              <w:t>celková budúca rezerva v r.201</w:t>
            </w:r>
            <w:r>
              <w:rPr>
                <w:rFonts w:eastAsia="Times New Roman" w:cs="Times New Roman"/>
                <w:sz w:val="22"/>
                <w:lang w:eastAsia="sk-SK"/>
              </w:rPr>
              <w:t>5</w:t>
            </w:r>
          </w:p>
        </w:tc>
        <w:tc>
          <w:tcPr>
            <w:tcW w:w="1008" w:type="dxa"/>
            <w:tcBorders>
              <w:top w:val="nil"/>
              <w:left w:val="nil"/>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Pr>
                <w:rFonts w:eastAsia="Times New Roman" w:cs="Times New Roman"/>
                <w:sz w:val="22"/>
                <w:lang w:eastAsia="sk-SK"/>
              </w:rPr>
              <w:t>150 00</w:t>
            </w:r>
            <w:r w:rsidRPr="0011634B">
              <w:rPr>
                <w:rFonts w:eastAsia="Times New Roman" w:cs="Times New Roman"/>
                <w:sz w:val="22"/>
                <w:lang w:eastAsia="sk-SK"/>
              </w:rPr>
              <w:t>0</w:t>
            </w:r>
          </w:p>
        </w:tc>
        <w:tc>
          <w:tcPr>
            <w:tcW w:w="1294" w:type="dxa"/>
            <w:tcBorders>
              <w:top w:val="nil"/>
              <w:left w:val="nil"/>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sidRPr="0011634B">
              <w:rPr>
                <w:rFonts w:eastAsia="Times New Roman" w:cs="Times New Roman"/>
                <w:sz w:val="22"/>
                <w:lang w:eastAsia="sk-SK"/>
              </w:rPr>
              <w:t>2</w:t>
            </w:r>
            <w:r>
              <w:rPr>
                <w:rFonts w:eastAsia="Times New Roman" w:cs="Times New Roman"/>
                <w:sz w:val="22"/>
                <w:lang w:eastAsia="sk-SK"/>
              </w:rPr>
              <w:t> 554 249</w:t>
            </w:r>
          </w:p>
        </w:tc>
        <w:tc>
          <w:tcPr>
            <w:tcW w:w="1008" w:type="dxa"/>
            <w:tcBorders>
              <w:top w:val="nil"/>
              <w:left w:val="nil"/>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Pr>
                <w:rFonts w:eastAsia="Times New Roman" w:cs="Times New Roman"/>
                <w:sz w:val="22"/>
                <w:lang w:eastAsia="sk-SK"/>
              </w:rPr>
              <w:t>3</w:t>
            </w:r>
            <w:r w:rsidRPr="001C4FF7">
              <w:rPr>
                <w:rFonts w:eastAsia="Times New Roman" w:cs="Times New Roman"/>
                <w:sz w:val="22"/>
                <w:lang w:eastAsia="sk-SK"/>
              </w:rPr>
              <w:t>0 000</w:t>
            </w:r>
          </w:p>
        </w:tc>
        <w:tc>
          <w:tcPr>
            <w:tcW w:w="1151" w:type="dxa"/>
            <w:tcBorders>
              <w:top w:val="nil"/>
              <w:left w:val="nil"/>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Pr>
                <w:rFonts w:eastAsia="Times New Roman" w:cs="Times New Roman"/>
                <w:sz w:val="22"/>
                <w:lang w:eastAsia="sk-SK"/>
              </w:rPr>
              <w:t>345 396</w:t>
            </w:r>
          </w:p>
        </w:tc>
      </w:tr>
      <w:tr w:rsidR="00B42C39" w:rsidRPr="0011634B" w:rsidTr="000771CE">
        <w:trPr>
          <w:trHeight w:val="236"/>
        </w:trPr>
        <w:tc>
          <w:tcPr>
            <w:tcW w:w="3598" w:type="dxa"/>
            <w:tcBorders>
              <w:top w:val="nil"/>
              <w:left w:val="single" w:sz="4" w:space="0" w:color="auto"/>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Pr>
                <w:rFonts w:eastAsia="Times New Roman" w:cs="Times New Roman"/>
                <w:sz w:val="22"/>
                <w:lang w:eastAsia="sk-SK"/>
              </w:rPr>
              <w:t xml:space="preserve">životnosť rezervy od r. 2015 </w:t>
            </w:r>
            <w:r w:rsidRPr="0011634B">
              <w:rPr>
                <w:rFonts w:eastAsia="Times New Roman" w:cs="Times New Roman"/>
                <w:sz w:val="22"/>
                <w:lang w:eastAsia="sk-SK"/>
              </w:rPr>
              <w:t>- roky</w:t>
            </w:r>
          </w:p>
        </w:tc>
        <w:tc>
          <w:tcPr>
            <w:tcW w:w="1008" w:type="dxa"/>
            <w:tcBorders>
              <w:top w:val="nil"/>
              <w:left w:val="nil"/>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Pr>
                <w:rFonts w:eastAsia="Times New Roman" w:cs="Times New Roman"/>
                <w:sz w:val="22"/>
                <w:lang w:eastAsia="sk-SK"/>
              </w:rPr>
              <w:t>8</w:t>
            </w:r>
          </w:p>
        </w:tc>
        <w:tc>
          <w:tcPr>
            <w:tcW w:w="1294" w:type="dxa"/>
            <w:tcBorders>
              <w:top w:val="nil"/>
              <w:left w:val="nil"/>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Pr>
                <w:rFonts w:eastAsia="Times New Roman" w:cs="Times New Roman"/>
                <w:sz w:val="22"/>
                <w:lang w:eastAsia="sk-SK"/>
              </w:rPr>
              <w:t>9</w:t>
            </w:r>
          </w:p>
        </w:tc>
        <w:tc>
          <w:tcPr>
            <w:tcW w:w="1008" w:type="dxa"/>
            <w:tcBorders>
              <w:top w:val="nil"/>
              <w:left w:val="nil"/>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Pr>
                <w:rFonts w:eastAsia="Times New Roman" w:cs="Times New Roman"/>
                <w:sz w:val="22"/>
                <w:lang w:eastAsia="sk-SK"/>
              </w:rPr>
              <w:t>2</w:t>
            </w:r>
          </w:p>
        </w:tc>
        <w:tc>
          <w:tcPr>
            <w:tcW w:w="1151" w:type="dxa"/>
            <w:tcBorders>
              <w:top w:val="nil"/>
              <w:left w:val="nil"/>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Pr>
                <w:rFonts w:eastAsia="Times New Roman" w:cs="Times New Roman"/>
                <w:lang w:eastAsia="sk-SK"/>
              </w:rPr>
              <w:t>4</w:t>
            </w:r>
          </w:p>
        </w:tc>
      </w:tr>
      <w:tr w:rsidR="00B42C39" w:rsidRPr="00C35CED" w:rsidTr="000771CE">
        <w:trPr>
          <w:trHeight w:val="236"/>
        </w:trPr>
        <w:tc>
          <w:tcPr>
            <w:tcW w:w="3598" w:type="dxa"/>
            <w:tcBorders>
              <w:top w:val="nil"/>
              <w:left w:val="single" w:sz="4" w:space="0" w:color="auto"/>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sidRPr="0011634B">
              <w:rPr>
                <w:rFonts w:eastAsia="Times New Roman" w:cs="Times New Roman"/>
                <w:sz w:val="22"/>
                <w:lang w:eastAsia="sk-SK"/>
              </w:rPr>
              <w:t>potreba tvorby do konca životnosti</w:t>
            </w:r>
          </w:p>
        </w:tc>
        <w:tc>
          <w:tcPr>
            <w:tcW w:w="1008" w:type="dxa"/>
            <w:tcBorders>
              <w:top w:val="nil"/>
              <w:left w:val="nil"/>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sidRPr="0011634B">
              <w:rPr>
                <w:rFonts w:eastAsia="Times New Roman" w:cs="Times New Roman"/>
                <w:sz w:val="22"/>
                <w:lang w:eastAsia="sk-SK"/>
              </w:rPr>
              <w:t>1</w:t>
            </w:r>
            <w:r>
              <w:rPr>
                <w:rFonts w:eastAsia="Times New Roman" w:cs="Times New Roman"/>
                <w:sz w:val="22"/>
                <w:lang w:eastAsia="sk-SK"/>
              </w:rPr>
              <w:t>3 723</w:t>
            </w:r>
          </w:p>
        </w:tc>
        <w:tc>
          <w:tcPr>
            <w:tcW w:w="1294" w:type="dxa"/>
            <w:tcBorders>
              <w:top w:val="nil"/>
              <w:left w:val="nil"/>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Pr>
                <w:rFonts w:eastAsia="Times New Roman" w:cs="Times New Roman"/>
                <w:sz w:val="22"/>
                <w:lang w:eastAsia="sk-SK"/>
              </w:rPr>
              <w:t>1 678</w:t>
            </w:r>
          </w:p>
        </w:tc>
        <w:tc>
          <w:tcPr>
            <w:tcW w:w="1008" w:type="dxa"/>
            <w:tcBorders>
              <w:top w:val="nil"/>
              <w:left w:val="nil"/>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sidRPr="001C4FF7">
              <w:rPr>
                <w:rFonts w:eastAsia="Times New Roman" w:cs="Times New Roman"/>
                <w:sz w:val="22"/>
                <w:lang w:eastAsia="sk-SK"/>
              </w:rPr>
              <w:t>0</w:t>
            </w:r>
          </w:p>
        </w:tc>
        <w:tc>
          <w:tcPr>
            <w:tcW w:w="1151" w:type="dxa"/>
            <w:tcBorders>
              <w:top w:val="nil"/>
              <w:left w:val="nil"/>
              <w:bottom w:val="single" w:sz="4" w:space="0" w:color="auto"/>
              <w:right w:val="single" w:sz="4" w:space="0" w:color="auto"/>
            </w:tcBorders>
            <w:shd w:val="clear" w:color="auto" w:fill="auto"/>
            <w:noWrap/>
            <w:vAlign w:val="bottom"/>
            <w:hideMark/>
          </w:tcPr>
          <w:p w:rsidR="00B42C39" w:rsidRPr="00C35CED" w:rsidRDefault="00B42C39" w:rsidP="00A01CDB">
            <w:pPr>
              <w:spacing w:line="276" w:lineRule="auto"/>
              <w:rPr>
                <w:rFonts w:eastAsia="Times New Roman" w:cs="Times New Roman"/>
                <w:lang w:eastAsia="sk-SK"/>
              </w:rPr>
            </w:pPr>
            <w:r>
              <w:rPr>
                <w:rFonts w:eastAsia="Times New Roman" w:cs="Times New Roman"/>
                <w:sz w:val="22"/>
                <w:lang w:eastAsia="sk-SK"/>
              </w:rPr>
              <w:t>0</w:t>
            </w:r>
          </w:p>
        </w:tc>
      </w:tr>
      <w:tr w:rsidR="00B42C39" w:rsidRPr="0011634B" w:rsidTr="000771CE">
        <w:trPr>
          <w:trHeight w:val="236"/>
        </w:trPr>
        <w:tc>
          <w:tcPr>
            <w:tcW w:w="3598" w:type="dxa"/>
            <w:tcBorders>
              <w:top w:val="nil"/>
              <w:left w:val="single" w:sz="4" w:space="0" w:color="auto"/>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Pr>
                <w:rFonts w:eastAsia="Times New Roman" w:cs="Times New Roman"/>
                <w:sz w:val="22"/>
                <w:lang w:eastAsia="sk-SK"/>
              </w:rPr>
              <w:t>tvorba / zrušenie 2015</w:t>
            </w:r>
            <w:r w:rsidRPr="0011634B">
              <w:rPr>
                <w:rFonts w:eastAsia="Times New Roman" w:cs="Times New Roman"/>
                <w:sz w:val="22"/>
                <w:lang w:eastAsia="sk-SK"/>
              </w:rPr>
              <w:t xml:space="preserve">   + / -</w:t>
            </w:r>
          </w:p>
        </w:tc>
        <w:tc>
          <w:tcPr>
            <w:tcW w:w="1008" w:type="dxa"/>
            <w:tcBorders>
              <w:top w:val="nil"/>
              <w:left w:val="nil"/>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sidRPr="0011634B">
              <w:rPr>
                <w:rFonts w:eastAsia="Times New Roman" w:cs="Times New Roman"/>
                <w:sz w:val="22"/>
                <w:lang w:eastAsia="sk-SK"/>
              </w:rPr>
              <w:t xml:space="preserve">1 </w:t>
            </w:r>
            <w:r>
              <w:rPr>
                <w:rFonts w:eastAsia="Times New Roman" w:cs="Times New Roman"/>
                <w:sz w:val="22"/>
                <w:lang w:eastAsia="sk-SK"/>
              </w:rPr>
              <w:t>715</w:t>
            </w:r>
          </w:p>
        </w:tc>
        <w:tc>
          <w:tcPr>
            <w:tcW w:w="1294" w:type="dxa"/>
            <w:tcBorders>
              <w:top w:val="nil"/>
              <w:left w:val="nil"/>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sidRPr="0011634B">
              <w:rPr>
                <w:rFonts w:eastAsia="Times New Roman" w:cs="Times New Roman"/>
                <w:sz w:val="22"/>
                <w:lang w:eastAsia="sk-SK"/>
              </w:rPr>
              <w:t>186</w:t>
            </w:r>
          </w:p>
        </w:tc>
        <w:tc>
          <w:tcPr>
            <w:tcW w:w="1008" w:type="dxa"/>
            <w:tcBorders>
              <w:top w:val="nil"/>
              <w:left w:val="nil"/>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sidRPr="001C4FF7">
              <w:rPr>
                <w:rFonts w:eastAsia="Times New Roman" w:cs="Times New Roman"/>
                <w:sz w:val="22"/>
                <w:lang w:eastAsia="sk-SK"/>
              </w:rPr>
              <w:t>0</w:t>
            </w:r>
          </w:p>
        </w:tc>
        <w:tc>
          <w:tcPr>
            <w:tcW w:w="1151" w:type="dxa"/>
            <w:tcBorders>
              <w:top w:val="nil"/>
              <w:left w:val="nil"/>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Pr>
                <w:rFonts w:eastAsia="Times New Roman" w:cs="Times New Roman"/>
                <w:sz w:val="22"/>
                <w:lang w:eastAsia="sk-SK"/>
              </w:rPr>
              <w:t>0</w:t>
            </w:r>
          </w:p>
        </w:tc>
      </w:tr>
      <w:tr w:rsidR="00B42C39" w:rsidRPr="0011634B" w:rsidTr="000771CE">
        <w:trPr>
          <w:trHeight w:val="236"/>
        </w:trPr>
        <w:tc>
          <w:tcPr>
            <w:tcW w:w="3598" w:type="dxa"/>
            <w:tcBorders>
              <w:top w:val="nil"/>
              <w:left w:val="single" w:sz="4" w:space="0" w:color="auto"/>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sidRPr="0011634B">
              <w:rPr>
                <w:rFonts w:eastAsia="Times New Roman" w:cs="Times New Roman"/>
                <w:sz w:val="22"/>
                <w:lang w:eastAsia="sk-SK"/>
              </w:rPr>
              <w:t>stav rezervy k 31.12.201</w:t>
            </w:r>
            <w:r>
              <w:rPr>
                <w:rFonts w:eastAsia="Times New Roman" w:cs="Times New Roman"/>
                <w:sz w:val="22"/>
                <w:lang w:eastAsia="sk-SK"/>
              </w:rPr>
              <w:t>5</w:t>
            </w:r>
          </w:p>
        </w:tc>
        <w:tc>
          <w:tcPr>
            <w:tcW w:w="1008" w:type="dxa"/>
            <w:tcBorders>
              <w:top w:val="nil"/>
              <w:left w:val="nil"/>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sidRPr="0011634B">
              <w:rPr>
                <w:rFonts w:eastAsia="Times New Roman" w:cs="Times New Roman"/>
                <w:sz w:val="22"/>
                <w:lang w:eastAsia="sk-SK"/>
              </w:rPr>
              <w:t>2</w:t>
            </w:r>
            <w:r>
              <w:rPr>
                <w:rFonts w:eastAsia="Times New Roman" w:cs="Times New Roman"/>
                <w:sz w:val="22"/>
                <w:lang w:eastAsia="sk-SK"/>
              </w:rPr>
              <w:t>5 277</w:t>
            </w:r>
          </w:p>
        </w:tc>
        <w:tc>
          <w:tcPr>
            <w:tcW w:w="1294" w:type="dxa"/>
            <w:tcBorders>
              <w:top w:val="nil"/>
              <w:left w:val="nil"/>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sidRPr="0011634B">
              <w:rPr>
                <w:rFonts w:eastAsia="Times New Roman" w:cs="Times New Roman"/>
                <w:sz w:val="22"/>
                <w:lang w:eastAsia="sk-SK"/>
              </w:rPr>
              <w:t xml:space="preserve">561 </w:t>
            </w:r>
            <w:r>
              <w:rPr>
                <w:rFonts w:eastAsia="Times New Roman" w:cs="Times New Roman"/>
                <w:sz w:val="22"/>
                <w:lang w:eastAsia="sk-SK"/>
              </w:rPr>
              <w:t>566</w:t>
            </w:r>
          </w:p>
        </w:tc>
        <w:tc>
          <w:tcPr>
            <w:tcW w:w="1008" w:type="dxa"/>
            <w:tcBorders>
              <w:top w:val="nil"/>
              <w:left w:val="nil"/>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Pr>
                <w:rFonts w:eastAsia="Times New Roman" w:cs="Times New Roman"/>
                <w:sz w:val="22"/>
                <w:lang w:eastAsia="sk-SK"/>
              </w:rPr>
              <w:t>30 00</w:t>
            </w:r>
            <w:r w:rsidRPr="001C4FF7">
              <w:rPr>
                <w:rFonts w:eastAsia="Times New Roman" w:cs="Times New Roman"/>
                <w:sz w:val="22"/>
                <w:lang w:eastAsia="sk-SK"/>
              </w:rPr>
              <w:t>0</w:t>
            </w:r>
          </w:p>
        </w:tc>
        <w:tc>
          <w:tcPr>
            <w:tcW w:w="1151" w:type="dxa"/>
            <w:tcBorders>
              <w:top w:val="nil"/>
              <w:left w:val="nil"/>
              <w:bottom w:val="single" w:sz="4" w:space="0" w:color="auto"/>
              <w:right w:val="single" w:sz="4" w:space="0" w:color="auto"/>
            </w:tcBorders>
            <w:shd w:val="clear" w:color="auto" w:fill="auto"/>
            <w:noWrap/>
            <w:vAlign w:val="bottom"/>
            <w:hideMark/>
          </w:tcPr>
          <w:p w:rsidR="00B42C39" w:rsidRPr="0011634B" w:rsidRDefault="00B42C39" w:rsidP="00A01CDB">
            <w:pPr>
              <w:spacing w:line="276" w:lineRule="auto"/>
              <w:rPr>
                <w:rFonts w:eastAsia="Times New Roman" w:cs="Times New Roman"/>
                <w:lang w:eastAsia="sk-SK"/>
              </w:rPr>
            </w:pPr>
            <w:r>
              <w:rPr>
                <w:rFonts w:eastAsia="Times New Roman" w:cs="Times New Roman"/>
                <w:sz w:val="22"/>
                <w:lang w:eastAsia="sk-SK"/>
              </w:rPr>
              <w:t>345 396</w:t>
            </w:r>
          </w:p>
        </w:tc>
      </w:tr>
    </w:tbl>
    <w:p w:rsidR="00B42C39" w:rsidRPr="0049772C" w:rsidRDefault="00B42C39" w:rsidP="00A01CDB">
      <w:pPr>
        <w:rPr>
          <w:i/>
          <w:sz w:val="20"/>
          <w:szCs w:val="20"/>
        </w:rPr>
      </w:pPr>
      <w:r w:rsidRPr="0049772C">
        <w:rPr>
          <w:i/>
          <w:sz w:val="20"/>
          <w:szCs w:val="20"/>
        </w:rPr>
        <w:t>Zdroj: interná evidencia spoločnosti</w:t>
      </w:r>
    </w:p>
    <w:p w:rsidR="00B42C39" w:rsidRDefault="00B42C39" w:rsidP="00A01CDB">
      <w:r>
        <w:t xml:space="preserve">V  tabuľkách môžeme vidieť, že ku koncu roka 2013 bola daňová rezerva pre rekultiváciu 7. ťažobného poľa 561 193 €. Do konca životnosti rezervy zostáva 10 rokov a počas tejto doby si podnik ešte musí pripraviť rezervu vo výške 1 865 € (celková potrebná rezerva je 2 658 405 €, z čoho je 2 095 347 € už vytvorená nedaňová časť). Jednoduchým vydelením počtom rokov získame sumu, ktorú si podnik musí každý rok vytvárať a súčasne uplatňovať ako daňový náklad: 186 €. Na konci roku 2014 už má podnik vytvorenú rezervu vo výške 561 380 €. </w:t>
      </w:r>
      <w:r>
        <w:lastRenderedPageBreak/>
        <w:t>Rovnako sa postupuje aj v ďalšom roku a vidíme, že na konci roku 2015 má podnik vytvorenú rezervu vo výške 561 566 €. Pre rok 2016 bude tabuľka vyzerať nasledovne:</w:t>
      </w:r>
    </w:p>
    <w:p w:rsidR="007E52B5" w:rsidRDefault="007E52B5" w:rsidP="00A01CDB"/>
    <w:p w:rsidR="00B42C39" w:rsidRPr="00CE3FB5" w:rsidRDefault="00B42C39" w:rsidP="00A01CDB">
      <w:pPr>
        <w:spacing w:line="240" w:lineRule="auto"/>
        <w:rPr>
          <w:b/>
        </w:rPr>
      </w:pPr>
      <w:r>
        <w:rPr>
          <w:b/>
        </w:rPr>
        <w:t>Tabuľka č.8: Predpoklad výpočtu pre rok 2016</w:t>
      </w:r>
    </w:p>
    <w:tbl>
      <w:tblPr>
        <w:tblW w:w="7802" w:type="dxa"/>
        <w:tblInd w:w="65" w:type="dxa"/>
        <w:tblCellMar>
          <w:left w:w="70" w:type="dxa"/>
          <w:right w:w="70" w:type="dxa"/>
        </w:tblCellMar>
        <w:tblLook w:val="04A0"/>
      </w:tblPr>
      <w:tblGrid>
        <w:gridCol w:w="3266"/>
        <w:gridCol w:w="1134"/>
        <w:gridCol w:w="1134"/>
        <w:gridCol w:w="1134"/>
        <w:gridCol w:w="1134"/>
      </w:tblGrid>
      <w:tr w:rsidR="00B42C39" w:rsidRPr="001C4FF7" w:rsidTr="000771CE">
        <w:trPr>
          <w:trHeight w:val="255"/>
        </w:trPr>
        <w:tc>
          <w:tcPr>
            <w:tcW w:w="3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2C39" w:rsidRPr="001C4FF7" w:rsidRDefault="00B42C39" w:rsidP="00A01CDB">
            <w:pPr>
              <w:spacing w:line="276" w:lineRule="auto"/>
              <w:rPr>
                <w:rFonts w:eastAsia="Times New Roman" w:cs="Times New Roman"/>
                <w:lang w:eastAsia="sk-SK"/>
              </w:rPr>
            </w:pPr>
            <w:r w:rsidRPr="001C4FF7">
              <w:rPr>
                <w:rFonts w:eastAsia="Times New Roman" w:cs="Times New Roman"/>
                <w:sz w:val="22"/>
                <w:lang w:eastAsia="sk-SK"/>
              </w:rPr>
              <w:t>rok 201</w:t>
            </w:r>
            <w:r>
              <w:rPr>
                <w:rFonts w:eastAsia="Times New Roman" w:cs="Times New Roman"/>
                <w:sz w:val="22"/>
                <w:lang w:eastAsia="sk-SK"/>
              </w:rPr>
              <w:t>6</w:t>
            </w:r>
          </w:p>
        </w:tc>
        <w:tc>
          <w:tcPr>
            <w:tcW w:w="1134" w:type="dxa"/>
            <w:tcBorders>
              <w:top w:val="single" w:sz="4" w:space="0" w:color="auto"/>
              <w:left w:val="nil"/>
              <w:bottom w:val="single" w:sz="4" w:space="0" w:color="auto"/>
              <w:right w:val="single" w:sz="4" w:space="0" w:color="auto"/>
            </w:tcBorders>
          </w:tcPr>
          <w:p w:rsidR="00B42C39" w:rsidRPr="007B630B" w:rsidRDefault="00B42C39" w:rsidP="00A01CDB">
            <w:pPr>
              <w:spacing w:line="276" w:lineRule="auto"/>
              <w:rPr>
                <w:rFonts w:eastAsia="Times New Roman" w:cs="Times New Roman"/>
                <w:lang w:eastAsia="sk-SK"/>
              </w:rPr>
            </w:pPr>
            <w:r>
              <w:rPr>
                <w:rFonts w:eastAsia="Times New Roman" w:cs="Times New Roman"/>
                <w:sz w:val="22"/>
                <w:lang w:eastAsia="sk-SK"/>
              </w:rPr>
              <w:t xml:space="preserve">7. </w:t>
            </w:r>
            <w:proofErr w:type="spellStart"/>
            <w:r>
              <w:rPr>
                <w:rFonts w:eastAsia="Times New Roman" w:cs="Times New Roman"/>
                <w:sz w:val="22"/>
                <w:lang w:eastAsia="sk-SK"/>
              </w:rPr>
              <w:t>ŤPp</w:t>
            </w:r>
            <w:proofErr w:type="spellEnd"/>
          </w:p>
        </w:tc>
        <w:tc>
          <w:tcPr>
            <w:tcW w:w="1134" w:type="dxa"/>
            <w:tcBorders>
              <w:top w:val="single" w:sz="4" w:space="0" w:color="auto"/>
              <w:left w:val="single" w:sz="4" w:space="0" w:color="auto"/>
              <w:bottom w:val="single" w:sz="4" w:space="0" w:color="auto"/>
              <w:right w:val="single" w:sz="4" w:space="0" w:color="auto"/>
            </w:tcBorders>
          </w:tcPr>
          <w:p w:rsidR="00B42C39" w:rsidRPr="007B630B" w:rsidRDefault="00B42C39" w:rsidP="00A01CDB">
            <w:pPr>
              <w:spacing w:line="276" w:lineRule="auto"/>
              <w:rPr>
                <w:rFonts w:eastAsia="Times New Roman" w:cs="Times New Roman"/>
                <w:lang w:eastAsia="sk-SK"/>
              </w:rPr>
            </w:pPr>
            <w:r>
              <w:rPr>
                <w:rFonts w:eastAsia="Times New Roman" w:cs="Times New Roman"/>
                <w:sz w:val="22"/>
                <w:lang w:eastAsia="sk-SK"/>
              </w:rPr>
              <w:t>7.ŤPr</w:t>
            </w:r>
          </w:p>
        </w:tc>
        <w:tc>
          <w:tcPr>
            <w:tcW w:w="1134" w:type="dxa"/>
            <w:tcBorders>
              <w:top w:val="single" w:sz="4" w:space="0" w:color="auto"/>
              <w:left w:val="single" w:sz="4" w:space="0" w:color="auto"/>
              <w:bottom w:val="single" w:sz="4" w:space="0" w:color="auto"/>
              <w:right w:val="single" w:sz="4" w:space="0" w:color="auto"/>
            </w:tcBorders>
          </w:tcPr>
          <w:p w:rsidR="00B42C39" w:rsidRPr="007B630B" w:rsidRDefault="00B42C39" w:rsidP="00A01CDB">
            <w:pPr>
              <w:spacing w:line="276" w:lineRule="auto"/>
              <w:rPr>
                <w:rFonts w:eastAsia="Times New Roman" w:cs="Times New Roman"/>
                <w:lang w:eastAsia="sk-SK"/>
              </w:rPr>
            </w:pPr>
            <w:r>
              <w:rPr>
                <w:rFonts w:eastAsia="Times New Roman" w:cs="Times New Roman"/>
                <w:sz w:val="22"/>
                <w:lang w:eastAsia="sk-SK"/>
              </w:rPr>
              <w:t xml:space="preserve">8. </w:t>
            </w:r>
            <w:proofErr w:type="spellStart"/>
            <w:r>
              <w:rPr>
                <w:rFonts w:eastAsia="Times New Roman" w:cs="Times New Roman"/>
                <w:sz w:val="22"/>
                <w:lang w:eastAsia="sk-SK"/>
              </w:rPr>
              <w:t>ŤPp</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2C39" w:rsidRPr="001C4FF7" w:rsidRDefault="00B42C39" w:rsidP="00A01CDB">
            <w:pPr>
              <w:spacing w:line="276" w:lineRule="auto"/>
              <w:rPr>
                <w:rFonts w:eastAsia="Times New Roman" w:cs="Times New Roman"/>
                <w:lang w:eastAsia="sk-SK"/>
              </w:rPr>
            </w:pPr>
            <w:r>
              <w:rPr>
                <w:rFonts w:eastAsia="Times New Roman" w:cs="Times New Roman"/>
                <w:sz w:val="22"/>
                <w:lang w:eastAsia="sk-SK"/>
              </w:rPr>
              <w:t>8</w:t>
            </w:r>
            <w:r w:rsidRPr="007B630B">
              <w:rPr>
                <w:rFonts w:eastAsia="Times New Roman" w:cs="Times New Roman"/>
                <w:sz w:val="22"/>
                <w:lang w:eastAsia="sk-SK"/>
              </w:rPr>
              <w:t xml:space="preserve">. </w:t>
            </w:r>
            <w:proofErr w:type="spellStart"/>
            <w:r w:rsidRPr="007B630B">
              <w:rPr>
                <w:rFonts w:eastAsia="Times New Roman" w:cs="Times New Roman"/>
                <w:sz w:val="22"/>
                <w:lang w:eastAsia="sk-SK"/>
              </w:rPr>
              <w:t>ŤPr</w:t>
            </w:r>
            <w:proofErr w:type="spellEnd"/>
          </w:p>
        </w:tc>
      </w:tr>
      <w:tr w:rsidR="00B42C39" w:rsidRPr="001C4FF7" w:rsidTr="000771CE">
        <w:trPr>
          <w:trHeight w:val="255"/>
        </w:trPr>
        <w:tc>
          <w:tcPr>
            <w:tcW w:w="3266" w:type="dxa"/>
            <w:tcBorders>
              <w:top w:val="nil"/>
              <w:left w:val="single" w:sz="4" w:space="0" w:color="auto"/>
              <w:bottom w:val="single" w:sz="4" w:space="0" w:color="auto"/>
              <w:right w:val="single" w:sz="4" w:space="0" w:color="auto"/>
            </w:tcBorders>
            <w:shd w:val="clear" w:color="auto" w:fill="auto"/>
            <w:noWrap/>
            <w:vAlign w:val="bottom"/>
            <w:hideMark/>
          </w:tcPr>
          <w:p w:rsidR="00B42C39" w:rsidRPr="001C4FF7" w:rsidRDefault="00B42C39" w:rsidP="00A01CDB">
            <w:pPr>
              <w:spacing w:line="276" w:lineRule="auto"/>
              <w:rPr>
                <w:rFonts w:eastAsia="Times New Roman" w:cs="Times New Roman"/>
                <w:lang w:eastAsia="sk-SK"/>
              </w:rPr>
            </w:pPr>
            <w:r w:rsidRPr="001C4FF7">
              <w:rPr>
                <w:rFonts w:eastAsia="Times New Roman" w:cs="Times New Roman"/>
                <w:sz w:val="22"/>
                <w:lang w:eastAsia="sk-SK"/>
              </w:rPr>
              <w:t>stav rezervy k 31.12.201</w:t>
            </w:r>
            <w:r w:rsidRPr="007B630B">
              <w:rPr>
                <w:rFonts w:eastAsia="Times New Roman" w:cs="Times New Roman"/>
                <w:sz w:val="22"/>
                <w:lang w:eastAsia="sk-SK"/>
              </w:rPr>
              <w:t>4</w:t>
            </w:r>
          </w:p>
        </w:tc>
        <w:tc>
          <w:tcPr>
            <w:tcW w:w="1134" w:type="dxa"/>
            <w:tcBorders>
              <w:top w:val="nil"/>
              <w:left w:val="nil"/>
              <w:bottom w:val="single" w:sz="4" w:space="0" w:color="auto"/>
              <w:right w:val="single" w:sz="4" w:space="0" w:color="auto"/>
            </w:tcBorders>
          </w:tcPr>
          <w:p w:rsidR="00B42C39" w:rsidRPr="007B630B" w:rsidRDefault="00B42C39" w:rsidP="00A01CDB">
            <w:pPr>
              <w:spacing w:line="276" w:lineRule="auto"/>
              <w:rPr>
                <w:rFonts w:eastAsia="Times New Roman" w:cs="Times New Roman"/>
                <w:lang w:eastAsia="sk-SK"/>
              </w:rPr>
            </w:pPr>
            <w:r>
              <w:rPr>
                <w:rFonts w:eastAsia="Times New Roman" w:cs="Times New Roman"/>
                <w:sz w:val="22"/>
                <w:lang w:eastAsia="sk-SK"/>
              </w:rPr>
              <w:t>25 277</w:t>
            </w:r>
          </w:p>
        </w:tc>
        <w:tc>
          <w:tcPr>
            <w:tcW w:w="1134" w:type="dxa"/>
            <w:tcBorders>
              <w:top w:val="nil"/>
              <w:left w:val="single" w:sz="4" w:space="0" w:color="auto"/>
              <w:bottom w:val="single" w:sz="4" w:space="0" w:color="auto"/>
              <w:right w:val="single" w:sz="4" w:space="0" w:color="auto"/>
            </w:tcBorders>
          </w:tcPr>
          <w:p w:rsidR="00B42C39" w:rsidRPr="007B630B" w:rsidRDefault="00B42C39" w:rsidP="00A01CDB">
            <w:pPr>
              <w:spacing w:line="276" w:lineRule="auto"/>
              <w:rPr>
                <w:rFonts w:eastAsia="Times New Roman" w:cs="Times New Roman"/>
                <w:lang w:eastAsia="sk-SK"/>
              </w:rPr>
            </w:pPr>
            <w:r>
              <w:rPr>
                <w:rFonts w:eastAsia="Times New Roman" w:cs="Times New Roman"/>
                <w:sz w:val="22"/>
                <w:lang w:eastAsia="sk-SK"/>
              </w:rPr>
              <w:t xml:space="preserve">561 </w:t>
            </w:r>
            <w:r w:rsidR="00BC2B50">
              <w:rPr>
                <w:rFonts w:eastAsia="Times New Roman" w:cs="Times New Roman"/>
                <w:sz w:val="22"/>
                <w:lang w:eastAsia="sk-SK"/>
              </w:rPr>
              <w:t>566</w:t>
            </w:r>
          </w:p>
        </w:tc>
        <w:tc>
          <w:tcPr>
            <w:tcW w:w="1134" w:type="dxa"/>
            <w:tcBorders>
              <w:top w:val="single" w:sz="4" w:space="0" w:color="auto"/>
              <w:left w:val="single" w:sz="4" w:space="0" w:color="auto"/>
              <w:bottom w:val="single" w:sz="4" w:space="0" w:color="auto"/>
              <w:right w:val="single" w:sz="4" w:space="0" w:color="auto"/>
            </w:tcBorders>
          </w:tcPr>
          <w:p w:rsidR="00B42C39" w:rsidRPr="007B630B" w:rsidRDefault="00B42C39" w:rsidP="00A01CDB">
            <w:pPr>
              <w:spacing w:line="276" w:lineRule="auto"/>
              <w:rPr>
                <w:rFonts w:eastAsia="Times New Roman" w:cs="Times New Roman"/>
                <w:lang w:eastAsia="sk-SK"/>
              </w:rPr>
            </w:pPr>
            <w:r>
              <w:rPr>
                <w:rFonts w:eastAsia="Times New Roman" w:cs="Times New Roman"/>
                <w:sz w:val="22"/>
                <w:lang w:eastAsia="sk-SK"/>
              </w:rPr>
              <w:t>30 000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B42C39" w:rsidRPr="001C4FF7" w:rsidRDefault="00B42C39" w:rsidP="00A01CDB">
            <w:pPr>
              <w:spacing w:line="276" w:lineRule="auto"/>
              <w:rPr>
                <w:rFonts w:eastAsia="Times New Roman" w:cs="Times New Roman"/>
                <w:lang w:eastAsia="sk-SK"/>
              </w:rPr>
            </w:pPr>
            <w:r>
              <w:rPr>
                <w:rFonts w:eastAsia="Times New Roman" w:cs="Times New Roman"/>
                <w:sz w:val="22"/>
                <w:lang w:eastAsia="sk-SK"/>
              </w:rPr>
              <w:t>345 396</w:t>
            </w:r>
          </w:p>
        </w:tc>
      </w:tr>
      <w:tr w:rsidR="00B42C39" w:rsidRPr="001C4FF7" w:rsidTr="000771CE">
        <w:trPr>
          <w:trHeight w:val="255"/>
        </w:trPr>
        <w:tc>
          <w:tcPr>
            <w:tcW w:w="3266" w:type="dxa"/>
            <w:tcBorders>
              <w:top w:val="nil"/>
              <w:left w:val="single" w:sz="4" w:space="0" w:color="auto"/>
              <w:bottom w:val="single" w:sz="4" w:space="0" w:color="auto"/>
              <w:right w:val="single" w:sz="4" w:space="0" w:color="auto"/>
            </w:tcBorders>
            <w:shd w:val="clear" w:color="auto" w:fill="auto"/>
            <w:noWrap/>
            <w:vAlign w:val="bottom"/>
            <w:hideMark/>
          </w:tcPr>
          <w:p w:rsidR="00B42C39" w:rsidRPr="001C4FF7" w:rsidRDefault="00B42C39" w:rsidP="00A01CDB">
            <w:pPr>
              <w:spacing w:line="276" w:lineRule="auto"/>
              <w:rPr>
                <w:rFonts w:eastAsia="Times New Roman" w:cs="Times New Roman"/>
                <w:lang w:eastAsia="sk-SK"/>
              </w:rPr>
            </w:pPr>
            <w:r w:rsidRPr="001C4FF7">
              <w:rPr>
                <w:rFonts w:eastAsia="Times New Roman" w:cs="Times New Roman"/>
                <w:sz w:val="22"/>
                <w:lang w:eastAsia="sk-SK"/>
              </w:rPr>
              <w:t>celková budúca rezerva v r.201</w:t>
            </w:r>
            <w:r w:rsidRPr="007B630B">
              <w:rPr>
                <w:rFonts w:eastAsia="Times New Roman" w:cs="Times New Roman"/>
                <w:sz w:val="22"/>
                <w:lang w:eastAsia="sk-SK"/>
              </w:rPr>
              <w:t>5</w:t>
            </w:r>
          </w:p>
        </w:tc>
        <w:tc>
          <w:tcPr>
            <w:tcW w:w="1134" w:type="dxa"/>
            <w:tcBorders>
              <w:top w:val="nil"/>
              <w:left w:val="nil"/>
              <w:bottom w:val="single" w:sz="4" w:space="0" w:color="auto"/>
              <w:right w:val="single" w:sz="4" w:space="0" w:color="auto"/>
            </w:tcBorders>
          </w:tcPr>
          <w:p w:rsidR="00B42C39" w:rsidRPr="007B630B" w:rsidRDefault="00B42C39" w:rsidP="00A01CDB">
            <w:pPr>
              <w:spacing w:line="276" w:lineRule="auto"/>
              <w:rPr>
                <w:rFonts w:eastAsia="Times New Roman" w:cs="Times New Roman"/>
                <w:lang w:eastAsia="sk-SK"/>
              </w:rPr>
            </w:pPr>
            <w:r>
              <w:rPr>
                <w:rFonts w:eastAsia="Times New Roman" w:cs="Times New Roman"/>
                <w:sz w:val="22"/>
                <w:lang w:eastAsia="sk-SK"/>
              </w:rPr>
              <w:t>150 000</w:t>
            </w:r>
          </w:p>
        </w:tc>
        <w:tc>
          <w:tcPr>
            <w:tcW w:w="1134" w:type="dxa"/>
            <w:tcBorders>
              <w:top w:val="nil"/>
              <w:left w:val="single" w:sz="4" w:space="0" w:color="auto"/>
              <w:bottom w:val="single" w:sz="4" w:space="0" w:color="auto"/>
              <w:right w:val="single" w:sz="4" w:space="0" w:color="auto"/>
            </w:tcBorders>
          </w:tcPr>
          <w:p w:rsidR="00B42C39" w:rsidRPr="007B630B" w:rsidRDefault="00B42C39" w:rsidP="00A01CDB">
            <w:pPr>
              <w:spacing w:line="276" w:lineRule="auto"/>
              <w:rPr>
                <w:rFonts w:eastAsia="Times New Roman" w:cs="Times New Roman"/>
                <w:lang w:eastAsia="sk-SK"/>
              </w:rPr>
            </w:pPr>
            <w:r>
              <w:rPr>
                <w:rFonts w:eastAsia="Times New Roman" w:cs="Times New Roman"/>
                <w:sz w:val="22"/>
                <w:lang w:eastAsia="sk-SK"/>
              </w:rPr>
              <w:t>2 554 249</w:t>
            </w:r>
          </w:p>
        </w:tc>
        <w:tc>
          <w:tcPr>
            <w:tcW w:w="1134" w:type="dxa"/>
            <w:tcBorders>
              <w:top w:val="nil"/>
              <w:left w:val="single" w:sz="4" w:space="0" w:color="auto"/>
              <w:bottom w:val="single" w:sz="4" w:space="0" w:color="auto"/>
              <w:right w:val="single" w:sz="4" w:space="0" w:color="auto"/>
            </w:tcBorders>
          </w:tcPr>
          <w:p w:rsidR="00B42C39" w:rsidRPr="007B630B" w:rsidRDefault="00B42C39" w:rsidP="00A01CDB">
            <w:pPr>
              <w:spacing w:line="276" w:lineRule="auto"/>
              <w:rPr>
                <w:rFonts w:eastAsia="Times New Roman" w:cs="Times New Roman"/>
                <w:lang w:eastAsia="sk-SK"/>
              </w:rPr>
            </w:pPr>
            <w:r>
              <w:rPr>
                <w:rFonts w:eastAsia="Times New Roman" w:cs="Times New Roman"/>
                <w:sz w:val="22"/>
                <w:lang w:eastAsia="sk-SK"/>
              </w:rPr>
              <w:t>30 000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B42C39" w:rsidRPr="001C4FF7" w:rsidRDefault="00B42C39" w:rsidP="00A01CDB">
            <w:pPr>
              <w:spacing w:line="276" w:lineRule="auto"/>
              <w:rPr>
                <w:rFonts w:eastAsia="Times New Roman" w:cs="Times New Roman"/>
                <w:lang w:eastAsia="sk-SK"/>
              </w:rPr>
            </w:pPr>
            <w:r>
              <w:rPr>
                <w:rFonts w:eastAsia="Times New Roman" w:cs="Times New Roman"/>
                <w:sz w:val="22"/>
                <w:lang w:eastAsia="sk-SK"/>
              </w:rPr>
              <w:t>345 396</w:t>
            </w:r>
          </w:p>
        </w:tc>
      </w:tr>
      <w:tr w:rsidR="00B42C39" w:rsidRPr="001C4FF7" w:rsidTr="000771CE">
        <w:trPr>
          <w:trHeight w:val="255"/>
        </w:trPr>
        <w:tc>
          <w:tcPr>
            <w:tcW w:w="3266" w:type="dxa"/>
            <w:tcBorders>
              <w:top w:val="nil"/>
              <w:left w:val="single" w:sz="4" w:space="0" w:color="auto"/>
              <w:bottom w:val="single" w:sz="4" w:space="0" w:color="auto"/>
              <w:right w:val="single" w:sz="4" w:space="0" w:color="auto"/>
            </w:tcBorders>
            <w:shd w:val="clear" w:color="auto" w:fill="auto"/>
            <w:noWrap/>
            <w:vAlign w:val="bottom"/>
            <w:hideMark/>
          </w:tcPr>
          <w:p w:rsidR="00B42C39" w:rsidRPr="001C4FF7" w:rsidRDefault="00B42C39" w:rsidP="00A01CDB">
            <w:pPr>
              <w:spacing w:line="276" w:lineRule="auto"/>
              <w:rPr>
                <w:rFonts w:eastAsia="Times New Roman" w:cs="Times New Roman"/>
                <w:lang w:eastAsia="sk-SK"/>
              </w:rPr>
            </w:pPr>
            <w:r w:rsidRPr="007B630B">
              <w:rPr>
                <w:rFonts w:eastAsia="Times New Roman" w:cs="Times New Roman"/>
                <w:sz w:val="22"/>
                <w:lang w:eastAsia="sk-SK"/>
              </w:rPr>
              <w:t>životnosť rezervy od r. 2015</w:t>
            </w:r>
            <w:r w:rsidRPr="001C4FF7">
              <w:rPr>
                <w:rFonts w:eastAsia="Times New Roman" w:cs="Times New Roman"/>
                <w:sz w:val="22"/>
                <w:lang w:eastAsia="sk-SK"/>
              </w:rPr>
              <w:t xml:space="preserve"> - roky</w:t>
            </w:r>
          </w:p>
        </w:tc>
        <w:tc>
          <w:tcPr>
            <w:tcW w:w="1134" w:type="dxa"/>
            <w:tcBorders>
              <w:top w:val="nil"/>
              <w:left w:val="nil"/>
              <w:bottom w:val="single" w:sz="4" w:space="0" w:color="auto"/>
              <w:right w:val="single" w:sz="4" w:space="0" w:color="auto"/>
            </w:tcBorders>
          </w:tcPr>
          <w:p w:rsidR="00B42C39" w:rsidRPr="001C4FF7" w:rsidRDefault="00B42C39" w:rsidP="00A01CDB">
            <w:pPr>
              <w:spacing w:line="276" w:lineRule="auto"/>
              <w:rPr>
                <w:rFonts w:eastAsia="Times New Roman" w:cs="Times New Roman"/>
                <w:lang w:eastAsia="sk-SK"/>
              </w:rPr>
            </w:pPr>
            <w:r>
              <w:rPr>
                <w:rFonts w:eastAsia="Times New Roman" w:cs="Times New Roman"/>
                <w:sz w:val="22"/>
                <w:lang w:eastAsia="sk-SK"/>
              </w:rPr>
              <w:t>7</w:t>
            </w:r>
          </w:p>
        </w:tc>
        <w:tc>
          <w:tcPr>
            <w:tcW w:w="1134" w:type="dxa"/>
            <w:tcBorders>
              <w:top w:val="nil"/>
              <w:left w:val="single" w:sz="4" w:space="0" w:color="auto"/>
              <w:bottom w:val="single" w:sz="4" w:space="0" w:color="auto"/>
              <w:right w:val="single" w:sz="4" w:space="0" w:color="auto"/>
            </w:tcBorders>
          </w:tcPr>
          <w:p w:rsidR="00B42C39" w:rsidRPr="001C4FF7" w:rsidRDefault="00B42C39" w:rsidP="00A01CDB">
            <w:pPr>
              <w:spacing w:line="276" w:lineRule="auto"/>
              <w:rPr>
                <w:rFonts w:eastAsia="Times New Roman" w:cs="Times New Roman"/>
                <w:lang w:eastAsia="sk-SK"/>
              </w:rPr>
            </w:pPr>
            <w:r>
              <w:rPr>
                <w:rFonts w:eastAsia="Times New Roman" w:cs="Times New Roman"/>
                <w:sz w:val="22"/>
                <w:lang w:eastAsia="sk-SK"/>
              </w:rPr>
              <w:t>8</w:t>
            </w:r>
          </w:p>
        </w:tc>
        <w:tc>
          <w:tcPr>
            <w:tcW w:w="1134" w:type="dxa"/>
            <w:tcBorders>
              <w:top w:val="nil"/>
              <w:left w:val="single" w:sz="4" w:space="0" w:color="auto"/>
              <w:bottom w:val="single" w:sz="4" w:space="0" w:color="auto"/>
              <w:right w:val="single" w:sz="4" w:space="0" w:color="auto"/>
            </w:tcBorders>
          </w:tcPr>
          <w:p w:rsidR="00B42C39" w:rsidRPr="001C4FF7" w:rsidRDefault="00B42C39" w:rsidP="00A01CDB">
            <w:pPr>
              <w:spacing w:line="276" w:lineRule="auto"/>
              <w:rPr>
                <w:rFonts w:eastAsia="Times New Roman" w:cs="Times New Roman"/>
                <w:lang w:eastAsia="sk-SK"/>
              </w:rPr>
            </w:pPr>
            <w:r>
              <w:rPr>
                <w:rFonts w:eastAsia="Times New Roman" w:cs="Times New Roman"/>
                <w:sz w:val="22"/>
                <w:lang w:eastAsia="sk-SK"/>
              </w:rPr>
              <w:t>1</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B42C39" w:rsidRPr="001C4FF7" w:rsidRDefault="00B42C39" w:rsidP="00A01CDB">
            <w:pPr>
              <w:spacing w:line="276" w:lineRule="auto"/>
              <w:rPr>
                <w:rFonts w:eastAsia="Times New Roman" w:cs="Times New Roman"/>
                <w:lang w:eastAsia="sk-SK"/>
              </w:rPr>
            </w:pPr>
            <w:r>
              <w:rPr>
                <w:rFonts w:eastAsia="Times New Roman" w:cs="Times New Roman"/>
                <w:sz w:val="22"/>
                <w:lang w:eastAsia="sk-SK"/>
              </w:rPr>
              <w:t>3</w:t>
            </w:r>
          </w:p>
        </w:tc>
      </w:tr>
      <w:tr w:rsidR="00B42C39" w:rsidRPr="001C4FF7" w:rsidTr="000771CE">
        <w:trPr>
          <w:trHeight w:val="255"/>
        </w:trPr>
        <w:tc>
          <w:tcPr>
            <w:tcW w:w="3266" w:type="dxa"/>
            <w:tcBorders>
              <w:top w:val="nil"/>
              <w:left w:val="single" w:sz="4" w:space="0" w:color="auto"/>
              <w:bottom w:val="single" w:sz="4" w:space="0" w:color="auto"/>
              <w:right w:val="single" w:sz="4" w:space="0" w:color="auto"/>
            </w:tcBorders>
            <w:shd w:val="clear" w:color="auto" w:fill="auto"/>
            <w:noWrap/>
            <w:vAlign w:val="bottom"/>
            <w:hideMark/>
          </w:tcPr>
          <w:p w:rsidR="00B42C39" w:rsidRPr="001C4FF7" w:rsidRDefault="00B42C39" w:rsidP="00A01CDB">
            <w:pPr>
              <w:spacing w:line="276" w:lineRule="auto"/>
              <w:rPr>
                <w:rFonts w:eastAsia="Times New Roman" w:cs="Times New Roman"/>
                <w:lang w:eastAsia="sk-SK"/>
              </w:rPr>
            </w:pPr>
            <w:r w:rsidRPr="001C4FF7">
              <w:rPr>
                <w:rFonts w:eastAsia="Times New Roman" w:cs="Times New Roman"/>
                <w:sz w:val="22"/>
                <w:lang w:eastAsia="sk-SK"/>
              </w:rPr>
              <w:t>potreba tvorby do konca životnosti</w:t>
            </w:r>
          </w:p>
        </w:tc>
        <w:tc>
          <w:tcPr>
            <w:tcW w:w="1134" w:type="dxa"/>
            <w:tcBorders>
              <w:top w:val="nil"/>
              <w:left w:val="nil"/>
              <w:bottom w:val="single" w:sz="4" w:space="0" w:color="auto"/>
              <w:right w:val="single" w:sz="4" w:space="0" w:color="auto"/>
            </w:tcBorders>
          </w:tcPr>
          <w:p w:rsidR="00B42C39" w:rsidRPr="007B630B" w:rsidRDefault="00B42C39" w:rsidP="00A01CDB">
            <w:pPr>
              <w:spacing w:line="276" w:lineRule="auto"/>
              <w:rPr>
                <w:rFonts w:eastAsia="Times New Roman" w:cs="Times New Roman"/>
                <w:lang w:eastAsia="sk-SK"/>
              </w:rPr>
            </w:pPr>
            <w:r>
              <w:rPr>
                <w:rFonts w:eastAsia="Times New Roman" w:cs="Times New Roman"/>
                <w:sz w:val="22"/>
                <w:lang w:eastAsia="sk-SK"/>
              </w:rPr>
              <w:t>12 008</w:t>
            </w:r>
          </w:p>
        </w:tc>
        <w:tc>
          <w:tcPr>
            <w:tcW w:w="1134" w:type="dxa"/>
            <w:tcBorders>
              <w:top w:val="nil"/>
              <w:left w:val="single" w:sz="4" w:space="0" w:color="auto"/>
              <w:bottom w:val="single" w:sz="4" w:space="0" w:color="auto"/>
              <w:right w:val="single" w:sz="4" w:space="0" w:color="auto"/>
            </w:tcBorders>
          </w:tcPr>
          <w:p w:rsidR="00B42C39" w:rsidRPr="007B630B" w:rsidRDefault="00B42C39" w:rsidP="00A01CDB">
            <w:pPr>
              <w:spacing w:line="276" w:lineRule="auto"/>
              <w:rPr>
                <w:rFonts w:eastAsia="Times New Roman" w:cs="Times New Roman"/>
                <w:lang w:eastAsia="sk-SK"/>
              </w:rPr>
            </w:pPr>
            <w:r>
              <w:rPr>
                <w:rFonts w:eastAsia="Times New Roman" w:cs="Times New Roman"/>
                <w:sz w:val="22"/>
                <w:lang w:eastAsia="sk-SK"/>
              </w:rPr>
              <w:t>1492</w:t>
            </w:r>
          </w:p>
        </w:tc>
        <w:tc>
          <w:tcPr>
            <w:tcW w:w="1134" w:type="dxa"/>
            <w:tcBorders>
              <w:top w:val="nil"/>
              <w:left w:val="single" w:sz="4" w:space="0" w:color="auto"/>
              <w:bottom w:val="single" w:sz="4" w:space="0" w:color="auto"/>
              <w:right w:val="single" w:sz="4" w:space="0" w:color="auto"/>
            </w:tcBorders>
          </w:tcPr>
          <w:p w:rsidR="00B42C39" w:rsidRPr="007B630B" w:rsidRDefault="00B42C39" w:rsidP="00A01CDB">
            <w:pPr>
              <w:spacing w:line="276" w:lineRule="auto"/>
              <w:rPr>
                <w:rFonts w:eastAsia="Times New Roman" w:cs="Times New Roman"/>
                <w:lang w:eastAsia="sk-SK"/>
              </w:rPr>
            </w:pPr>
            <w:r>
              <w:rPr>
                <w:rFonts w:eastAsia="Times New Roman" w:cs="Times New Roman"/>
                <w:sz w:val="22"/>
                <w:lang w:eastAsia="sk-SK"/>
              </w:rPr>
              <w:t>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B42C39" w:rsidRPr="001C4FF7" w:rsidRDefault="00B42C39" w:rsidP="00A01CDB">
            <w:pPr>
              <w:spacing w:line="276" w:lineRule="auto"/>
              <w:rPr>
                <w:rFonts w:eastAsia="Times New Roman" w:cs="Times New Roman"/>
                <w:lang w:eastAsia="sk-SK"/>
              </w:rPr>
            </w:pPr>
            <w:r>
              <w:rPr>
                <w:rFonts w:eastAsia="Times New Roman" w:cs="Times New Roman"/>
                <w:sz w:val="22"/>
                <w:lang w:eastAsia="sk-SK"/>
              </w:rPr>
              <w:t>0</w:t>
            </w:r>
          </w:p>
        </w:tc>
      </w:tr>
      <w:tr w:rsidR="00B42C39" w:rsidRPr="001C4FF7" w:rsidTr="000771CE">
        <w:trPr>
          <w:trHeight w:val="255"/>
        </w:trPr>
        <w:tc>
          <w:tcPr>
            <w:tcW w:w="3266" w:type="dxa"/>
            <w:tcBorders>
              <w:top w:val="nil"/>
              <w:left w:val="single" w:sz="4" w:space="0" w:color="auto"/>
              <w:bottom w:val="single" w:sz="4" w:space="0" w:color="auto"/>
              <w:right w:val="single" w:sz="4" w:space="0" w:color="auto"/>
            </w:tcBorders>
            <w:shd w:val="clear" w:color="auto" w:fill="auto"/>
            <w:noWrap/>
            <w:vAlign w:val="bottom"/>
            <w:hideMark/>
          </w:tcPr>
          <w:p w:rsidR="00B42C39" w:rsidRPr="001C4FF7" w:rsidRDefault="00B42C39" w:rsidP="00A01CDB">
            <w:pPr>
              <w:spacing w:line="276" w:lineRule="auto"/>
              <w:rPr>
                <w:rFonts w:eastAsia="Times New Roman" w:cs="Times New Roman"/>
                <w:lang w:eastAsia="sk-SK"/>
              </w:rPr>
            </w:pPr>
            <w:r w:rsidRPr="001C4FF7">
              <w:rPr>
                <w:rFonts w:eastAsia="Times New Roman" w:cs="Times New Roman"/>
                <w:sz w:val="22"/>
                <w:lang w:eastAsia="sk-SK"/>
              </w:rPr>
              <w:t xml:space="preserve">tvorba / </w:t>
            </w:r>
            <w:r w:rsidRPr="007B630B">
              <w:rPr>
                <w:rFonts w:eastAsia="Times New Roman" w:cs="Times New Roman"/>
                <w:sz w:val="22"/>
                <w:lang w:eastAsia="sk-SK"/>
              </w:rPr>
              <w:t>zrušenie 2015</w:t>
            </w:r>
            <w:r w:rsidRPr="001C4FF7">
              <w:rPr>
                <w:rFonts w:eastAsia="Times New Roman" w:cs="Times New Roman"/>
                <w:sz w:val="22"/>
                <w:lang w:eastAsia="sk-SK"/>
              </w:rPr>
              <w:t xml:space="preserve">    + / -</w:t>
            </w:r>
          </w:p>
        </w:tc>
        <w:tc>
          <w:tcPr>
            <w:tcW w:w="1134" w:type="dxa"/>
            <w:tcBorders>
              <w:top w:val="nil"/>
              <w:left w:val="nil"/>
              <w:bottom w:val="single" w:sz="4" w:space="0" w:color="auto"/>
              <w:right w:val="single" w:sz="4" w:space="0" w:color="auto"/>
            </w:tcBorders>
          </w:tcPr>
          <w:p w:rsidR="00B42C39" w:rsidRPr="007B630B" w:rsidRDefault="00B42C39" w:rsidP="00A01CDB">
            <w:pPr>
              <w:spacing w:line="276" w:lineRule="auto"/>
              <w:rPr>
                <w:rFonts w:eastAsia="Times New Roman" w:cs="Times New Roman"/>
                <w:lang w:eastAsia="sk-SK"/>
              </w:rPr>
            </w:pPr>
            <w:r>
              <w:rPr>
                <w:rFonts w:eastAsia="Times New Roman" w:cs="Times New Roman"/>
                <w:sz w:val="22"/>
                <w:lang w:eastAsia="sk-SK"/>
              </w:rPr>
              <w:t>1 715</w:t>
            </w:r>
          </w:p>
        </w:tc>
        <w:tc>
          <w:tcPr>
            <w:tcW w:w="1134" w:type="dxa"/>
            <w:tcBorders>
              <w:top w:val="nil"/>
              <w:left w:val="single" w:sz="4" w:space="0" w:color="auto"/>
              <w:bottom w:val="single" w:sz="4" w:space="0" w:color="auto"/>
              <w:right w:val="single" w:sz="4" w:space="0" w:color="auto"/>
            </w:tcBorders>
          </w:tcPr>
          <w:p w:rsidR="00B42C39" w:rsidRPr="007B630B" w:rsidRDefault="00B42C39" w:rsidP="00A01CDB">
            <w:pPr>
              <w:spacing w:line="276" w:lineRule="auto"/>
              <w:rPr>
                <w:rFonts w:eastAsia="Times New Roman" w:cs="Times New Roman"/>
                <w:lang w:eastAsia="sk-SK"/>
              </w:rPr>
            </w:pPr>
            <w:r>
              <w:rPr>
                <w:rFonts w:eastAsia="Times New Roman" w:cs="Times New Roman"/>
                <w:sz w:val="22"/>
                <w:lang w:eastAsia="sk-SK"/>
              </w:rPr>
              <w:t>186</w:t>
            </w:r>
          </w:p>
        </w:tc>
        <w:tc>
          <w:tcPr>
            <w:tcW w:w="1134" w:type="dxa"/>
            <w:tcBorders>
              <w:top w:val="nil"/>
              <w:left w:val="single" w:sz="4" w:space="0" w:color="auto"/>
              <w:bottom w:val="single" w:sz="4" w:space="0" w:color="auto"/>
              <w:right w:val="single" w:sz="4" w:space="0" w:color="auto"/>
            </w:tcBorders>
          </w:tcPr>
          <w:p w:rsidR="00B42C39" w:rsidRPr="007B630B" w:rsidRDefault="00B42C39" w:rsidP="00A01CDB">
            <w:pPr>
              <w:spacing w:line="276" w:lineRule="auto"/>
              <w:rPr>
                <w:rFonts w:eastAsia="Times New Roman" w:cs="Times New Roman"/>
                <w:lang w:eastAsia="sk-SK"/>
              </w:rPr>
            </w:pPr>
            <w:r>
              <w:rPr>
                <w:rFonts w:eastAsia="Times New Roman" w:cs="Times New Roman"/>
                <w:sz w:val="22"/>
                <w:lang w:eastAsia="sk-SK"/>
              </w:rPr>
              <w:t>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B42C39" w:rsidRPr="001C4FF7" w:rsidRDefault="00B42C39" w:rsidP="00A01CDB">
            <w:pPr>
              <w:spacing w:line="276" w:lineRule="auto"/>
              <w:rPr>
                <w:rFonts w:eastAsia="Times New Roman" w:cs="Times New Roman"/>
                <w:lang w:eastAsia="sk-SK"/>
              </w:rPr>
            </w:pPr>
            <w:r>
              <w:rPr>
                <w:rFonts w:eastAsia="Times New Roman" w:cs="Times New Roman"/>
                <w:sz w:val="22"/>
                <w:lang w:eastAsia="sk-SK"/>
              </w:rPr>
              <w:t>0</w:t>
            </w:r>
          </w:p>
        </w:tc>
      </w:tr>
      <w:tr w:rsidR="00B42C39" w:rsidRPr="001C4FF7" w:rsidTr="000771CE">
        <w:trPr>
          <w:trHeight w:val="255"/>
        </w:trPr>
        <w:tc>
          <w:tcPr>
            <w:tcW w:w="3266" w:type="dxa"/>
            <w:tcBorders>
              <w:top w:val="nil"/>
              <w:left w:val="single" w:sz="4" w:space="0" w:color="auto"/>
              <w:bottom w:val="single" w:sz="4" w:space="0" w:color="auto"/>
              <w:right w:val="single" w:sz="4" w:space="0" w:color="auto"/>
            </w:tcBorders>
            <w:shd w:val="clear" w:color="auto" w:fill="auto"/>
            <w:noWrap/>
            <w:vAlign w:val="bottom"/>
            <w:hideMark/>
          </w:tcPr>
          <w:p w:rsidR="00B42C39" w:rsidRPr="001C4FF7" w:rsidRDefault="00B42C39" w:rsidP="00A01CDB">
            <w:pPr>
              <w:spacing w:line="276" w:lineRule="auto"/>
              <w:rPr>
                <w:rFonts w:eastAsia="Times New Roman" w:cs="Times New Roman"/>
                <w:lang w:eastAsia="sk-SK"/>
              </w:rPr>
            </w:pPr>
            <w:r w:rsidRPr="001C4FF7">
              <w:rPr>
                <w:rFonts w:eastAsia="Times New Roman" w:cs="Times New Roman"/>
                <w:sz w:val="22"/>
                <w:lang w:eastAsia="sk-SK"/>
              </w:rPr>
              <w:t>stav rezervy k 31.12.201</w:t>
            </w:r>
            <w:r w:rsidRPr="007B630B">
              <w:rPr>
                <w:rFonts w:eastAsia="Times New Roman" w:cs="Times New Roman"/>
                <w:sz w:val="22"/>
                <w:lang w:eastAsia="sk-SK"/>
              </w:rPr>
              <w:t>5</w:t>
            </w:r>
          </w:p>
        </w:tc>
        <w:tc>
          <w:tcPr>
            <w:tcW w:w="1134" w:type="dxa"/>
            <w:tcBorders>
              <w:top w:val="nil"/>
              <w:left w:val="nil"/>
              <w:bottom w:val="single" w:sz="4" w:space="0" w:color="auto"/>
              <w:right w:val="single" w:sz="4" w:space="0" w:color="auto"/>
            </w:tcBorders>
          </w:tcPr>
          <w:p w:rsidR="00B42C39" w:rsidRPr="007B630B" w:rsidRDefault="00B42C39" w:rsidP="00A01CDB">
            <w:pPr>
              <w:spacing w:line="276" w:lineRule="auto"/>
              <w:rPr>
                <w:rFonts w:eastAsia="Times New Roman" w:cs="Times New Roman"/>
                <w:lang w:eastAsia="sk-SK"/>
              </w:rPr>
            </w:pPr>
            <w:r>
              <w:rPr>
                <w:rFonts w:eastAsia="Times New Roman" w:cs="Times New Roman"/>
                <w:sz w:val="22"/>
                <w:lang w:eastAsia="sk-SK"/>
              </w:rPr>
              <w:t>26 992</w:t>
            </w:r>
          </w:p>
        </w:tc>
        <w:tc>
          <w:tcPr>
            <w:tcW w:w="1134" w:type="dxa"/>
            <w:tcBorders>
              <w:top w:val="nil"/>
              <w:left w:val="single" w:sz="4" w:space="0" w:color="auto"/>
              <w:bottom w:val="single" w:sz="4" w:space="0" w:color="auto"/>
              <w:right w:val="single" w:sz="4" w:space="0" w:color="auto"/>
            </w:tcBorders>
          </w:tcPr>
          <w:p w:rsidR="00B42C39" w:rsidRPr="007B630B" w:rsidRDefault="00B42C39" w:rsidP="00A01CDB">
            <w:pPr>
              <w:spacing w:line="276" w:lineRule="auto"/>
              <w:rPr>
                <w:rFonts w:eastAsia="Times New Roman" w:cs="Times New Roman"/>
                <w:lang w:eastAsia="sk-SK"/>
              </w:rPr>
            </w:pPr>
            <w:r>
              <w:rPr>
                <w:rFonts w:eastAsia="Times New Roman" w:cs="Times New Roman"/>
                <w:sz w:val="22"/>
                <w:lang w:eastAsia="sk-SK"/>
              </w:rPr>
              <w:t>561 752</w:t>
            </w:r>
          </w:p>
        </w:tc>
        <w:tc>
          <w:tcPr>
            <w:tcW w:w="1134" w:type="dxa"/>
            <w:tcBorders>
              <w:top w:val="nil"/>
              <w:left w:val="single" w:sz="4" w:space="0" w:color="auto"/>
              <w:bottom w:val="single" w:sz="4" w:space="0" w:color="auto"/>
              <w:right w:val="single" w:sz="4" w:space="0" w:color="auto"/>
            </w:tcBorders>
          </w:tcPr>
          <w:p w:rsidR="00B42C39" w:rsidRPr="007B630B" w:rsidRDefault="00B42C39" w:rsidP="00A01CDB">
            <w:pPr>
              <w:spacing w:line="276" w:lineRule="auto"/>
              <w:rPr>
                <w:rFonts w:eastAsia="Times New Roman" w:cs="Times New Roman"/>
                <w:lang w:eastAsia="sk-SK"/>
              </w:rPr>
            </w:pPr>
            <w:r>
              <w:rPr>
                <w:rFonts w:eastAsia="Times New Roman" w:cs="Times New Roman"/>
                <w:sz w:val="22"/>
                <w:lang w:eastAsia="sk-SK"/>
              </w:rPr>
              <w:t>30 000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B42C39" w:rsidRPr="001C4FF7" w:rsidRDefault="00B42C39" w:rsidP="00A01CDB">
            <w:pPr>
              <w:spacing w:line="276" w:lineRule="auto"/>
              <w:rPr>
                <w:rFonts w:eastAsia="Times New Roman" w:cs="Times New Roman"/>
                <w:lang w:eastAsia="sk-SK"/>
              </w:rPr>
            </w:pPr>
            <w:r>
              <w:rPr>
                <w:rFonts w:eastAsia="Times New Roman" w:cs="Times New Roman"/>
                <w:sz w:val="22"/>
                <w:lang w:eastAsia="sk-SK"/>
              </w:rPr>
              <w:t>345 396</w:t>
            </w:r>
          </w:p>
        </w:tc>
      </w:tr>
    </w:tbl>
    <w:p w:rsidR="00B42C39" w:rsidRDefault="00B42C39" w:rsidP="00A01CDB">
      <w:pPr>
        <w:rPr>
          <w:i/>
          <w:sz w:val="20"/>
          <w:szCs w:val="20"/>
        </w:rPr>
      </w:pPr>
      <w:r>
        <w:rPr>
          <w:i/>
          <w:sz w:val="20"/>
          <w:szCs w:val="20"/>
        </w:rPr>
        <w:t>Zdroj: interná evidencia spoločnosti</w:t>
      </w:r>
    </w:p>
    <w:p w:rsidR="00155780" w:rsidRDefault="00155780" w:rsidP="00A01CDB">
      <w:pPr>
        <w:rPr>
          <w:i/>
          <w:sz w:val="20"/>
          <w:szCs w:val="20"/>
        </w:rPr>
      </w:pPr>
    </w:p>
    <w:p w:rsidR="00B42C39" w:rsidRDefault="00B42C39" w:rsidP="00A01CDB">
      <w:pPr>
        <w:rPr>
          <w:szCs w:val="24"/>
        </w:rPr>
      </w:pPr>
      <w:r>
        <w:rPr>
          <w:szCs w:val="24"/>
        </w:rPr>
        <w:t>Okrem iného nám tabuľka udáva aj počet rokov do konca životnosti banského diela. Tu sa môže spočiatku zdať, že je tu jedna nezrovnalosť. Životnosť pre projekty v 7. ťažobn</w:t>
      </w:r>
      <w:r w:rsidR="00E172F8">
        <w:rPr>
          <w:szCs w:val="24"/>
        </w:rPr>
        <w:t>om poli je v roku 2014 8 rokov.</w:t>
      </w:r>
      <w:r>
        <w:rPr>
          <w:szCs w:val="24"/>
        </w:rPr>
        <w:t xml:space="preserve"> V nasledujúcom roku 2015 je životnosť opäť 8 rokov, pričom by logicky mala byť  o jeden rok menšia. Niekedy sa ale stane, že podnik prehodnotí dĺžku tvorby rezerv a životnosť predĺži alebo skráti. V našom prípade došlo k predĺženiu životnosti o jeden rok. </w:t>
      </w:r>
    </w:p>
    <w:p w:rsidR="00155780" w:rsidRDefault="00155780" w:rsidP="00A01CDB">
      <w:pPr>
        <w:rPr>
          <w:szCs w:val="24"/>
        </w:rPr>
      </w:pPr>
    </w:p>
    <w:p w:rsidR="00B42C39" w:rsidRDefault="00B42C39" w:rsidP="00A01CDB">
      <w:pPr>
        <w:rPr>
          <w:szCs w:val="24"/>
        </w:rPr>
      </w:pPr>
      <w:r>
        <w:rPr>
          <w:szCs w:val="24"/>
        </w:rPr>
        <w:t xml:space="preserve">Nedaňová časť rezervy sa prenáša od roku 2005 v nezmenenej hodnote, v roku 2009 pri zmene meny v Slovenskej republike sa prepočítala konverzným kurzom 30,126 Sk/Euro. </w:t>
      </w:r>
    </w:p>
    <w:p w:rsidR="007E52B5" w:rsidRDefault="007E52B5" w:rsidP="007E52B5">
      <w:pPr>
        <w:rPr>
          <w:szCs w:val="24"/>
        </w:rPr>
      </w:pPr>
      <w:r>
        <w:rPr>
          <w:szCs w:val="24"/>
        </w:rPr>
        <w:t>V prípade pocitu nesúladu s údajom v Tabuľke č.4, kde sa celkový súčet rezerv pre 8. ŤP udáva ako 510 530 € dodávame, že v tejto sume sú ešte zahrnuté rezervy na škody vo výške 135 134 €. Táto suma udáva súčet rezerv tvorených za jednotlivé roky.</w:t>
      </w:r>
    </w:p>
    <w:p w:rsidR="007E52B5" w:rsidRDefault="007E52B5" w:rsidP="007E52B5">
      <w:pPr>
        <w:rPr>
          <w:szCs w:val="24"/>
        </w:rPr>
      </w:pPr>
      <w:r>
        <w:rPr>
          <w:szCs w:val="24"/>
        </w:rPr>
        <w:t xml:space="preserve"> </w:t>
      </w:r>
    </w:p>
    <w:p w:rsidR="007E52B5" w:rsidRDefault="007E52B5" w:rsidP="007E52B5">
      <w:pPr>
        <w:pStyle w:val="Nadpis3"/>
      </w:pPr>
      <w:bookmarkStart w:id="31" w:name="_Toc447622270"/>
      <w:r>
        <w:t>Čerpanie a likvidácia rezerv</w:t>
      </w:r>
      <w:bookmarkEnd w:id="31"/>
    </w:p>
    <w:p w:rsidR="007E52B5" w:rsidRPr="005546F7" w:rsidRDefault="007E52B5" w:rsidP="007E52B5"/>
    <w:p w:rsidR="007E52B5" w:rsidRDefault="007E52B5" w:rsidP="007E52B5">
      <w:pPr>
        <w:rPr>
          <w:szCs w:val="24"/>
        </w:rPr>
      </w:pPr>
      <w:r>
        <w:rPr>
          <w:szCs w:val="24"/>
        </w:rPr>
        <w:t xml:space="preserve">Počas každého roku dochádza k čerpaniu rezerv. Vždy ku koncu šiesteho a dvanásteho mesiaca zostaví podnik súpis faktúr, ktoré uhrádzal v súvislosti s likvidáciou banských škôd. Každá faktúra je jednoznačne identifikovaná zákonnými náležitosťami, a to najmä číslom, dátumom zdaniteľného plnenia, názvami dodávateľa a odberateľa, sumou plnenia, daňou z pridanej hodnoty a dátumom splatnosti. Následne sa posudzuje, či sa môžu hradiť z rezerv, alebo z iných zdrojov. V tomto prípade ide o výkony mechanizmov, nákladnej dopravy, osobnej dopravy alebo správne poplatky. Na konci účtovného obdobia má tak </w:t>
      </w:r>
      <w:r w:rsidR="008F57FF">
        <w:rPr>
          <w:szCs w:val="24"/>
        </w:rPr>
        <w:t xml:space="preserve">podnik </w:t>
      </w:r>
      <w:r>
        <w:rPr>
          <w:szCs w:val="24"/>
        </w:rPr>
        <w:lastRenderedPageBreak/>
        <w:t>pripravený kompletný zoznam platieb, ktorý použije pri prepočte rezerv. Takisto podnik vidí, aké bolo skutočné čerpanie rezerv a porovnáva to s pripravenou rezervou.</w:t>
      </w:r>
    </w:p>
    <w:p w:rsidR="00155780" w:rsidRDefault="00155780" w:rsidP="007E52B5">
      <w:pPr>
        <w:rPr>
          <w:szCs w:val="24"/>
        </w:rPr>
      </w:pPr>
    </w:p>
    <w:p w:rsidR="007E52B5" w:rsidRDefault="007E52B5" w:rsidP="007E52B5">
      <w:pPr>
        <w:rPr>
          <w:szCs w:val="24"/>
        </w:rPr>
      </w:pPr>
      <w:r>
        <w:rPr>
          <w:szCs w:val="24"/>
        </w:rPr>
        <w:t>Napríklad za rok 2015 bolo odhadované celkové plnenie z titulu banských škôd v sume 359 890 €. V skutočnosti sa ale čerpalo 231 590 €. Odhad rezervy predpokladal vyšší objem prác, ktoré sa nerealizo</w:t>
      </w:r>
      <w:r w:rsidR="00EB02DA">
        <w:rPr>
          <w:szCs w:val="24"/>
        </w:rPr>
        <w:t>vali a nevyčerpaná časť 128 300</w:t>
      </w:r>
      <w:r>
        <w:rPr>
          <w:szCs w:val="24"/>
        </w:rPr>
        <w:t xml:space="preserve"> € sa presunula do ďalších rokov. Takto podnik postupuje každý rok, vždy na konci účtovného obdobia vyhodnotí, aké bolo skutočné čerpanie rezervy a následne podľa toho upraví výpočty na ďalšie roky.</w:t>
      </w:r>
    </w:p>
    <w:p w:rsidR="00155780" w:rsidRDefault="00155780" w:rsidP="007E52B5">
      <w:pPr>
        <w:rPr>
          <w:szCs w:val="24"/>
        </w:rPr>
      </w:pPr>
    </w:p>
    <w:p w:rsidR="007E52B5" w:rsidRDefault="007E52B5" w:rsidP="007E52B5">
      <w:pPr>
        <w:rPr>
          <w:szCs w:val="24"/>
        </w:rPr>
      </w:pPr>
      <w:r>
        <w:rPr>
          <w:szCs w:val="24"/>
        </w:rPr>
        <w:t>Príklad: 7. ťažobné pole, rok 2015</w:t>
      </w:r>
    </w:p>
    <w:p w:rsidR="007E52B5" w:rsidRPr="00CE3FB5" w:rsidRDefault="007E52B5" w:rsidP="007E52B5">
      <w:pPr>
        <w:spacing w:line="240" w:lineRule="auto"/>
        <w:rPr>
          <w:b/>
          <w:szCs w:val="24"/>
        </w:rPr>
      </w:pPr>
      <w:r>
        <w:rPr>
          <w:b/>
          <w:szCs w:val="24"/>
        </w:rPr>
        <w:t>Tabuľka č. 9: 7. ťažobné pole - čerpanie v roku 2015</w:t>
      </w:r>
    </w:p>
    <w:tbl>
      <w:tblPr>
        <w:tblStyle w:val="Mriekatabuky"/>
        <w:tblW w:w="0" w:type="auto"/>
        <w:tblLook w:val="04A0"/>
      </w:tblPr>
      <w:tblGrid>
        <w:gridCol w:w="1432"/>
        <w:gridCol w:w="2220"/>
        <w:gridCol w:w="2165"/>
      </w:tblGrid>
      <w:tr w:rsidR="007E52B5" w:rsidTr="002B6F02">
        <w:trPr>
          <w:trHeight w:val="242"/>
        </w:trPr>
        <w:tc>
          <w:tcPr>
            <w:tcW w:w="1432" w:type="dxa"/>
            <w:vAlign w:val="center"/>
          </w:tcPr>
          <w:p w:rsidR="007E52B5" w:rsidRDefault="007E52B5" w:rsidP="002B6F02">
            <w:pPr>
              <w:spacing w:line="276" w:lineRule="auto"/>
              <w:rPr>
                <w:szCs w:val="24"/>
              </w:rPr>
            </w:pPr>
          </w:p>
        </w:tc>
        <w:tc>
          <w:tcPr>
            <w:tcW w:w="2220" w:type="dxa"/>
            <w:vAlign w:val="center"/>
          </w:tcPr>
          <w:p w:rsidR="007E52B5" w:rsidRPr="008E5967" w:rsidRDefault="007E52B5" w:rsidP="002B6F02">
            <w:pPr>
              <w:spacing w:line="276" w:lineRule="auto"/>
              <w:rPr>
                <w:szCs w:val="24"/>
              </w:rPr>
            </w:pPr>
            <w:r w:rsidRPr="008E5967">
              <w:rPr>
                <w:szCs w:val="24"/>
              </w:rPr>
              <w:t>plánovaná rezerva</w:t>
            </w:r>
          </w:p>
        </w:tc>
        <w:tc>
          <w:tcPr>
            <w:tcW w:w="2165" w:type="dxa"/>
            <w:vAlign w:val="center"/>
          </w:tcPr>
          <w:p w:rsidR="007E52B5" w:rsidRPr="008E5967" w:rsidRDefault="007E52B5" w:rsidP="002B6F02">
            <w:pPr>
              <w:spacing w:line="276" w:lineRule="auto"/>
              <w:rPr>
                <w:szCs w:val="24"/>
              </w:rPr>
            </w:pPr>
            <w:r w:rsidRPr="008E5967">
              <w:rPr>
                <w:szCs w:val="24"/>
              </w:rPr>
              <w:t>skutočné čerpanie</w:t>
            </w:r>
          </w:p>
        </w:tc>
      </w:tr>
      <w:tr w:rsidR="007E52B5" w:rsidTr="002B6F02">
        <w:trPr>
          <w:trHeight w:val="242"/>
        </w:trPr>
        <w:tc>
          <w:tcPr>
            <w:tcW w:w="1432" w:type="dxa"/>
            <w:vAlign w:val="center"/>
          </w:tcPr>
          <w:p w:rsidR="007E52B5" w:rsidRDefault="007E52B5" w:rsidP="002B6F02">
            <w:pPr>
              <w:spacing w:line="276" w:lineRule="auto"/>
              <w:rPr>
                <w:szCs w:val="24"/>
              </w:rPr>
            </w:pPr>
            <w:r>
              <w:rPr>
                <w:szCs w:val="24"/>
              </w:rPr>
              <w:t>7. ŤP</w:t>
            </w:r>
          </w:p>
        </w:tc>
        <w:tc>
          <w:tcPr>
            <w:tcW w:w="2220" w:type="dxa"/>
            <w:vAlign w:val="center"/>
          </w:tcPr>
          <w:p w:rsidR="007E52B5" w:rsidRDefault="007E52B5" w:rsidP="002B6F02">
            <w:pPr>
              <w:spacing w:line="276" w:lineRule="auto"/>
              <w:rPr>
                <w:szCs w:val="24"/>
              </w:rPr>
            </w:pPr>
            <w:r>
              <w:rPr>
                <w:szCs w:val="24"/>
              </w:rPr>
              <w:t>171 660 €</w:t>
            </w:r>
          </w:p>
        </w:tc>
        <w:tc>
          <w:tcPr>
            <w:tcW w:w="2165" w:type="dxa"/>
            <w:vAlign w:val="center"/>
          </w:tcPr>
          <w:p w:rsidR="007E52B5" w:rsidRDefault="007E52B5" w:rsidP="002B6F02">
            <w:pPr>
              <w:spacing w:line="276" w:lineRule="auto"/>
              <w:rPr>
                <w:szCs w:val="24"/>
              </w:rPr>
            </w:pPr>
            <w:r>
              <w:rPr>
                <w:szCs w:val="24"/>
              </w:rPr>
              <w:t>139 684 €</w:t>
            </w:r>
          </w:p>
        </w:tc>
      </w:tr>
      <w:tr w:rsidR="007E52B5" w:rsidTr="002B6F02">
        <w:trPr>
          <w:trHeight w:val="242"/>
        </w:trPr>
        <w:tc>
          <w:tcPr>
            <w:tcW w:w="1432" w:type="dxa"/>
            <w:vAlign w:val="center"/>
          </w:tcPr>
          <w:p w:rsidR="007E52B5" w:rsidRDefault="007E52B5" w:rsidP="002B6F02">
            <w:pPr>
              <w:spacing w:line="276" w:lineRule="auto"/>
              <w:rPr>
                <w:szCs w:val="24"/>
              </w:rPr>
            </w:pPr>
            <w:r>
              <w:rPr>
                <w:szCs w:val="24"/>
              </w:rPr>
              <w:t>škody</w:t>
            </w:r>
          </w:p>
        </w:tc>
        <w:tc>
          <w:tcPr>
            <w:tcW w:w="2220" w:type="dxa"/>
            <w:vAlign w:val="center"/>
          </w:tcPr>
          <w:p w:rsidR="007E52B5" w:rsidRDefault="007E52B5" w:rsidP="002B6F02">
            <w:pPr>
              <w:spacing w:line="276" w:lineRule="auto"/>
              <w:rPr>
                <w:szCs w:val="24"/>
              </w:rPr>
            </w:pPr>
            <w:r>
              <w:rPr>
                <w:szCs w:val="24"/>
              </w:rPr>
              <w:t>29 660 €</w:t>
            </w:r>
          </w:p>
        </w:tc>
        <w:tc>
          <w:tcPr>
            <w:tcW w:w="2165" w:type="dxa"/>
            <w:vAlign w:val="center"/>
          </w:tcPr>
          <w:p w:rsidR="007E52B5" w:rsidRDefault="007E52B5" w:rsidP="002B6F02">
            <w:pPr>
              <w:spacing w:line="276" w:lineRule="auto"/>
              <w:rPr>
                <w:szCs w:val="24"/>
              </w:rPr>
            </w:pPr>
            <w:r>
              <w:rPr>
                <w:szCs w:val="24"/>
              </w:rPr>
              <w:t>35 096 €</w:t>
            </w:r>
          </w:p>
        </w:tc>
      </w:tr>
      <w:tr w:rsidR="007E52B5" w:rsidTr="002B6F02">
        <w:trPr>
          <w:trHeight w:val="242"/>
        </w:trPr>
        <w:tc>
          <w:tcPr>
            <w:tcW w:w="1432" w:type="dxa"/>
            <w:vAlign w:val="center"/>
          </w:tcPr>
          <w:p w:rsidR="007E52B5" w:rsidRDefault="007E52B5" w:rsidP="002B6F02">
            <w:pPr>
              <w:spacing w:line="276" w:lineRule="auto"/>
              <w:rPr>
                <w:szCs w:val="24"/>
              </w:rPr>
            </w:pPr>
            <w:r>
              <w:rPr>
                <w:szCs w:val="24"/>
              </w:rPr>
              <w:t>výkupy</w:t>
            </w:r>
          </w:p>
        </w:tc>
        <w:tc>
          <w:tcPr>
            <w:tcW w:w="2220" w:type="dxa"/>
            <w:vAlign w:val="center"/>
          </w:tcPr>
          <w:p w:rsidR="007E52B5" w:rsidRDefault="007E52B5" w:rsidP="002B6F02">
            <w:pPr>
              <w:spacing w:line="276" w:lineRule="auto"/>
              <w:rPr>
                <w:szCs w:val="24"/>
              </w:rPr>
            </w:pPr>
            <w:r>
              <w:rPr>
                <w:szCs w:val="24"/>
              </w:rPr>
              <w:t>0 €</w:t>
            </w:r>
          </w:p>
        </w:tc>
        <w:tc>
          <w:tcPr>
            <w:tcW w:w="2165" w:type="dxa"/>
            <w:vAlign w:val="center"/>
          </w:tcPr>
          <w:p w:rsidR="007E52B5" w:rsidRDefault="007E52B5" w:rsidP="002B6F02">
            <w:pPr>
              <w:spacing w:line="276" w:lineRule="auto"/>
              <w:rPr>
                <w:szCs w:val="24"/>
              </w:rPr>
            </w:pPr>
            <w:r>
              <w:rPr>
                <w:szCs w:val="24"/>
              </w:rPr>
              <w:t>0 €</w:t>
            </w:r>
          </w:p>
        </w:tc>
      </w:tr>
      <w:tr w:rsidR="007E52B5" w:rsidTr="002B6F02">
        <w:trPr>
          <w:trHeight w:val="242"/>
        </w:trPr>
        <w:tc>
          <w:tcPr>
            <w:tcW w:w="1432" w:type="dxa"/>
            <w:vAlign w:val="center"/>
          </w:tcPr>
          <w:p w:rsidR="007E52B5" w:rsidRDefault="007E52B5" w:rsidP="002B6F02">
            <w:pPr>
              <w:spacing w:line="276" w:lineRule="auto"/>
              <w:rPr>
                <w:szCs w:val="24"/>
              </w:rPr>
            </w:pPr>
            <w:r>
              <w:rPr>
                <w:szCs w:val="24"/>
              </w:rPr>
              <w:t>projekty</w:t>
            </w:r>
          </w:p>
        </w:tc>
        <w:tc>
          <w:tcPr>
            <w:tcW w:w="2220" w:type="dxa"/>
            <w:vAlign w:val="center"/>
          </w:tcPr>
          <w:p w:rsidR="007E52B5" w:rsidRDefault="007E52B5" w:rsidP="002B6F02">
            <w:pPr>
              <w:spacing w:line="276" w:lineRule="auto"/>
              <w:rPr>
                <w:szCs w:val="24"/>
              </w:rPr>
            </w:pPr>
            <w:r>
              <w:rPr>
                <w:szCs w:val="24"/>
              </w:rPr>
              <w:t>10 000 €</w:t>
            </w:r>
          </w:p>
        </w:tc>
        <w:tc>
          <w:tcPr>
            <w:tcW w:w="2165" w:type="dxa"/>
            <w:vAlign w:val="center"/>
          </w:tcPr>
          <w:p w:rsidR="007E52B5" w:rsidRDefault="007E52B5" w:rsidP="002B6F02">
            <w:pPr>
              <w:spacing w:line="276" w:lineRule="auto"/>
              <w:rPr>
                <w:szCs w:val="24"/>
              </w:rPr>
            </w:pPr>
            <w:r>
              <w:rPr>
                <w:szCs w:val="24"/>
              </w:rPr>
              <w:t>0 €</w:t>
            </w:r>
          </w:p>
        </w:tc>
      </w:tr>
      <w:tr w:rsidR="007E52B5" w:rsidTr="002B6F02">
        <w:trPr>
          <w:trHeight w:val="242"/>
        </w:trPr>
        <w:tc>
          <w:tcPr>
            <w:tcW w:w="1432" w:type="dxa"/>
            <w:vAlign w:val="center"/>
          </w:tcPr>
          <w:p w:rsidR="007E52B5" w:rsidRDefault="007E52B5" w:rsidP="002B6F02">
            <w:pPr>
              <w:spacing w:line="276" w:lineRule="auto"/>
              <w:rPr>
                <w:szCs w:val="24"/>
              </w:rPr>
            </w:pPr>
            <w:r>
              <w:rPr>
                <w:szCs w:val="24"/>
              </w:rPr>
              <w:t>rekultivácie</w:t>
            </w:r>
          </w:p>
        </w:tc>
        <w:tc>
          <w:tcPr>
            <w:tcW w:w="2220" w:type="dxa"/>
            <w:vAlign w:val="center"/>
          </w:tcPr>
          <w:p w:rsidR="007E52B5" w:rsidRDefault="007E52B5" w:rsidP="002B6F02">
            <w:pPr>
              <w:spacing w:line="276" w:lineRule="auto"/>
              <w:rPr>
                <w:szCs w:val="24"/>
              </w:rPr>
            </w:pPr>
            <w:r>
              <w:rPr>
                <w:szCs w:val="24"/>
              </w:rPr>
              <w:t>107 000 €</w:t>
            </w:r>
          </w:p>
        </w:tc>
        <w:tc>
          <w:tcPr>
            <w:tcW w:w="2165" w:type="dxa"/>
            <w:vAlign w:val="center"/>
          </w:tcPr>
          <w:p w:rsidR="007E52B5" w:rsidRDefault="007E52B5" w:rsidP="002B6F02">
            <w:pPr>
              <w:spacing w:line="276" w:lineRule="auto"/>
              <w:rPr>
                <w:szCs w:val="24"/>
              </w:rPr>
            </w:pPr>
            <w:r>
              <w:rPr>
                <w:szCs w:val="24"/>
              </w:rPr>
              <w:t>104 156 €</w:t>
            </w:r>
          </w:p>
        </w:tc>
      </w:tr>
      <w:tr w:rsidR="007E52B5" w:rsidTr="002B6F02">
        <w:trPr>
          <w:trHeight w:val="242"/>
        </w:trPr>
        <w:tc>
          <w:tcPr>
            <w:tcW w:w="1432" w:type="dxa"/>
            <w:vAlign w:val="center"/>
          </w:tcPr>
          <w:p w:rsidR="007E52B5" w:rsidRDefault="007E52B5" w:rsidP="002B6F02">
            <w:pPr>
              <w:spacing w:line="276" w:lineRule="auto"/>
              <w:rPr>
                <w:szCs w:val="24"/>
              </w:rPr>
            </w:pPr>
            <w:r>
              <w:rPr>
                <w:szCs w:val="24"/>
              </w:rPr>
              <w:t>asanácie</w:t>
            </w:r>
          </w:p>
        </w:tc>
        <w:tc>
          <w:tcPr>
            <w:tcW w:w="2220" w:type="dxa"/>
            <w:vAlign w:val="center"/>
          </w:tcPr>
          <w:p w:rsidR="007E52B5" w:rsidRDefault="007E52B5" w:rsidP="002B6F02">
            <w:pPr>
              <w:spacing w:line="276" w:lineRule="auto"/>
              <w:rPr>
                <w:szCs w:val="24"/>
              </w:rPr>
            </w:pPr>
            <w:r>
              <w:rPr>
                <w:szCs w:val="24"/>
              </w:rPr>
              <w:t>25 000 €</w:t>
            </w:r>
          </w:p>
        </w:tc>
        <w:tc>
          <w:tcPr>
            <w:tcW w:w="2165" w:type="dxa"/>
            <w:vAlign w:val="center"/>
          </w:tcPr>
          <w:p w:rsidR="007E52B5" w:rsidRDefault="007E52B5" w:rsidP="002B6F02">
            <w:pPr>
              <w:spacing w:line="276" w:lineRule="auto"/>
              <w:rPr>
                <w:szCs w:val="24"/>
              </w:rPr>
            </w:pPr>
            <w:r>
              <w:rPr>
                <w:szCs w:val="24"/>
              </w:rPr>
              <w:t>432 €</w:t>
            </w:r>
          </w:p>
        </w:tc>
      </w:tr>
    </w:tbl>
    <w:p w:rsidR="007E52B5" w:rsidRDefault="007E52B5" w:rsidP="007E52B5">
      <w:pPr>
        <w:rPr>
          <w:i/>
          <w:sz w:val="20"/>
          <w:szCs w:val="20"/>
        </w:rPr>
      </w:pPr>
      <w:r>
        <w:rPr>
          <w:i/>
          <w:sz w:val="20"/>
          <w:szCs w:val="20"/>
        </w:rPr>
        <w:t>Zdroj: vlastné spracovanie podľa internej evidencie spoločnosti</w:t>
      </w:r>
    </w:p>
    <w:p w:rsidR="007E52B5" w:rsidRDefault="007E52B5" w:rsidP="007E52B5">
      <w:pPr>
        <w:rPr>
          <w:i/>
          <w:sz w:val="20"/>
          <w:szCs w:val="20"/>
        </w:rPr>
      </w:pPr>
    </w:p>
    <w:p w:rsidR="007E52B5" w:rsidRDefault="007E52B5" w:rsidP="007E52B5">
      <w:pPr>
        <w:rPr>
          <w:szCs w:val="24"/>
        </w:rPr>
      </w:pPr>
      <w:r>
        <w:rPr>
          <w:szCs w:val="24"/>
        </w:rPr>
        <w:t>V tomto konkrétnom príklade vidíme, že na 7. ŤP mal podnik plánovanú rezervu 171 660 €, no skutočné čerpanie bolo o 31 976 € nižšie. Takisto vidíme plánované rezervy a čerpania v jednotlivých kategóriách. V kategórii škôd bol odhad podhodnotený, v kategórii výkupov bol presný a v kategóriách projektov, rekultivácií a asanácií bol nadhodnotený.</w:t>
      </w:r>
      <w:r w:rsidR="00155780">
        <w:rPr>
          <w:szCs w:val="24"/>
        </w:rPr>
        <w:t xml:space="preserve"> </w:t>
      </w:r>
      <w:r>
        <w:rPr>
          <w:szCs w:val="24"/>
        </w:rPr>
        <w:t xml:space="preserve">Obdobný prepočet si podnik urobí pre všetky ťažobné polia a na konci získa sumu, o ktorú sa plánovaná rezerva líši od skutočne čerpanej. Prebytočnú rezervu môže podnik presunúť do nasledujúcich období, ako sme už spomenuli vyššie, alebo ju môže aj zrušiť. </w:t>
      </w:r>
    </w:p>
    <w:p w:rsidR="007E52B5" w:rsidRDefault="007E52B5" w:rsidP="007E52B5">
      <w:pPr>
        <w:rPr>
          <w:szCs w:val="24"/>
        </w:rPr>
      </w:pPr>
    </w:p>
    <w:p w:rsidR="007E52B5" w:rsidRDefault="007E52B5" w:rsidP="007E52B5">
      <w:pPr>
        <w:pStyle w:val="Nadpis2"/>
      </w:pPr>
      <w:bookmarkStart w:id="32" w:name="_Toc447622271"/>
      <w:r>
        <w:t>Tvorba a použitie rezerv na likvidáciu banských diel</w:t>
      </w:r>
      <w:bookmarkEnd w:id="32"/>
    </w:p>
    <w:p w:rsidR="007E52B5" w:rsidRPr="00232CE5" w:rsidRDefault="007E52B5" w:rsidP="007E52B5"/>
    <w:p w:rsidR="007E52B5" w:rsidRDefault="007E52B5" w:rsidP="007E52B5">
      <w:r>
        <w:t>HBP, a.s. vznikajú náklady, ktorých vynaloženie sa predpokladá v súvislosti s ukončením prevádzky investičného banského diela</w:t>
      </w:r>
      <w:r>
        <w:rPr>
          <w:rStyle w:val="Odkaznapoznmkupodiarou"/>
        </w:rPr>
        <w:footnoteReference w:id="30"/>
      </w:r>
      <w:r>
        <w:t xml:space="preserve"> a jeho likvidáciou. Likvidáciou banského diela sa rozumie demontáž majetku a materiálu a jeho následné fyzické uzatvorenie kvôli </w:t>
      </w:r>
      <w:r>
        <w:lastRenderedPageBreak/>
        <w:t xml:space="preserve">znemožneniu vstupu do jeho priestorov. Tým vznikajú náklady na vyplienenie výstuže a výstroja, jeho naloženie, odvezenie a uzatvorenie diela hrádzou. </w:t>
      </w:r>
    </w:p>
    <w:p w:rsidR="00155780" w:rsidRDefault="00155780" w:rsidP="007E52B5"/>
    <w:p w:rsidR="007E52B5" w:rsidRDefault="007E52B5" w:rsidP="007E52B5">
      <w:r>
        <w:t xml:space="preserve">Rezervy sa tvoria na základe odhadov Oddelenia investičnej výstavby už pri zaraďovaní banského diela do majetku HBP, a.s. Na konci každého roka Oddelenie prehodnocuje výšku vytváranej rezervy a konfrontuje zmeny v koncepcii ťažby s podkladmi na tvorbu rezerv. Náklady na likvidáciu sú odhadom predpokladanej čiastky, ktorá by mala byť vynaložená v roku vyradenia. Každé dielo sa posudzuje samostatne podľa aktualizovaného plánu otvárky a prípravy dobývania ložiska. Rezerva sa tvorí od času zaradenia diela do majetku spoločnosti až do roku, kedy by mal vzniknúť predpokladaný náklad. Tvorba rezerv na likvidáciu banských diel je daňovo uznateľný náklad. </w:t>
      </w:r>
    </w:p>
    <w:p w:rsidR="00155780" w:rsidRDefault="00155780" w:rsidP="007E52B5"/>
    <w:p w:rsidR="007E52B5" w:rsidRDefault="007E52B5" w:rsidP="007E52B5">
      <w:r>
        <w:t>Podľa vnútropodnikovej Smernice sa pre účtovné účely tieto rezervy účtujú na účte:</w:t>
      </w:r>
    </w:p>
    <w:p w:rsidR="007E52B5" w:rsidRDefault="007E52B5" w:rsidP="007E52B5">
      <w:r>
        <w:t>451-602 Rezervy na likvidáciu hlavných banských diel</w:t>
      </w:r>
      <w:r w:rsidR="00EB02DA">
        <w:t>.</w:t>
      </w:r>
    </w:p>
    <w:p w:rsidR="007E52B5" w:rsidRDefault="007E52B5" w:rsidP="007E52B5">
      <w:r>
        <w:t>Pre daňové účely sa účtujú na účte:</w:t>
      </w:r>
    </w:p>
    <w:p w:rsidR="007E52B5" w:rsidRDefault="007E52B5" w:rsidP="007E52B5">
      <w:r>
        <w:t>750-866 Rezervy na likvidáciu hlavných banských diel - daňové</w:t>
      </w:r>
      <w:r w:rsidR="00EB02DA">
        <w:t>.</w:t>
      </w:r>
    </w:p>
    <w:p w:rsidR="007E52B5" w:rsidRDefault="007E52B5" w:rsidP="007E52B5"/>
    <w:p w:rsidR="007E52B5" w:rsidRDefault="007E52B5" w:rsidP="007E52B5">
      <w:pPr>
        <w:pStyle w:val="Nadpis3"/>
      </w:pPr>
      <w:bookmarkStart w:id="33" w:name="_Toc447622272"/>
      <w:r>
        <w:t>Analýza tvorby podľa IFRS</w:t>
      </w:r>
      <w:bookmarkEnd w:id="33"/>
    </w:p>
    <w:p w:rsidR="007E52B5" w:rsidRDefault="007E52B5" w:rsidP="007E52B5"/>
    <w:p w:rsidR="007E52B5" w:rsidRDefault="007E52B5" w:rsidP="007E52B5">
      <w:r>
        <w:t>Podnik má kompletný zoznam všetkých využívaných banských diel. Na ukážku si uvedieme  päť banských diel.</w:t>
      </w:r>
    </w:p>
    <w:p w:rsidR="007E52B5" w:rsidRPr="00CE3FB5" w:rsidRDefault="007E52B5" w:rsidP="007E52B5">
      <w:pPr>
        <w:spacing w:line="240" w:lineRule="auto"/>
        <w:rPr>
          <w:b/>
        </w:rPr>
      </w:pPr>
      <w:r>
        <w:rPr>
          <w:b/>
        </w:rPr>
        <w:t>Tabuľka č.10: Zoznam banských diel</w:t>
      </w:r>
    </w:p>
    <w:tbl>
      <w:tblPr>
        <w:tblStyle w:val="Mriekatabuky"/>
        <w:tblW w:w="0" w:type="auto"/>
        <w:tblLook w:val="04A0"/>
      </w:tblPr>
      <w:tblGrid>
        <w:gridCol w:w="2302"/>
        <w:gridCol w:w="1917"/>
        <w:gridCol w:w="1985"/>
        <w:gridCol w:w="3006"/>
      </w:tblGrid>
      <w:tr w:rsidR="007E52B5" w:rsidTr="002B6F02">
        <w:tc>
          <w:tcPr>
            <w:tcW w:w="2302" w:type="dxa"/>
          </w:tcPr>
          <w:p w:rsidR="007E52B5" w:rsidRDefault="007E52B5" w:rsidP="002B6F02">
            <w:pPr>
              <w:spacing w:line="276" w:lineRule="auto"/>
            </w:pPr>
            <w:r>
              <w:t>číslo SO</w:t>
            </w:r>
          </w:p>
        </w:tc>
        <w:tc>
          <w:tcPr>
            <w:tcW w:w="1917" w:type="dxa"/>
          </w:tcPr>
          <w:p w:rsidR="007E52B5" w:rsidRDefault="007E52B5" w:rsidP="002B6F02">
            <w:pPr>
              <w:spacing w:line="276" w:lineRule="auto"/>
            </w:pPr>
            <w:r>
              <w:t>celková rezerva</w:t>
            </w:r>
          </w:p>
        </w:tc>
        <w:tc>
          <w:tcPr>
            <w:tcW w:w="1985" w:type="dxa"/>
          </w:tcPr>
          <w:p w:rsidR="007E52B5" w:rsidRDefault="007E52B5" w:rsidP="002B6F02">
            <w:pPr>
              <w:spacing w:line="276" w:lineRule="auto"/>
            </w:pPr>
            <w:r>
              <w:t>životnosť</w:t>
            </w:r>
          </w:p>
        </w:tc>
        <w:tc>
          <w:tcPr>
            <w:tcW w:w="3006" w:type="dxa"/>
          </w:tcPr>
          <w:p w:rsidR="007E52B5" w:rsidRDefault="007E52B5" w:rsidP="002B6F02">
            <w:pPr>
              <w:spacing w:line="276" w:lineRule="auto"/>
            </w:pPr>
            <w:r>
              <w:t>poznámka</w:t>
            </w:r>
          </w:p>
        </w:tc>
      </w:tr>
      <w:tr w:rsidR="007E52B5" w:rsidTr="002B6F02">
        <w:tc>
          <w:tcPr>
            <w:tcW w:w="2302" w:type="dxa"/>
          </w:tcPr>
          <w:p w:rsidR="007E52B5" w:rsidRDefault="007E52B5" w:rsidP="002B6F02">
            <w:pPr>
              <w:spacing w:line="276" w:lineRule="auto"/>
            </w:pPr>
            <w:r>
              <w:t>SO 141</w:t>
            </w:r>
          </w:p>
        </w:tc>
        <w:tc>
          <w:tcPr>
            <w:tcW w:w="1917" w:type="dxa"/>
          </w:tcPr>
          <w:p w:rsidR="007E52B5" w:rsidRDefault="007E52B5" w:rsidP="002B6F02">
            <w:pPr>
              <w:spacing w:line="276" w:lineRule="auto"/>
            </w:pPr>
            <w:r>
              <w:t>7 416,32</w:t>
            </w:r>
          </w:p>
        </w:tc>
        <w:tc>
          <w:tcPr>
            <w:tcW w:w="1985" w:type="dxa"/>
          </w:tcPr>
          <w:p w:rsidR="007E52B5" w:rsidRDefault="007E52B5" w:rsidP="002B6F02">
            <w:pPr>
              <w:spacing w:line="276" w:lineRule="auto"/>
            </w:pPr>
            <w:r>
              <w:t>2017</w:t>
            </w:r>
          </w:p>
        </w:tc>
        <w:tc>
          <w:tcPr>
            <w:tcW w:w="3006" w:type="dxa"/>
          </w:tcPr>
          <w:p w:rsidR="007E52B5" w:rsidRDefault="007E52B5" w:rsidP="002B6F02">
            <w:pPr>
              <w:spacing w:line="276" w:lineRule="auto"/>
            </w:pPr>
            <w:r>
              <w:t>platí doba ukončenia</w:t>
            </w:r>
          </w:p>
        </w:tc>
      </w:tr>
      <w:tr w:rsidR="007E52B5" w:rsidTr="002B6F02">
        <w:tc>
          <w:tcPr>
            <w:tcW w:w="2302" w:type="dxa"/>
          </w:tcPr>
          <w:p w:rsidR="007E52B5" w:rsidRDefault="007E52B5" w:rsidP="002B6F02">
            <w:pPr>
              <w:spacing w:line="276" w:lineRule="auto"/>
            </w:pPr>
            <w:r>
              <w:t>SO 006</w:t>
            </w:r>
          </w:p>
        </w:tc>
        <w:tc>
          <w:tcPr>
            <w:tcW w:w="1917" w:type="dxa"/>
          </w:tcPr>
          <w:p w:rsidR="007E52B5" w:rsidRDefault="007E52B5" w:rsidP="002B6F02">
            <w:pPr>
              <w:spacing w:line="276" w:lineRule="auto"/>
            </w:pPr>
            <w:r>
              <w:t>38 622,80</w:t>
            </w:r>
          </w:p>
        </w:tc>
        <w:tc>
          <w:tcPr>
            <w:tcW w:w="1985" w:type="dxa"/>
          </w:tcPr>
          <w:p w:rsidR="007E52B5" w:rsidRDefault="007E52B5" w:rsidP="002B6F02">
            <w:pPr>
              <w:spacing w:line="276" w:lineRule="auto"/>
            </w:pPr>
            <w:r>
              <w:t>2020</w:t>
            </w:r>
          </w:p>
        </w:tc>
        <w:tc>
          <w:tcPr>
            <w:tcW w:w="3006" w:type="dxa"/>
          </w:tcPr>
          <w:p w:rsidR="007E52B5" w:rsidRDefault="007E52B5" w:rsidP="002B6F02">
            <w:pPr>
              <w:spacing w:line="276" w:lineRule="auto"/>
            </w:pPr>
            <w:r>
              <w:t>platí doba ukončenia</w:t>
            </w:r>
          </w:p>
        </w:tc>
      </w:tr>
      <w:tr w:rsidR="007E52B5" w:rsidTr="002B6F02">
        <w:tc>
          <w:tcPr>
            <w:tcW w:w="2302" w:type="dxa"/>
          </w:tcPr>
          <w:p w:rsidR="007E52B5" w:rsidRDefault="007E52B5" w:rsidP="002B6F02">
            <w:pPr>
              <w:spacing w:line="276" w:lineRule="auto"/>
            </w:pPr>
            <w:r>
              <w:t>SO 105</w:t>
            </w:r>
          </w:p>
        </w:tc>
        <w:tc>
          <w:tcPr>
            <w:tcW w:w="1917" w:type="dxa"/>
          </w:tcPr>
          <w:p w:rsidR="007E52B5" w:rsidRDefault="007E52B5" w:rsidP="002B6F02">
            <w:pPr>
              <w:spacing w:line="276" w:lineRule="auto"/>
            </w:pPr>
            <w:r>
              <w:t>87 263,20</w:t>
            </w:r>
          </w:p>
        </w:tc>
        <w:tc>
          <w:tcPr>
            <w:tcW w:w="1985" w:type="dxa"/>
          </w:tcPr>
          <w:p w:rsidR="007E52B5" w:rsidRDefault="007E52B5" w:rsidP="002B6F02">
            <w:pPr>
              <w:spacing w:line="276" w:lineRule="auto"/>
            </w:pPr>
            <w:r>
              <w:t>2020</w:t>
            </w:r>
          </w:p>
        </w:tc>
        <w:tc>
          <w:tcPr>
            <w:tcW w:w="3006" w:type="dxa"/>
          </w:tcPr>
          <w:p w:rsidR="007E52B5" w:rsidRDefault="007E52B5" w:rsidP="002B6F02">
            <w:pPr>
              <w:spacing w:line="276" w:lineRule="auto"/>
            </w:pPr>
            <w:r>
              <w:t>platí doba ukončenia</w:t>
            </w:r>
          </w:p>
        </w:tc>
      </w:tr>
      <w:tr w:rsidR="007E52B5" w:rsidTr="002B6F02">
        <w:tc>
          <w:tcPr>
            <w:tcW w:w="2302" w:type="dxa"/>
          </w:tcPr>
          <w:p w:rsidR="007E52B5" w:rsidRDefault="007E52B5" w:rsidP="002B6F02">
            <w:pPr>
              <w:spacing w:line="276" w:lineRule="auto"/>
            </w:pPr>
            <w:r>
              <w:t>SO 106</w:t>
            </w:r>
          </w:p>
        </w:tc>
        <w:tc>
          <w:tcPr>
            <w:tcW w:w="1917" w:type="dxa"/>
          </w:tcPr>
          <w:p w:rsidR="007E52B5" w:rsidRDefault="007E52B5" w:rsidP="002B6F02">
            <w:pPr>
              <w:spacing w:line="276" w:lineRule="auto"/>
            </w:pPr>
            <w:r>
              <w:t>11 869,10</w:t>
            </w:r>
          </w:p>
        </w:tc>
        <w:tc>
          <w:tcPr>
            <w:tcW w:w="1985" w:type="dxa"/>
          </w:tcPr>
          <w:p w:rsidR="007E52B5" w:rsidRDefault="007E52B5" w:rsidP="002B6F02">
            <w:pPr>
              <w:spacing w:line="276" w:lineRule="auto"/>
            </w:pPr>
            <w:r>
              <w:t>2020</w:t>
            </w:r>
          </w:p>
        </w:tc>
        <w:tc>
          <w:tcPr>
            <w:tcW w:w="3006" w:type="dxa"/>
          </w:tcPr>
          <w:p w:rsidR="007E52B5" w:rsidRDefault="007E52B5" w:rsidP="002B6F02">
            <w:pPr>
              <w:spacing w:line="276" w:lineRule="auto"/>
            </w:pPr>
            <w:r>
              <w:t>platí doba ukončenia</w:t>
            </w:r>
          </w:p>
        </w:tc>
      </w:tr>
      <w:tr w:rsidR="007E52B5" w:rsidTr="002B6F02">
        <w:tc>
          <w:tcPr>
            <w:tcW w:w="2302" w:type="dxa"/>
          </w:tcPr>
          <w:p w:rsidR="007E52B5" w:rsidRDefault="007E52B5" w:rsidP="002B6F02">
            <w:pPr>
              <w:spacing w:line="276" w:lineRule="auto"/>
            </w:pPr>
            <w:r>
              <w:t>SO 706</w:t>
            </w:r>
          </w:p>
        </w:tc>
        <w:tc>
          <w:tcPr>
            <w:tcW w:w="1917" w:type="dxa"/>
          </w:tcPr>
          <w:p w:rsidR="007E52B5" w:rsidRDefault="007E52B5" w:rsidP="002B6F02">
            <w:pPr>
              <w:spacing w:line="276" w:lineRule="auto"/>
            </w:pPr>
            <w:r>
              <w:t>2 014,00</w:t>
            </w:r>
          </w:p>
        </w:tc>
        <w:tc>
          <w:tcPr>
            <w:tcW w:w="1985" w:type="dxa"/>
          </w:tcPr>
          <w:p w:rsidR="007E52B5" w:rsidRDefault="007E52B5" w:rsidP="002B6F02">
            <w:pPr>
              <w:spacing w:line="276" w:lineRule="auto"/>
            </w:pPr>
            <w:r>
              <w:t>2020</w:t>
            </w:r>
          </w:p>
        </w:tc>
        <w:tc>
          <w:tcPr>
            <w:tcW w:w="3006" w:type="dxa"/>
          </w:tcPr>
          <w:p w:rsidR="007E52B5" w:rsidRDefault="007E52B5" w:rsidP="002B6F02">
            <w:pPr>
              <w:spacing w:line="276" w:lineRule="auto"/>
            </w:pPr>
            <w:r>
              <w:t>platí doba ukončenia</w:t>
            </w:r>
          </w:p>
        </w:tc>
      </w:tr>
    </w:tbl>
    <w:p w:rsidR="007E52B5" w:rsidRDefault="007E52B5" w:rsidP="007E52B5">
      <w:pPr>
        <w:rPr>
          <w:i/>
          <w:sz w:val="20"/>
          <w:szCs w:val="20"/>
        </w:rPr>
      </w:pPr>
      <w:r>
        <w:rPr>
          <w:i/>
          <w:sz w:val="20"/>
          <w:szCs w:val="20"/>
        </w:rPr>
        <w:t>Zdroj: vlastné spracovanie podľa internej evidencie spoločnosti</w:t>
      </w:r>
    </w:p>
    <w:p w:rsidR="007E52B5" w:rsidRDefault="007E52B5" w:rsidP="007E52B5">
      <w:pPr>
        <w:rPr>
          <w:i/>
          <w:sz w:val="20"/>
          <w:szCs w:val="20"/>
        </w:rPr>
      </w:pPr>
    </w:p>
    <w:p w:rsidR="007E52B5" w:rsidRDefault="007E52B5" w:rsidP="007E52B5">
      <w:r>
        <w:t>V tabuľke vidíme, akú celkovú rezervu je potrebné vytvoriť ku koncu životnosti diela. Životnosť diel sa každý rok aktualizuje. Väčšinou zostane nezmenená (stĺpec „poznámka“), niekedy sa ale môže životnosť predĺžiť alebo skrátiť.</w:t>
      </w:r>
      <w:r w:rsidR="00155780">
        <w:t xml:space="preserve"> </w:t>
      </w:r>
      <w:r>
        <w:t xml:space="preserve">Tak, ako aj  v predošlom prípade, sa pri tvorbe podľa IFRS používa metóda súčasnej hodnoty. Na prepočet sa použije opäť úrok emitovaných štátnych dlhopisov s dobou splatnosti čo najbližšou ku koncu životnosti rezervy. </w:t>
      </w:r>
      <w:r>
        <w:lastRenderedPageBreak/>
        <w:t xml:space="preserve">Banské diela, ktoré sme použili na ukážku, majú životnosť do roku 2017 alebo do roku 2020. Na výpočet súčasnej hodnoty prvého diela, ktoré má životnosť do roku 2017, použijeme emisiu dlhopisov, ktorá má splatnosť 19.1.2017 s úrokom 0,0154% </w:t>
      </w:r>
      <w:proofErr w:type="spellStart"/>
      <w:r>
        <w:t>p.a</w:t>
      </w:r>
      <w:proofErr w:type="spellEnd"/>
      <w:r>
        <w:t xml:space="preserve">. Na výpočet súčasnej hodnoty ostatných štyroch banských diel použijeme emisiu, ktorá má splatnosť 15.11.2024 s úrokom 0,6373% </w:t>
      </w:r>
      <w:proofErr w:type="spellStart"/>
      <w:r>
        <w:t>p.a</w:t>
      </w:r>
      <w:proofErr w:type="spellEnd"/>
      <w:r>
        <w:t>. Podľa týchto úrokov si vypočítame súčasnú hodnotu rovnakým spôsobom, aký sme použili pri rezervách na banské škody. Výpočet si predvedieme na stavebných objektoch číslo 141 a 006</w:t>
      </w:r>
    </w:p>
    <w:p w:rsidR="00B42C39" w:rsidRDefault="00B42C39" w:rsidP="00A01CDB"/>
    <w:p w:rsidR="005B658E" w:rsidRPr="00155780" w:rsidRDefault="008074F7" w:rsidP="00A01CDB">
      <w:pPr>
        <w:rPr>
          <w:szCs w:val="24"/>
        </w:rPr>
      </w:pPr>
      <w:r>
        <w:t>Ako prvý príklad máme stavebný objekt číslo 141, ktorý sa bude likvidovať v roku 2017 a preto musí byť na konci roka 2016 vytvorená rezerva vo výške 7 416,32 €. Ako druhý príklad máme sta</w:t>
      </w:r>
      <w:r w:rsidR="00725508">
        <w:t>vebný objekt číslo 0</w:t>
      </w:r>
      <w:r>
        <w:t xml:space="preserve">06, ktorý sa bude likvidovať v roku 2020 a preto musí byť na konci roka 2019 vytvorená rezerva vo výške </w:t>
      </w:r>
      <w:r w:rsidR="00725508">
        <w:t>38 622,80</w:t>
      </w:r>
      <w:r>
        <w:t xml:space="preserve"> €.</w:t>
      </w:r>
    </w:p>
    <w:p w:rsidR="00BC2B50" w:rsidRDefault="00BC2B50" w:rsidP="00A01CDB"/>
    <w:p w:rsidR="00CE3FB5" w:rsidRPr="00CE3FB5" w:rsidRDefault="005B658E" w:rsidP="00A01CDB">
      <w:pPr>
        <w:spacing w:line="240" w:lineRule="auto"/>
        <w:rPr>
          <w:b/>
        </w:rPr>
      </w:pPr>
      <w:r>
        <w:rPr>
          <w:b/>
        </w:rPr>
        <w:t>Tabuľka č.11: Prepočet súčasnej hodnoty vybraných diel</w:t>
      </w:r>
    </w:p>
    <w:tbl>
      <w:tblPr>
        <w:tblStyle w:val="Mriekatabuky"/>
        <w:tblW w:w="0" w:type="auto"/>
        <w:tblLook w:val="04A0"/>
      </w:tblPr>
      <w:tblGrid>
        <w:gridCol w:w="1612"/>
        <w:gridCol w:w="1812"/>
        <w:gridCol w:w="1812"/>
        <w:gridCol w:w="1535"/>
        <w:gridCol w:w="1559"/>
      </w:tblGrid>
      <w:tr w:rsidR="008074F7" w:rsidTr="000177CD">
        <w:tc>
          <w:tcPr>
            <w:tcW w:w="1612" w:type="dxa"/>
          </w:tcPr>
          <w:p w:rsidR="008074F7" w:rsidRDefault="008074F7" w:rsidP="00A01CDB">
            <w:pPr>
              <w:spacing w:line="276" w:lineRule="auto"/>
            </w:pPr>
          </w:p>
        </w:tc>
        <w:tc>
          <w:tcPr>
            <w:tcW w:w="1812" w:type="dxa"/>
            <w:vAlign w:val="center"/>
          </w:tcPr>
          <w:p w:rsidR="008074F7" w:rsidRDefault="008074F7" w:rsidP="00A01CDB">
            <w:pPr>
              <w:spacing w:line="276" w:lineRule="auto"/>
            </w:pPr>
            <w:r>
              <w:t>SO 141</w:t>
            </w:r>
          </w:p>
        </w:tc>
        <w:tc>
          <w:tcPr>
            <w:tcW w:w="1812" w:type="dxa"/>
            <w:vAlign w:val="center"/>
          </w:tcPr>
          <w:p w:rsidR="008074F7" w:rsidRDefault="008074F7" w:rsidP="00A01CDB">
            <w:pPr>
              <w:spacing w:line="276" w:lineRule="auto"/>
            </w:pPr>
            <w:r>
              <w:t>SH</w:t>
            </w:r>
          </w:p>
        </w:tc>
        <w:tc>
          <w:tcPr>
            <w:tcW w:w="1535" w:type="dxa"/>
          </w:tcPr>
          <w:p w:rsidR="008074F7" w:rsidRDefault="00725508" w:rsidP="00A01CDB">
            <w:pPr>
              <w:spacing w:line="276" w:lineRule="auto"/>
            </w:pPr>
            <w:r>
              <w:t>SO 0</w:t>
            </w:r>
            <w:r w:rsidR="008074F7">
              <w:t>06</w:t>
            </w:r>
          </w:p>
        </w:tc>
        <w:tc>
          <w:tcPr>
            <w:tcW w:w="1559" w:type="dxa"/>
          </w:tcPr>
          <w:p w:rsidR="008074F7" w:rsidRDefault="008074F7" w:rsidP="00A01CDB">
            <w:pPr>
              <w:spacing w:line="276" w:lineRule="auto"/>
            </w:pPr>
            <w:r>
              <w:t>SH</w:t>
            </w:r>
          </w:p>
        </w:tc>
      </w:tr>
      <w:tr w:rsidR="008074F7" w:rsidTr="000177CD">
        <w:tc>
          <w:tcPr>
            <w:tcW w:w="1612" w:type="dxa"/>
          </w:tcPr>
          <w:p w:rsidR="008074F7" w:rsidRDefault="008074F7" w:rsidP="00A01CDB">
            <w:pPr>
              <w:spacing w:line="276" w:lineRule="auto"/>
            </w:pPr>
            <w:r>
              <w:t>rok 2015</w:t>
            </w:r>
          </w:p>
        </w:tc>
        <w:tc>
          <w:tcPr>
            <w:tcW w:w="1812" w:type="dxa"/>
            <w:vAlign w:val="center"/>
          </w:tcPr>
          <w:p w:rsidR="008074F7" w:rsidRDefault="000177CD" w:rsidP="00A01CDB">
            <w:pPr>
              <w:spacing w:line="276" w:lineRule="auto"/>
            </w:pPr>
            <w:r>
              <w:t>-</w:t>
            </w:r>
          </w:p>
        </w:tc>
        <w:tc>
          <w:tcPr>
            <w:tcW w:w="1812" w:type="dxa"/>
            <w:vAlign w:val="center"/>
          </w:tcPr>
          <w:p w:rsidR="008074F7" w:rsidRDefault="000177CD" w:rsidP="00A01CDB">
            <w:pPr>
              <w:spacing w:line="276" w:lineRule="auto"/>
            </w:pPr>
            <w:r>
              <w:t>7 415,18</w:t>
            </w:r>
          </w:p>
        </w:tc>
        <w:tc>
          <w:tcPr>
            <w:tcW w:w="1535" w:type="dxa"/>
          </w:tcPr>
          <w:p w:rsidR="008074F7" w:rsidRDefault="000177CD" w:rsidP="00A01CDB">
            <w:pPr>
              <w:spacing w:line="276" w:lineRule="auto"/>
            </w:pPr>
            <w:r>
              <w:t>-</w:t>
            </w:r>
          </w:p>
        </w:tc>
        <w:tc>
          <w:tcPr>
            <w:tcW w:w="1559" w:type="dxa"/>
          </w:tcPr>
          <w:p w:rsidR="008074F7" w:rsidRDefault="00725508" w:rsidP="00A01CDB">
            <w:pPr>
              <w:spacing w:line="276" w:lineRule="auto"/>
            </w:pPr>
            <w:r>
              <w:t>38 599,02</w:t>
            </w:r>
          </w:p>
        </w:tc>
      </w:tr>
      <w:tr w:rsidR="008074F7" w:rsidTr="000177CD">
        <w:tc>
          <w:tcPr>
            <w:tcW w:w="1612" w:type="dxa"/>
          </w:tcPr>
          <w:p w:rsidR="008074F7" w:rsidRDefault="008074F7" w:rsidP="00A01CDB">
            <w:pPr>
              <w:spacing w:line="276" w:lineRule="auto"/>
            </w:pPr>
            <w:r>
              <w:t>rok 2016</w:t>
            </w:r>
          </w:p>
        </w:tc>
        <w:tc>
          <w:tcPr>
            <w:tcW w:w="1812" w:type="dxa"/>
            <w:vAlign w:val="center"/>
          </w:tcPr>
          <w:p w:rsidR="008074F7" w:rsidRDefault="008074F7" w:rsidP="00A01CDB">
            <w:pPr>
              <w:spacing w:line="276" w:lineRule="auto"/>
            </w:pPr>
            <w:r>
              <w:t>7 416,32</w:t>
            </w:r>
          </w:p>
        </w:tc>
        <w:tc>
          <w:tcPr>
            <w:tcW w:w="1812" w:type="dxa"/>
            <w:vAlign w:val="center"/>
          </w:tcPr>
          <w:p w:rsidR="008074F7" w:rsidRDefault="000177CD" w:rsidP="00A01CDB">
            <w:pPr>
              <w:spacing w:line="276" w:lineRule="auto"/>
            </w:pPr>
            <w:r>
              <w:t>7 416,32</w:t>
            </w:r>
          </w:p>
        </w:tc>
        <w:tc>
          <w:tcPr>
            <w:tcW w:w="1535" w:type="dxa"/>
          </w:tcPr>
          <w:p w:rsidR="008074F7" w:rsidRDefault="000177CD" w:rsidP="00A01CDB">
            <w:pPr>
              <w:spacing w:line="276" w:lineRule="auto"/>
            </w:pPr>
            <w:r>
              <w:t>-</w:t>
            </w:r>
          </w:p>
        </w:tc>
        <w:tc>
          <w:tcPr>
            <w:tcW w:w="1559" w:type="dxa"/>
          </w:tcPr>
          <w:p w:rsidR="008074F7" w:rsidRDefault="00725508" w:rsidP="00A01CDB">
            <w:pPr>
              <w:spacing w:line="276" w:lineRule="auto"/>
            </w:pPr>
            <w:r>
              <w:t>38 604,96</w:t>
            </w:r>
          </w:p>
        </w:tc>
      </w:tr>
      <w:tr w:rsidR="000177CD" w:rsidTr="000177CD">
        <w:tc>
          <w:tcPr>
            <w:tcW w:w="1612" w:type="dxa"/>
          </w:tcPr>
          <w:p w:rsidR="000177CD" w:rsidRDefault="000177CD" w:rsidP="00A01CDB">
            <w:pPr>
              <w:spacing w:line="276" w:lineRule="auto"/>
            </w:pPr>
            <w:r>
              <w:t>rok 2017</w:t>
            </w:r>
          </w:p>
        </w:tc>
        <w:tc>
          <w:tcPr>
            <w:tcW w:w="1812" w:type="dxa"/>
            <w:vAlign w:val="center"/>
          </w:tcPr>
          <w:p w:rsidR="000177CD" w:rsidRDefault="000177CD" w:rsidP="00A01CDB">
            <w:pPr>
              <w:spacing w:line="276" w:lineRule="auto"/>
            </w:pPr>
            <w:r>
              <w:t>-</w:t>
            </w:r>
          </w:p>
        </w:tc>
        <w:tc>
          <w:tcPr>
            <w:tcW w:w="1812" w:type="dxa"/>
            <w:vAlign w:val="center"/>
          </w:tcPr>
          <w:p w:rsidR="000177CD" w:rsidRDefault="000177CD" w:rsidP="00A01CDB">
            <w:pPr>
              <w:spacing w:line="276" w:lineRule="auto"/>
            </w:pPr>
            <w:r>
              <w:t>-</w:t>
            </w:r>
          </w:p>
        </w:tc>
        <w:tc>
          <w:tcPr>
            <w:tcW w:w="1535" w:type="dxa"/>
          </w:tcPr>
          <w:p w:rsidR="000177CD" w:rsidRDefault="000177CD" w:rsidP="00A01CDB">
            <w:pPr>
              <w:spacing w:line="276" w:lineRule="auto"/>
            </w:pPr>
            <w:r>
              <w:t>-</w:t>
            </w:r>
          </w:p>
        </w:tc>
        <w:tc>
          <w:tcPr>
            <w:tcW w:w="1559" w:type="dxa"/>
          </w:tcPr>
          <w:p w:rsidR="000177CD" w:rsidRDefault="00725508" w:rsidP="00A01CDB">
            <w:pPr>
              <w:spacing w:line="276" w:lineRule="auto"/>
            </w:pPr>
            <w:r>
              <w:t>38 610,91</w:t>
            </w:r>
          </w:p>
        </w:tc>
      </w:tr>
      <w:tr w:rsidR="000177CD" w:rsidTr="000177CD">
        <w:tc>
          <w:tcPr>
            <w:tcW w:w="1612" w:type="dxa"/>
          </w:tcPr>
          <w:p w:rsidR="000177CD" w:rsidRDefault="000177CD" w:rsidP="00A01CDB">
            <w:pPr>
              <w:spacing w:line="276" w:lineRule="auto"/>
            </w:pPr>
            <w:r>
              <w:t>rok 2018</w:t>
            </w:r>
          </w:p>
        </w:tc>
        <w:tc>
          <w:tcPr>
            <w:tcW w:w="1812" w:type="dxa"/>
            <w:vAlign w:val="center"/>
          </w:tcPr>
          <w:p w:rsidR="000177CD" w:rsidRDefault="000177CD" w:rsidP="00A01CDB">
            <w:pPr>
              <w:spacing w:line="276" w:lineRule="auto"/>
            </w:pPr>
            <w:r>
              <w:t>-</w:t>
            </w:r>
          </w:p>
        </w:tc>
        <w:tc>
          <w:tcPr>
            <w:tcW w:w="1812" w:type="dxa"/>
            <w:vAlign w:val="center"/>
          </w:tcPr>
          <w:p w:rsidR="000177CD" w:rsidRDefault="000177CD" w:rsidP="00A01CDB">
            <w:pPr>
              <w:spacing w:line="276" w:lineRule="auto"/>
            </w:pPr>
            <w:r>
              <w:t>-</w:t>
            </w:r>
          </w:p>
        </w:tc>
        <w:tc>
          <w:tcPr>
            <w:tcW w:w="1535" w:type="dxa"/>
          </w:tcPr>
          <w:p w:rsidR="000177CD" w:rsidRDefault="000177CD" w:rsidP="00A01CDB">
            <w:pPr>
              <w:spacing w:line="276" w:lineRule="auto"/>
            </w:pPr>
            <w:r>
              <w:t>-</w:t>
            </w:r>
          </w:p>
        </w:tc>
        <w:tc>
          <w:tcPr>
            <w:tcW w:w="1559" w:type="dxa"/>
          </w:tcPr>
          <w:p w:rsidR="000177CD" w:rsidRDefault="00725508" w:rsidP="00A01CDB">
            <w:pPr>
              <w:spacing w:line="276" w:lineRule="auto"/>
            </w:pPr>
            <w:r>
              <w:t>38 616,85</w:t>
            </w:r>
          </w:p>
        </w:tc>
      </w:tr>
      <w:tr w:rsidR="000177CD" w:rsidTr="000177CD">
        <w:tc>
          <w:tcPr>
            <w:tcW w:w="1612" w:type="dxa"/>
          </w:tcPr>
          <w:p w:rsidR="000177CD" w:rsidRDefault="000177CD" w:rsidP="00A01CDB">
            <w:pPr>
              <w:spacing w:line="276" w:lineRule="auto"/>
            </w:pPr>
            <w:r>
              <w:t>rok 2019</w:t>
            </w:r>
          </w:p>
        </w:tc>
        <w:tc>
          <w:tcPr>
            <w:tcW w:w="1812" w:type="dxa"/>
            <w:vAlign w:val="center"/>
          </w:tcPr>
          <w:p w:rsidR="000177CD" w:rsidRDefault="000177CD" w:rsidP="00A01CDB">
            <w:pPr>
              <w:spacing w:line="276" w:lineRule="auto"/>
            </w:pPr>
            <w:r>
              <w:t>-</w:t>
            </w:r>
          </w:p>
        </w:tc>
        <w:tc>
          <w:tcPr>
            <w:tcW w:w="1812" w:type="dxa"/>
            <w:vAlign w:val="center"/>
          </w:tcPr>
          <w:p w:rsidR="000177CD" w:rsidRDefault="000177CD" w:rsidP="00A01CDB">
            <w:pPr>
              <w:spacing w:line="276" w:lineRule="auto"/>
            </w:pPr>
            <w:r>
              <w:t>-</w:t>
            </w:r>
          </w:p>
        </w:tc>
        <w:tc>
          <w:tcPr>
            <w:tcW w:w="1535" w:type="dxa"/>
          </w:tcPr>
          <w:p w:rsidR="000177CD" w:rsidRDefault="00725508" w:rsidP="00A01CDB">
            <w:pPr>
              <w:spacing w:line="276" w:lineRule="auto"/>
            </w:pPr>
            <w:r>
              <w:t>38 622,80</w:t>
            </w:r>
          </w:p>
        </w:tc>
        <w:tc>
          <w:tcPr>
            <w:tcW w:w="1559" w:type="dxa"/>
          </w:tcPr>
          <w:p w:rsidR="000177CD" w:rsidRDefault="00725508" w:rsidP="00A01CDB">
            <w:pPr>
              <w:spacing w:line="276" w:lineRule="auto"/>
            </w:pPr>
            <w:r>
              <w:t>38 622,80</w:t>
            </w:r>
          </w:p>
        </w:tc>
      </w:tr>
    </w:tbl>
    <w:p w:rsidR="00CE3FB5" w:rsidRDefault="00CE3FB5" w:rsidP="00A01CDB">
      <w:pPr>
        <w:rPr>
          <w:i/>
          <w:sz w:val="20"/>
          <w:szCs w:val="20"/>
        </w:rPr>
      </w:pPr>
      <w:r>
        <w:rPr>
          <w:i/>
          <w:sz w:val="20"/>
          <w:szCs w:val="20"/>
        </w:rPr>
        <w:t>Zdroj: vlastné spracovanie podľa internej evidencie spoločnosti</w:t>
      </w:r>
    </w:p>
    <w:p w:rsidR="00CE3FB5" w:rsidRDefault="00CE3FB5" w:rsidP="00A01CDB">
      <w:pPr>
        <w:rPr>
          <w:i/>
          <w:sz w:val="20"/>
          <w:szCs w:val="20"/>
        </w:rPr>
      </w:pPr>
    </w:p>
    <w:p w:rsidR="000177CD" w:rsidRDefault="000177CD" w:rsidP="00A01CDB">
      <w:pPr>
        <w:rPr>
          <w:szCs w:val="24"/>
        </w:rPr>
      </w:pPr>
      <w:r w:rsidRPr="000177CD">
        <w:rPr>
          <w:szCs w:val="24"/>
        </w:rPr>
        <w:t>Rozdiel</w:t>
      </w:r>
      <w:r>
        <w:rPr>
          <w:szCs w:val="24"/>
        </w:rPr>
        <w:t xml:space="preserve"> oproti tabuľke s banskými škodami je ten, že pri banských škodách prebiehajú výdaje každoročne, preto je ku každému roku priradený výdaj a jeho prepočet na súčasnú hodnotu. Pri banských dielach ale prebehne výdaj jednorázovo, až po skončení ťažby, preto </w:t>
      </w:r>
      <w:r w:rsidR="00725508">
        <w:rPr>
          <w:szCs w:val="24"/>
        </w:rPr>
        <w:t xml:space="preserve">sú pri jednotlivých rokoch (okrem roka predchádzajúcemu čerpaniu rezervy) uvedené pomlčky. </w:t>
      </w:r>
    </w:p>
    <w:p w:rsidR="00725508" w:rsidRDefault="00725508" w:rsidP="00A01CDB">
      <w:pPr>
        <w:rPr>
          <w:szCs w:val="24"/>
        </w:rPr>
      </w:pPr>
      <w:r>
        <w:rPr>
          <w:szCs w:val="24"/>
        </w:rPr>
        <w:t xml:space="preserve">Výpočet pre stavebný objekt 006 je nasledovný: </w:t>
      </w:r>
    </w:p>
    <w:p w:rsidR="00725508" w:rsidRDefault="00725508" w:rsidP="00A01CDB">
      <w:pPr>
        <w:rPr>
          <w:szCs w:val="24"/>
        </w:rPr>
      </w:pPr>
    </w:p>
    <w:p w:rsidR="00725508" w:rsidRDefault="00725508" w:rsidP="00A01CDB">
      <w:pPr>
        <w:rPr>
          <w:rFonts w:eastAsiaTheme="minorEastAsia"/>
          <w:szCs w:val="24"/>
        </w:rPr>
      </w:pPr>
      <w:r>
        <w:rPr>
          <w:rFonts w:eastAsiaTheme="minorEastAsia"/>
          <w:szCs w:val="24"/>
        </w:rPr>
        <w:t xml:space="preserve">Súčasná hodnota v roku 2015 = </w:t>
      </w:r>
      <m:oMath>
        <m:f>
          <m:fPr>
            <m:ctrlPr>
              <w:rPr>
                <w:rFonts w:ascii="Cambria Math" w:hAnsi="Cambria Math"/>
                <w:i/>
                <w:sz w:val="28"/>
                <w:szCs w:val="28"/>
              </w:rPr>
            </m:ctrlPr>
          </m:fPr>
          <m:num>
            <m:r>
              <w:rPr>
                <w:rFonts w:ascii="Cambria Math" w:hAnsi="Cambria Math"/>
                <w:sz w:val="28"/>
                <w:szCs w:val="28"/>
              </w:rPr>
              <m:t>38 622,80</m:t>
            </m:r>
          </m:num>
          <m:den>
            <m:r>
              <w:rPr>
                <w:rFonts w:ascii="Cambria Math" w:hAnsi="Cambria Math"/>
                <w:sz w:val="28"/>
                <w:szCs w:val="28"/>
              </w:rPr>
              <m:t>(1,000154)^4</m:t>
            </m:r>
          </m:den>
        </m:f>
      </m:oMath>
      <w:r>
        <w:rPr>
          <w:rFonts w:eastAsiaTheme="minorEastAsia"/>
          <w:szCs w:val="24"/>
        </w:rPr>
        <w:t xml:space="preserve"> = 38 599,02</w:t>
      </w:r>
    </w:p>
    <w:p w:rsidR="00A940A0" w:rsidRDefault="00A940A0" w:rsidP="00A01CDB">
      <w:pPr>
        <w:rPr>
          <w:rFonts w:eastAsiaTheme="minorEastAsia"/>
          <w:szCs w:val="24"/>
        </w:rPr>
      </w:pPr>
    </w:p>
    <w:p w:rsidR="00725508" w:rsidRDefault="00A940A0" w:rsidP="00A01CDB">
      <w:pPr>
        <w:rPr>
          <w:rFonts w:eastAsiaTheme="minorEastAsia"/>
          <w:szCs w:val="24"/>
        </w:rPr>
      </w:pPr>
      <w:r>
        <w:rPr>
          <w:szCs w:val="24"/>
        </w:rPr>
        <w:t xml:space="preserve">Súčasná hodnota v roku 2016 = </w:t>
      </w:r>
      <m:oMath>
        <m:f>
          <m:fPr>
            <m:ctrlPr>
              <w:rPr>
                <w:rFonts w:ascii="Cambria Math" w:hAnsi="Cambria Math"/>
                <w:i/>
                <w:sz w:val="28"/>
                <w:szCs w:val="28"/>
              </w:rPr>
            </m:ctrlPr>
          </m:fPr>
          <m:num>
            <m:r>
              <w:rPr>
                <w:rFonts w:ascii="Cambria Math" w:hAnsi="Cambria Math"/>
                <w:sz w:val="28"/>
                <w:szCs w:val="28"/>
              </w:rPr>
              <m:t xml:space="preserve">38 622,80 </m:t>
            </m:r>
          </m:num>
          <m:den>
            <m:r>
              <w:rPr>
                <w:rFonts w:ascii="Cambria Math" w:hAnsi="Cambria Math"/>
                <w:sz w:val="28"/>
                <w:szCs w:val="28"/>
              </w:rPr>
              <m:t>(1,000154)</m:t>
            </m:r>
            <m:r>
              <w:rPr>
                <w:rFonts w:ascii="Cambria Math" w:hAnsi="Cambria Math"/>
                <w:sz w:val="28"/>
                <w:szCs w:val="28"/>
                <w:lang w:val="en-US"/>
              </w:rPr>
              <m:t>^3</m:t>
            </m:r>
          </m:den>
        </m:f>
      </m:oMath>
      <w:r w:rsidR="005F761B">
        <w:rPr>
          <w:rFonts w:eastAsiaTheme="minorEastAsia"/>
          <w:szCs w:val="24"/>
        </w:rPr>
        <w:t xml:space="preserve"> = 38 604,96</w:t>
      </w:r>
    </w:p>
    <w:p w:rsidR="005F761B" w:rsidRDefault="005F761B" w:rsidP="00A01CDB">
      <w:pPr>
        <w:rPr>
          <w:rFonts w:eastAsiaTheme="minorEastAsia"/>
          <w:szCs w:val="24"/>
        </w:rPr>
      </w:pPr>
    </w:p>
    <w:p w:rsidR="005F761B" w:rsidRDefault="005F761B" w:rsidP="00A01CDB">
      <w:pPr>
        <w:rPr>
          <w:rFonts w:eastAsiaTheme="minorEastAsia"/>
          <w:szCs w:val="24"/>
        </w:rPr>
      </w:pPr>
      <w:r>
        <w:rPr>
          <w:rFonts w:eastAsiaTheme="minorEastAsia"/>
          <w:szCs w:val="24"/>
        </w:rPr>
        <w:t xml:space="preserve">Súčasná hodnota v roku 2017 = </w:t>
      </w:r>
      <m:oMath>
        <m:f>
          <m:fPr>
            <m:ctrlPr>
              <w:rPr>
                <w:rFonts w:ascii="Cambria Math" w:eastAsiaTheme="minorEastAsia" w:hAnsi="Cambria Math"/>
                <w:i/>
                <w:sz w:val="28"/>
                <w:szCs w:val="28"/>
              </w:rPr>
            </m:ctrlPr>
          </m:fPr>
          <m:num>
            <m:r>
              <w:rPr>
                <w:rFonts w:ascii="Cambria Math" w:eastAsiaTheme="minorEastAsia" w:hAnsi="Cambria Math"/>
                <w:sz w:val="28"/>
                <w:szCs w:val="28"/>
              </w:rPr>
              <m:t>38 622,80</m:t>
            </m:r>
          </m:num>
          <m:den>
            <m:r>
              <w:rPr>
                <w:rFonts w:ascii="Cambria Math" w:eastAsiaTheme="minorEastAsia" w:hAnsi="Cambria Math"/>
                <w:sz w:val="28"/>
                <w:szCs w:val="28"/>
              </w:rPr>
              <m:t>(1.000154)^2</m:t>
            </m:r>
          </m:den>
        </m:f>
      </m:oMath>
      <w:r>
        <w:rPr>
          <w:rFonts w:eastAsiaTheme="minorEastAsia"/>
          <w:szCs w:val="24"/>
        </w:rPr>
        <w:t xml:space="preserve"> = 38 610,91</w:t>
      </w:r>
    </w:p>
    <w:p w:rsidR="005F761B" w:rsidRDefault="005F761B" w:rsidP="00A01CDB">
      <w:pPr>
        <w:rPr>
          <w:rFonts w:eastAsiaTheme="minorEastAsia"/>
          <w:szCs w:val="24"/>
        </w:rPr>
      </w:pPr>
    </w:p>
    <w:p w:rsidR="005F761B" w:rsidRDefault="005F761B" w:rsidP="00A01CDB">
      <w:pPr>
        <w:rPr>
          <w:rFonts w:eastAsiaTheme="minorEastAsia"/>
          <w:szCs w:val="24"/>
        </w:rPr>
      </w:pPr>
      <w:r>
        <w:rPr>
          <w:rFonts w:eastAsiaTheme="minorEastAsia"/>
          <w:szCs w:val="24"/>
        </w:rPr>
        <w:lastRenderedPageBreak/>
        <w:t xml:space="preserve">Súčasná hodnota v roku 2018 = </w:t>
      </w:r>
      <m:oMath>
        <m:f>
          <m:fPr>
            <m:ctrlPr>
              <w:rPr>
                <w:rFonts w:ascii="Cambria Math" w:eastAsiaTheme="minorEastAsia" w:hAnsi="Cambria Math"/>
                <w:i/>
                <w:sz w:val="28"/>
                <w:szCs w:val="28"/>
              </w:rPr>
            </m:ctrlPr>
          </m:fPr>
          <m:num>
            <m:r>
              <w:rPr>
                <w:rFonts w:ascii="Cambria Math" w:eastAsiaTheme="minorEastAsia" w:hAnsi="Cambria Math"/>
                <w:sz w:val="28"/>
                <w:szCs w:val="28"/>
              </w:rPr>
              <m:t>38 622,80</m:t>
            </m:r>
          </m:num>
          <m:den>
            <m:r>
              <w:rPr>
                <w:rFonts w:ascii="Cambria Math" w:eastAsiaTheme="minorEastAsia" w:hAnsi="Cambria Math"/>
                <w:sz w:val="28"/>
                <w:szCs w:val="28"/>
              </w:rPr>
              <m:t>1,000154</m:t>
            </m:r>
          </m:den>
        </m:f>
      </m:oMath>
      <w:r>
        <w:rPr>
          <w:rFonts w:eastAsiaTheme="minorEastAsia"/>
          <w:szCs w:val="24"/>
        </w:rPr>
        <w:t xml:space="preserve"> = 38 616,85</w:t>
      </w:r>
    </w:p>
    <w:p w:rsidR="005F761B" w:rsidRDefault="005F761B" w:rsidP="00A01CDB">
      <w:pPr>
        <w:rPr>
          <w:rFonts w:eastAsiaTheme="minorEastAsia"/>
          <w:szCs w:val="24"/>
        </w:rPr>
      </w:pPr>
    </w:p>
    <w:p w:rsidR="005F761B" w:rsidRDefault="005F761B" w:rsidP="00A01CDB">
      <w:pPr>
        <w:rPr>
          <w:rFonts w:eastAsiaTheme="minorEastAsia"/>
          <w:szCs w:val="24"/>
        </w:rPr>
      </w:pPr>
      <w:r>
        <w:rPr>
          <w:rFonts w:eastAsiaTheme="minorEastAsia"/>
          <w:szCs w:val="24"/>
        </w:rPr>
        <w:t>Súčasná hodnota v roku 2019 = 38 622,80</w:t>
      </w:r>
    </w:p>
    <w:p w:rsidR="005F761B" w:rsidRPr="000177CD" w:rsidRDefault="005F761B" w:rsidP="00A01CDB">
      <w:pPr>
        <w:rPr>
          <w:szCs w:val="24"/>
        </w:rPr>
      </w:pPr>
    </w:p>
    <w:p w:rsidR="0080011A" w:rsidRDefault="00076CC1" w:rsidP="00A01CDB">
      <w:pPr>
        <w:rPr>
          <w:szCs w:val="24"/>
        </w:rPr>
      </w:pPr>
      <w:r>
        <w:rPr>
          <w:szCs w:val="24"/>
        </w:rPr>
        <w:t>Výpočet je potrebné každoročne aktualizovať, kvôli zmenám úrokových mier štátnych dlhopisov. To, ako zmena úroku ovplyvní tvorenie rezervy</w:t>
      </w:r>
      <w:r w:rsidR="00BF4635">
        <w:rPr>
          <w:szCs w:val="24"/>
        </w:rPr>
        <w:t>,</w:t>
      </w:r>
      <w:r>
        <w:rPr>
          <w:szCs w:val="24"/>
        </w:rPr>
        <w:t xml:space="preserve"> si ukážeme v nasledujúcej tabuľke. Na ukážku použijeme </w:t>
      </w:r>
      <w:r w:rsidR="008168B8">
        <w:rPr>
          <w:szCs w:val="24"/>
        </w:rPr>
        <w:t>opäť stavebný objekt 006</w:t>
      </w:r>
      <w:r>
        <w:rPr>
          <w:szCs w:val="24"/>
        </w:rPr>
        <w:t xml:space="preserve">, ktoré má životnosť do roku 2020 a teda potrebná rezerva musí byť vytvorená ku koncu roka 2019. </w:t>
      </w:r>
    </w:p>
    <w:p w:rsidR="00155780" w:rsidRDefault="00155780" w:rsidP="00A01CDB">
      <w:pPr>
        <w:rPr>
          <w:szCs w:val="24"/>
        </w:rPr>
      </w:pPr>
    </w:p>
    <w:p w:rsidR="00AF1D8B" w:rsidRPr="00AF1D8B" w:rsidRDefault="005B658E" w:rsidP="00A01CDB">
      <w:pPr>
        <w:spacing w:line="240" w:lineRule="auto"/>
        <w:rPr>
          <w:b/>
          <w:szCs w:val="24"/>
        </w:rPr>
      </w:pPr>
      <w:r>
        <w:rPr>
          <w:b/>
          <w:szCs w:val="24"/>
        </w:rPr>
        <w:t>Tabuľka č.12: Súčasná hodnota v jednotlivých rokoch</w:t>
      </w:r>
    </w:p>
    <w:tbl>
      <w:tblPr>
        <w:tblStyle w:val="Mriekatabuky"/>
        <w:tblW w:w="0" w:type="auto"/>
        <w:tblLook w:val="04A0"/>
      </w:tblPr>
      <w:tblGrid>
        <w:gridCol w:w="1151"/>
        <w:gridCol w:w="1151"/>
        <w:gridCol w:w="1151"/>
        <w:gridCol w:w="1151"/>
        <w:gridCol w:w="1151"/>
        <w:gridCol w:w="1151"/>
        <w:gridCol w:w="1152"/>
        <w:gridCol w:w="1152"/>
      </w:tblGrid>
      <w:tr w:rsidR="00076CC1" w:rsidTr="00076CC1">
        <w:tc>
          <w:tcPr>
            <w:tcW w:w="1151" w:type="dxa"/>
          </w:tcPr>
          <w:p w:rsidR="00076CC1" w:rsidRDefault="00076CC1" w:rsidP="00A01CDB">
            <w:pPr>
              <w:spacing w:line="276" w:lineRule="auto"/>
              <w:rPr>
                <w:szCs w:val="24"/>
              </w:rPr>
            </w:pPr>
          </w:p>
        </w:tc>
        <w:tc>
          <w:tcPr>
            <w:tcW w:w="1151" w:type="dxa"/>
          </w:tcPr>
          <w:p w:rsidR="00076CC1" w:rsidRDefault="00076CC1" w:rsidP="00A01CDB">
            <w:pPr>
              <w:spacing w:line="276" w:lineRule="auto"/>
              <w:rPr>
                <w:szCs w:val="24"/>
              </w:rPr>
            </w:pPr>
            <w:r>
              <w:rPr>
                <w:szCs w:val="24"/>
              </w:rPr>
              <w:t>2013</w:t>
            </w:r>
          </w:p>
        </w:tc>
        <w:tc>
          <w:tcPr>
            <w:tcW w:w="1151" w:type="dxa"/>
          </w:tcPr>
          <w:p w:rsidR="00076CC1" w:rsidRDefault="00076CC1" w:rsidP="00A01CDB">
            <w:pPr>
              <w:spacing w:line="276" w:lineRule="auto"/>
              <w:rPr>
                <w:szCs w:val="24"/>
              </w:rPr>
            </w:pPr>
            <w:r>
              <w:rPr>
                <w:szCs w:val="24"/>
              </w:rPr>
              <w:t>2014</w:t>
            </w:r>
          </w:p>
        </w:tc>
        <w:tc>
          <w:tcPr>
            <w:tcW w:w="1151" w:type="dxa"/>
          </w:tcPr>
          <w:p w:rsidR="00076CC1" w:rsidRDefault="00076CC1" w:rsidP="00A01CDB">
            <w:pPr>
              <w:spacing w:line="276" w:lineRule="auto"/>
              <w:rPr>
                <w:szCs w:val="24"/>
              </w:rPr>
            </w:pPr>
            <w:r>
              <w:rPr>
                <w:szCs w:val="24"/>
              </w:rPr>
              <w:t>2015</w:t>
            </w:r>
          </w:p>
        </w:tc>
        <w:tc>
          <w:tcPr>
            <w:tcW w:w="1151" w:type="dxa"/>
          </w:tcPr>
          <w:p w:rsidR="00076CC1" w:rsidRDefault="00076CC1" w:rsidP="00A01CDB">
            <w:pPr>
              <w:spacing w:line="276" w:lineRule="auto"/>
              <w:rPr>
                <w:szCs w:val="24"/>
              </w:rPr>
            </w:pPr>
            <w:r>
              <w:rPr>
                <w:szCs w:val="24"/>
              </w:rPr>
              <w:t>2016</w:t>
            </w:r>
          </w:p>
        </w:tc>
        <w:tc>
          <w:tcPr>
            <w:tcW w:w="1151" w:type="dxa"/>
          </w:tcPr>
          <w:p w:rsidR="00076CC1" w:rsidRDefault="00076CC1" w:rsidP="00A01CDB">
            <w:pPr>
              <w:spacing w:line="276" w:lineRule="auto"/>
              <w:rPr>
                <w:szCs w:val="24"/>
              </w:rPr>
            </w:pPr>
            <w:r>
              <w:rPr>
                <w:szCs w:val="24"/>
              </w:rPr>
              <w:t>2017</w:t>
            </w:r>
          </w:p>
        </w:tc>
        <w:tc>
          <w:tcPr>
            <w:tcW w:w="1152" w:type="dxa"/>
          </w:tcPr>
          <w:p w:rsidR="00076CC1" w:rsidRDefault="00076CC1" w:rsidP="00A01CDB">
            <w:pPr>
              <w:spacing w:line="276" w:lineRule="auto"/>
              <w:rPr>
                <w:szCs w:val="24"/>
              </w:rPr>
            </w:pPr>
            <w:r>
              <w:rPr>
                <w:szCs w:val="24"/>
              </w:rPr>
              <w:t>2018</w:t>
            </w:r>
          </w:p>
        </w:tc>
        <w:tc>
          <w:tcPr>
            <w:tcW w:w="1152" w:type="dxa"/>
          </w:tcPr>
          <w:p w:rsidR="00076CC1" w:rsidRDefault="00076CC1" w:rsidP="00A01CDB">
            <w:pPr>
              <w:spacing w:line="276" w:lineRule="auto"/>
              <w:rPr>
                <w:szCs w:val="24"/>
              </w:rPr>
            </w:pPr>
            <w:r>
              <w:rPr>
                <w:szCs w:val="24"/>
              </w:rPr>
              <w:t>2019</w:t>
            </w:r>
          </w:p>
        </w:tc>
      </w:tr>
      <w:tr w:rsidR="00076CC1" w:rsidTr="00076CC1">
        <w:tc>
          <w:tcPr>
            <w:tcW w:w="1151" w:type="dxa"/>
          </w:tcPr>
          <w:p w:rsidR="00076CC1" w:rsidRDefault="00076CC1" w:rsidP="00A01CDB">
            <w:pPr>
              <w:spacing w:line="276" w:lineRule="auto"/>
              <w:rPr>
                <w:szCs w:val="24"/>
              </w:rPr>
            </w:pPr>
            <w:r>
              <w:rPr>
                <w:szCs w:val="24"/>
              </w:rPr>
              <w:t>rezerva</w:t>
            </w:r>
          </w:p>
        </w:tc>
        <w:tc>
          <w:tcPr>
            <w:tcW w:w="1151" w:type="dxa"/>
          </w:tcPr>
          <w:p w:rsidR="00076CC1" w:rsidRDefault="008168B8" w:rsidP="00A01CDB">
            <w:pPr>
              <w:spacing w:line="276" w:lineRule="auto"/>
              <w:rPr>
                <w:szCs w:val="24"/>
              </w:rPr>
            </w:pPr>
            <w:r>
              <w:rPr>
                <w:szCs w:val="24"/>
              </w:rPr>
              <w:t>35 130,69</w:t>
            </w:r>
          </w:p>
        </w:tc>
        <w:tc>
          <w:tcPr>
            <w:tcW w:w="1151" w:type="dxa"/>
          </w:tcPr>
          <w:p w:rsidR="008168B8" w:rsidRDefault="008168B8" w:rsidP="00A01CDB">
            <w:pPr>
              <w:spacing w:line="276" w:lineRule="auto"/>
              <w:rPr>
                <w:szCs w:val="24"/>
              </w:rPr>
            </w:pPr>
            <w:r>
              <w:rPr>
                <w:szCs w:val="24"/>
              </w:rPr>
              <w:t>36 189,11</w:t>
            </w:r>
          </w:p>
        </w:tc>
        <w:tc>
          <w:tcPr>
            <w:tcW w:w="1151" w:type="dxa"/>
          </w:tcPr>
          <w:p w:rsidR="00076CC1" w:rsidRDefault="008168B8" w:rsidP="00A01CDB">
            <w:pPr>
              <w:spacing w:line="276" w:lineRule="auto"/>
              <w:rPr>
                <w:szCs w:val="24"/>
              </w:rPr>
            </w:pPr>
            <w:r>
              <w:rPr>
                <w:szCs w:val="24"/>
              </w:rPr>
              <w:t>38 599,02</w:t>
            </w:r>
          </w:p>
        </w:tc>
        <w:tc>
          <w:tcPr>
            <w:tcW w:w="1151" w:type="dxa"/>
          </w:tcPr>
          <w:p w:rsidR="00076CC1" w:rsidRDefault="008168B8" w:rsidP="00A01CDB">
            <w:pPr>
              <w:spacing w:line="276" w:lineRule="auto"/>
              <w:rPr>
                <w:szCs w:val="24"/>
              </w:rPr>
            </w:pPr>
            <w:r>
              <w:rPr>
                <w:szCs w:val="24"/>
              </w:rPr>
              <w:t>38 604,96</w:t>
            </w:r>
          </w:p>
        </w:tc>
        <w:tc>
          <w:tcPr>
            <w:tcW w:w="1151" w:type="dxa"/>
          </w:tcPr>
          <w:p w:rsidR="00076CC1" w:rsidRDefault="008168B8" w:rsidP="00A01CDB">
            <w:pPr>
              <w:spacing w:line="276" w:lineRule="auto"/>
              <w:rPr>
                <w:szCs w:val="24"/>
              </w:rPr>
            </w:pPr>
            <w:r>
              <w:rPr>
                <w:szCs w:val="24"/>
              </w:rPr>
              <w:t>38 610,91</w:t>
            </w:r>
          </w:p>
        </w:tc>
        <w:tc>
          <w:tcPr>
            <w:tcW w:w="1152" w:type="dxa"/>
          </w:tcPr>
          <w:p w:rsidR="00076CC1" w:rsidRDefault="008168B8" w:rsidP="00A01CDB">
            <w:pPr>
              <w:spacing w:line="276" w:lineRule="auto"/>
              <w:rPr>
                <w:szCs w:val="24"/>
              </w:rPr>
            </w:pPr>
            <w:r>
              <w:rPr>
                <w:szCs w:val="24"/>
              </w:rPr>
              <w:t>38 616,85</w:t>
            </w:r>
          </w:p>
        </w:tc>
        <w:tc>
          <w:tcPr>
            <w:tcW w:w="1152" w:type="dxa"/>
          </w:tcPr>
          <w:p w:rsidR="00076CC1" w:rsidRDefault="008168B8" w:rsidP="00A01CDB">
            <w:pPr>
              <w:spacing w:line="276" w:lineRule="auto"/>
              <w:rPr>
                <w:szCs w:val="24"/>
              </w:rPr>
            </w:pPr>
            <w:r>
              <w:rPr>
                <w:szCs w:val="24"/>
              </w:rPr>
              <w:t>38 622,80</w:t>
            </w:r>
          </w:p>
        </w:tc>
      </w:tr>
      <w:tr w:rsidR="00076CC1" w:rsidTr="00076CC1">
        <w:tc>
          <w:tcPr>
            <w:tcW w:w="1151" w:type="dxa"/>
          </w:tcPr>
          <w:p w:rsidR="00076CC1" w:rsidRDefault="00076CC1" w:rsidP="00A01CDB">
            <w:pPr>
              <w:spacing w:line="276" w:lineRule="auto"/>
              <w:rPr>
                <w:szCs w:val="24"/>
              </w:rPr>
            </w:pPr>
            <w:r>
              <w:rPr>
                <w:szCs w:val="24"/>
              </w:rPr>
              <w:t>úrok</w:t>
            </w:r>
          </w:p>
        </w:tc>
        <w:tc>
          <w:tcPr>
            <w:tcW w:w="1151" w:type="dxa"/>
          </w:tcPr>
          <w:p w:rsidR="00076CC1" w:rsidRDefault="008168B8" w:rsidP="00A01CDB">
            <w:pPr>
              <w:spacing w:line="276" w:lineRule="auto"/>
              <w:rPr>
                <w:szCs w:val="24"/>
              </w:rPr>
            </w:pPr>
            <w:r>
              <w:rPr>
                <w:szCs w:val="24"/>
              </w:rPr>
              <w:t>2 937,98</w:t>
            </w:r>
          </w:p>
        </w:tc>
        <w:tc>
          <w:tcPr>
            <w:tcW w:w="1151" w:type="dxa"/>
          </w:tcPr>
          <w:p w:rsidR="00076CC1" w:rsidRDefault="008168B8" w:rsidP="00A01CDB">
            <w:pPr>
              <w:spacing w:line="276" w:lineRule="auto"/>
              <w:rPr>
                <w:szCs w:val="24"/>
              </w:rPr>
            </w:pPr>
            <w:r>
              <w:rPr>
                <w:szCs w:val="24"/>
              </w:rPr>
              <w:t>1 058,42</w:t>
            </w:r>
          </w:p>
        </w:tc>
        <w:tc>
          <w:tcPr>
            <w:tcW w:w="1151" w:type="dxa"/>
          </w:tcPr>
          <w:p w:rsidR="00076CC1" w:rsidRDefault="008168B8" w:rsidP="00A01CDB">
            <w:pPr>
              <w:spacing w:line="276" w:lineRule="auto"/>
              <w:rPr>
                <w:szCs w:val="24"/>
              </w:rPr>
            </w:pPr>
            <w:r>
              <w:rPr>
                <w:szCs w:val="24"/>
              </w:rPr>
              <w:t>2 409,91</w:t>
            </w:r>
          </w:p>
        </w:tc>
        <w:tc>
          <w:tcPr>
            <w:tcW w:w="1151" w:type="dxa"/>
          </w:tcPr>
          <w:p w:rsidR="00076CC1" w:rsidRDefault="008168B8" w:rsidP="00A01CDB">
            <w:pPr>
              <w:spacing w:line="276" w:lineRule="auto"/>
              <w:rPr>
                <w:szCs w:val="24"/>
              </w:rPr>
            </w:pPr>
            <w:r>
              <w:rPr>
                <w:szCs w:val="24"/>
              </w:rPr>
              <w:t>5,94</w:t>
            </w:r>
          </w:p>
        </w:tc>
        <w:tc>
          <w:tcPr>
            <w:tcW w:w="1151" w:type="dxa"/>
          </w:tcPr>
          <w:p w:rsidR="00076CC1" w:rsidRDefault="008168B8" w:rsidP="00A01CDB">
            <w:pPr>
              <w:spacing w:line="276" w:lineRule="auto"/>
              <w:rPr>
                <w:szCs w:val="24"/>
              </w:rPr>
            </w:pPr>
            <w:r>
              <w:rPr>
                <w:szCs w:val="24"/>
              </w:rPr>
              <w:t>5,95</w:t>
            </w:r>
          </w:p>
        </w:tc>
        <w:tc>
          <w:tcPr>
            <w:tcW w:w="1152" w:type="dxa"/>
          </w:tcPr>
          <w:p w:rsidR="00076CC1" w:rsidRDefault="008168B8" w:rsidP="00A01CDB">
            <w:pPr>
              <w:spacing w:line="276" w:lineRule="auto"/>
              <w:rPr>
                <w:szCs w:val="24"/>
              </w:rPr>
            </w:pPr>
            <w:r>
              <w:rPr>
                <w:szCs w:val="24"/>
              </w:rPr>
              <w:t>5,95</w:t>
            </w:r>
          </w:p>
        </w:tc>
        <w:tc>
          <w:tcPr>
            <w:tcW w:w="1152" w:type="dxa"/>
          </w:tcPr>
          <w:p w:rsidR="00076CC1" w:rsidRDefault="008168B8" w:rsidP="00A01CDB">
            <w:pPr>
              <w:spacing w:line="276" w:lineRule="auto"/>
              <w:rPr>
                <w:szCs w:val="24"/>
              </w:rPr>
            </w:pPr>
            <w:r>
              <w:rPr>
                <w:szCs w:val="24"/>
              </w:rPr>
              <w:t>5,95</w:t>
            </w:r>
          </w:p>
        </w:tc>
      </w:tr>
    </w:tbl>
    <w:p w:rsidR="00AF1D8B" w:rsidRDefault="00AF1D8B" w:rsidP="00A01CDB">
      <w:pPr>
        <w:rPr>
          <w:i/>
          <w:sz w:val="20"/>
          <w:szCs w:val="20"/>
        </w:rPr>
      </w:pPr>
      <w:r>
        <w:rPr>
          <w:i/>
          <w:sz w:val="20"/>
          <w:szCs w:val="20"/>
        </w:rPr>
        <w:t>Zdroj: vlastné spracovanie podľa internej evidencie spoločnosti</w:t>
      </w:r>
    </w:p>
    <w:p w:rsidR="00AF1D8B" w:rsidRDefault="00AF1D8B" w:rsidP="00A01CDB">
      <w:pPr>
        <w:rPr>
          <w:i/>
          <w:sz w:val="20"/>
          <w:szCs w:val="20"/>
        </w:rPr>
      </w:pPr>
    </w:p>
    <w:p w:rsidR="00076CC1" w:rsidRDefault="000B3EE8" w:rsidP="00A01CDB">
      <w:pPr>
        <w:rPr>
          <w:szCs w:val="24"/>
        </w:rPr>
      </w:pPr>
      <w:r>
        <w:rPr>
          <w:szCs w:val="24"/>
        </w:rPr>
        <w:t xml:space="preserve">Postupne si ukážeme </w:t>
      </w:r>
      <w:r w:rsidR="00076CC1">
        <w:rPr>
          <w:szCs w:val="24"/>
        </w:rPr>
        <w:t xml:space="preserve">výpočet v jednotlivých rokoch. Prvý rok v tabuľke je rok 2013. V tomto roku sa na </w:t>
      </w:r>
      <w:proofErr w:type="spellStart"/>
      <w:r w:rsidR="00076CC1">
        <w:rPr>
          <w:szCs w:val="24"/>
        </w:rPr>
        <w:t>odúročenie</w:t>
      </w:r>
      <w:proofErr w:type="spellEnd"/>
      <w:r w:rsidR="00076CC1">
        <w:rPr>
          <w:szCs w:val="24"/>
        </w:rPr>
        <w:t xml:space="preserve"> použila emisia so splatnosťou 28.11.2018 s úrokom 1,592% </w:t>
      </w:r>
      <w:proofErr w:type="spellStart"/>
      <w:r w:rsidR="00076CC1">
        <w:rPr>
          <w:szCs w:val="24"/>
        </w:rPr>
        <w:t>p.a</w:t>
      </w:r>
      <w:proofErr w:type="spellEnd"/>
      <w:r w:rsidR="00076CC1">
        <w:rPr>
          <w:szCs w:val="24"/>
        </w:rPr>
        <w:t>. Výpočet prebehol nasledovne:</w:t>
      </w:r>
    </w:p>
    <w:p w:rsidR="00076CC1" w:rsidRDefault="00076CC1" w:rsidP="00A01CDB">
      <w:pPr>
        <w:rPr>
          <w:szCs w:val="24"/>
        </w:rPr>
      </w:pPr>
    </w:p>
    <w:p w:rsidR="00076CC1" w:rsidRDefault="00076CC1" w:rsidP="00A01CDB">
      <w:pPr>
        <w:rPr>
          <w:rFonts w:eastAsiaTheme="minorEastAsia"/>
          <w:szCs w:val="24"/>
        </w:rPr>
      </w:pPr>
      <w:r>
        <w:rPr>
          <w:szCs w:val="24"/>
        </w:rPr>
        <w:t xml:space="preserve">súčasná hodnota = </w:t>
      </w:r>
      <m:oMath>
        <m:f>
          <m:fPr>
            <m:ctrlPr>
              <w:rPr>
                <w:rFonts w:ascii="Cambria Math" w:hAnsi="Cambria Math" w:cs="Times New Roman"/>
                <w:sz w:val="28"/>
                <w:szCs w:val="28"/>
              </w:rPr>
            </m:ctrlPr>
          </m:fPr>
          <m:num>
            <m:r>
              <m:rPr>
                <m:sty m:val="p"/>
              </m:rPr>
              <w:rPr>
                <w:rFonts w:ascii="Cambria Math" w:cs="Times New Roman"/>
                <w:sz w:val="28"/>
                <w:szCs w:val="28"/>
              </w:rPr>
              <m:t>38</m:t>
            </m:r>
            <m:r>
              <m:rPr>
                <m:sty m:val="p"/>
              </m:rPr>
              <w:rPr>
                <w:rFonts w:ascii="Cambria Math" w:cs="Times New Roman"/>
                <w:sz w:val="28"/>
                <w:szCs w:val="28"/>
              </w:rPr>
              <m:t> </m:t>
            </m:r>
            <m:r>
              <m:rPr>
                <m:sty m:val="p"/>
              </m:rPr>
              <w:rPr>
                <w:rFonts w:ascii="Cambria Math" w:cs="Times New Roman"/>
                <w:sz w:val="28"/>
                <w:szCs w:val="28"/>
              </w:rPr>
              <m:t>622,80</m:t>
            </m:r>
          </m:num>
          <m:den>
            <m:r>
              <m:rPr>
                <m:sty m:val="p"/>
              </m:rPr>
              <w:rPr>
                <w:rFonts w:ascii="Cambria Math" w:cs="Times New Roman"/>
                <w:sz w:val="28"/>
                <w:szCs w:val="28"/>
              </w:rPr>
              <m:t>(1,01592)</m:t>
            </m:r>
            <m:r>
              <m:rPr>
                <m:sty m:val="p"/>
              </m:rPr>
              <w:rPr>
                <w:rFonts w:ascii="Cambria Math" w:cs="Times New Roman"/>
                <w:sz w:val="28"/>
                <w:szCs w:val="28"/>
                <w:lang w:val="en-US"/>
              </w:rPr>
              <m:t>^6</m:t>
            </m:r>
          </m:den>
        </m:f>
      </m:oMath>
      <w:r w:rsidR="00596053">
        <w:rPr>
          <w:rFonts w:eastAsiaTheme="minorEastAsia"/>
          <w:szCs w:val="24"/>
        </w:rPr>
        <w:t xml:space="preserve"> = </w:t>
      </w:r>
      <w:r w:rsidR="008168B8">
        <w:rPr>
          <w:rFonts w:eastAsiaTheme="minorEastAsia"/>
          <w:szCs w:val="24"/>
        </w:rPr>
        <w:t>35 130,69</w:t>
      </w:r>
    </w:p>
    <w:p w:rsidR="00596053" w:rsidRDefault="00596053" w:rsidP="00A01CDB">
      <w:pPr>
        <w:rPr>
          <w:rFonts w:eastAsiaTheme="minorEastAsia"/>
          <w:szCs w:val="24"/>
        </w:rPr>
      </w:pPr>
    </w:p>
    <w:p w:rsidR="00596053" w:rsidRDefault="00596053" w:rsidP="00A01CDB">
      <w:pPr>
        <w:rPr>
          <w:rFonts w:eastAsiaTheme="minorEastAsia"/>
          <w:szCs w:val="24"/>
        </w:rPr>
      </w:pPr>
      <w:r>
        <w:rPr>
          <w:rFonts w:eastAsiaTheme="minorEastAsia"/>
          <w:szCs w:val="24"/>
        </w:rPr>
        <w:t xml:space="preserve">V nasledujúcom roku 2014 sa úrok danej emisie zmenil na 1,3102% </w:t>
      </w:r>
      <w:proofErr w:type="spellStart"/>
      <w:r>
        <w:rPr>
          <w:rFonts w:eastAsiaTheme="minorEastAsia"/>
          <w:szCs w:val="24"/>
        </w:rPr>
        <w:t>p.a</w:t>
      </w:r>
      <w:proofErr w:type="spellEnd"/>
      <w:r>
        <w:rPr>
          <w:rFonts w:eastAsiaTheme="minorEastAsia"/>
          <w:szCs w:val="24"/>
        </w:rPr>
        <w:t>. Musí sa to zohľadniť aj vo výpočte a preto sa súčasná hodnota záväzku pre rok 2014 vypočíta nasledovne:</w:t>
      </w:r>
    </w:p>
    <w:p w:rsidR="00596053" w:rsidRDefault="00596053" w:rsidP="00A01CDB">
      <w:pPr>
        <w:rPr>
          <w:rFonts w:eastAsiaTheme="minorEastAsia"/>
          <w:szCs w:val="24"/>
        </w:rPr>
      </w:pPr>
    </w:p>
    <w:p w:rsidR="00596053" w:rsidRDefault="00596053" w:rsidP="00A01CDB">
      <w:pPr>
        <w:rPr>
          <w:rFonts w:eastAsiaTheme="minorEastAsia"/>
          <w:szCs w:val="24"/>
        </w:rPr>
      </w:pPr>
      <w:r>
        <w:rPr>
          <w:rFonts w:eastAsiaTheme="minorEastAsia"/>
          <w:szCs w:val="24"/>
        </w:rPr>
        <w:t xml:space="preserve">súčasná hodnota = </w:t>
      </w:r>
      <m:oMath>
        <m:f>
          <m:fPr>
            <m:ctrlPr>
              <w:rPr>
                <w:rFonts w:ascii="Cambria Math" w:eastAsiaTheme="minorEastAsia" w:hAnsi="Cambria Math"/>
                <w:i/>
                <w:sz w:val="28"/>
                <w:szCs w:val="28"/>
              </w:rPr>
            </m:ctrlPr>
          </m:fPr>
          <m:num>
            <m:r>
              <w:rPr>
                <w:rFonts w:ascii="Cambria Math" w:eastAsiaTheme="minorEastAsia" w:hAnsi="Cambria Math"/>
                <w:sz w:val="28"/>
                <w:szCs w:val="28"/>
              </w:rPr>
              <m:t>38 622,80</m:t>
            </m:r>
          </m:num>
          <m:den>
            <m:r>
              <w:rPr>
                <w:rFonts w:ascii="Cambria Math" w:eastAsiaTheme="minorEastAsia" w:hAnsi="Cambria Math"/>
                <w:sz w:val="28"/>
                <w:szCs w:val="28"/>
              </w:rPr>
              <m:t>(1+0,013102)</m:t>
            </m:r>
            <m:r>
              <w:rPr>
                <w:rFonts w:ascii="Cambria Math" w:eastAsiaTheme="minorEastAsia" w:hAnsi="Cambria Math"/>
                <w:sz w:val="28"/>
                <w:szCs w:val="28"/>
                <w:lang w:val="en-US"/>
              </w:rPr>
              <m:t>^5</m:t>
            </m:r>
          </m:den>
        </m:f>
      </m:oMath>
      <w:r>
        <w:rPr>
          <w:rFonts w:eastAsiaTheme="minorEastAsia"/>
          <w:szCs w:val="24"/>
        </w:rPr>
        <w:t xml:space="preserve"> = </w:t>
      </w:r>
      <w:r w:rsidR="00E671A0">
        <w:rPr>
          <w:rFonts w:eastAsiaTheme="minorEastAsia"/>
          <w:szCs w:val="24"/>
        </w:rPr>
        <w:t>36 189,11</w:t>
      </w:r>
    </w:p>
    <w:p w:rsidR="00596053" w:rsidRDefault="00596053" w:rsidP="00A01CDB">
      <w:pPr>
        <w:rPr>
          <w:rFonts w:eastAsiaTheme="minorEastAsia"/>
          <w:szCs w:val="24"/>
        </w:rPr>
      </w:pPr>
    </w:p>
    <w:p w:rsidR="00596053" w:rsidRDefault="00596053" w:rsidP="00A01CDB">
      <w:pPr>
        <w:rPr>
          <w:rFonts w:eastAsiaTheme="minorEastAsia"/>
          <w:szCs w:val="24"/>
        </w:rPr>
      </w:pPr>
      <w:r>
        <w:rPr>
          <w:rFonts w:eastAsiaTheme="minorEastAsia"/>
          <w:szCs w:val="24"/>
        </w:rPr>
        <w:t xml:space="preserve">Posledný rok, ktorý máme k dispozícii je rok 2015, kedy sa už súčasná hodnota prepočítavala úrokom 0,0154% </w:t>
      </w:r>
      <w:proofErr w:type="spellStart"/>
      <w:r>
        <w:rPr>
          <w:rFonts w:eastAsiaTheme="minorEastAsia"/>
          <w:szCs w:val="24"/>
        </w:rPr>
        <w:t>p.a</w:t>
      </w:r>
      <w:proofErr w:type="spellEnd"/>
      <w:r>
        <w:rPr>
          <w:rFonts w:eastAsiaTheme="minorEastAsia"/>
          <w:szCs w:val="24"/>
        </w:rPr>
        <w:t>.</w:t>
      </w:r>
      <w:r w:rsidR="00D75110">
        <w:rPr>
          <w:rFonts w:eastAsiaTheme="minorEastAsia"/>
          <w:szCs w:val="24"/>
        </w:rPr>
        <w:t xml:space="preserve"> a vyšlo, že ku koncu roka 2015 má mať podnik odložených </w:t>
      </w:r>
      <w:r w:rsidR="00E671A0">
        <w:rPr>
          <w:rFonts w:eastAsiaTheme="minorEastAsia"/>
          <w:szCs w:val="24"/>
        </w:rPr>
        <w:t xml:space="preserve">38 599,02 </w:t>
      </w:r>
      <w:r w:rsidR="00D75110">
        <w:rPr>
          <w:rFonts w:eastAsiaTheme="minorEastAsia"/>
          <w:szCs w:val="24"/>
        </w:rPr>
        <w:t xml:space="preserve">€. Výpočet sa každý rok aktualizuje podľa zmeny úrokových sadzieb. Riadok „úrok“ udáva medziročnú zmenu vo vytvorenej rezerve. Prudký pokles úroku, ktorý vidíme po roku 2015 je spôsobený veľkou zmenou úrokovej sadzby štátnych dlhopisov. </w:t>
      </w:r>
    </w:p>
    <w:p w:rsidR="00FB3E46" w:rsidRDefault="00FB3E46" w:rsidP="00A01CDB">
      <w:pPr>
        <w:rPr>
          <w:rFonts w:eastAsiaTheme="minorEastAsia"/>
          <w:szCs w:val="24"/>
        </w:rPr>
      </w:pPr>
    </w:p>
    <w:p w:rsidR="00D75110" w:rsidRDefault="00D75110" w:rsidP="00A01CDB">
      <w:pPr>
        <w:pStyle w:val="Nadpis3"/>
      </w:pPr>
      <w:bookmarkStart w:id="34" w:name="_Toc447622273"/>
      <w:r>
        <w:lastRenderedPageBreak/>
        <w:t>Analýza tvorby podľa slovenskej právnej úpravy</w:t>
      </w:r>
      <w:bookmarkEnd w:id="34"/>
    </w:p>
    <w:p w:rsidR="00D75110" w:rsidRPr="00D75110" w:rsidRDefault="00D75110" w:rsidP="00A01CDB"/>
    <w:p w:rsidR="00FB3E46" w:rsidRDefault="001B0D60" w:rsidP="00A01CDB">
      <w:r>
        <w:t xml:space="preserve">Rezervy na likvidáciu banských diel sú daňovo uznateľným nákladom a preto sa tvoria daňovo. Princíp je jednoduchý, suma potrebná na likvidáciu sa vydelí počtom rokov, počas ktorých sa bude tvoriť rezerva. </w:t>
      </w:r>
      <w:r w:rsidR="00A763C7">
        <w:t xml:space="preserve">Zmeny nastanú len vtedy, ak sa prehodnotí životnosť banského diela. </w:t>
      </w:r>
    </w:p>
    <w:p w:rsidR="00FB3E46" w:rsidRDefault="00FB3E46" w:rsidP="00A01CDB"/>
    <w:p w:rsidR="00AF1D8B" w:rsidRPr="00AF1D8B" w:rsidRDefault="00AF1D8B" w:rsidP="00A01CDB">
      <w:pPr>
        <w:spacing w:line="240" w:lineRule="auto"/>
        <w:rPr>
          <w:b/>
        </w:rPr>
      </w:pPr>
      <w:r w:rsidRPr="00AF1D8B">
        <w:rPr>
          <w:b/>
        </w:rPr>
        <w:t>Tabuľ</w:t>
      </w:r>
      <w:r w:rsidR="005B658E">
        <w:rPr>
          <w:b/>
        </w:rPr>
        <w:t>ka č.13: Rezervy na likvidáciu banských diel</w:t>
      </w:r>
    </w:p>
    <w:tbl>
      <w:tblPr>
        <w:tblStyle w:val="Mriekatabuky"/>
        <w:tblW w:w="0" w:type="auto"/>
        <w:tblLook w:val="04A0"/>
      </w:tblPr>
      <w:tblGrid>
        <w:gridCol w:w="1526"/>
        <w:gridCol w:w="1544"/>
        <w:gridCol w:w="1149"/>
        <w:gridCol w:w="1843"/>
        <w:gridCol w:w="1134"/>
        <w:gridCol w:w="992"/>
        <w:gridCol w:w="992"/>
      </w:tblGrid>
      <w:tr w:rsidR="00E671A0" w:rsidTr="00B60295">
        <w:tc>
          <w:tcPr>
            <w:tcW w:w="1526" w:type="dxa"/>
            <w:vAlign w:val="center"/>
          </w:tcPr>
          <w:p w:rsidR="00E671A0" w:rsidRDefault="00E671A0" w:rsidP="00A01CDB">
            <w:pPr>
              <w:spacing w:line="276" w:lineRule="auto"/>
            </w:pPr>
            <w:r>
              <w:t>Názov diela</w:t>
            </w:r>
          </w:p>
        </w:tc>
        <w:tc>
          <w:tcPr>
            <w:tcW w:w="1544" w:type="dxa"/>
            <w:vAlign w:val="center"/>
          </w:tcPr>
          <w:p w:rsidR="00E671A0" w:rsidRDefault="00E671A0" w:rsidP="00A01CDB">
            <w:pPr>
              <w:spacing w:line="276" w:lineRule="auto"/>
            </w:pPr>
            <w:r>
              <w:t>Náklady na likvidáciu</w:t>
            </w:r>
          </w:p>
        </w:tc>
        <w:tc>
          <w:tcPr>
            <w:tcW w:w="1149" w:type="dxa"/>
            <w:vAlign w:val="center"/>
          </w:tcPr>
          <w:p w:rsidR="00E671A0" w:rsidRDefault="00E671A0" w:rsidP="00A01CDB">
            <w:pPr>
              <w:spacing w:line="276" w:lineRule="auto"/>
            </w:pPr>
            <w:r>
              <w:t>Vyradenie</w:t>
            </w:r>
          </w:p>
        </w:tc>
        <w:tc>
          <w:tcPr>
            <w:tcW w:w="1843" w:type="dxa"/>
            <w:vAlign w:val="center"/>
          </w:tcPr>
          <w:p w:rsidR="00E671A0" w:rsidRDefault="00E671A0" w:rsidP="00A01CDB">
            <w:pPr>
              <w:spacing w:line="276" w:lineRule="auto"/>
            </w:pPr>
            <w:r>
              <w:t>Tvorba rezervy v</w:t>
            </w:r>
            <w:r w:rsidR="00A360DF">
              <w:t> </w:t>
            </w:r>
            <w:r>
              <w:t>rokoch</w:t>
            </w:r>
          </w:p>
        </w:tc>
        <w:tc>
          <w:tcPr>
            <w:tcW w:w="1134" w:type="dxa"/>
            <w:vAlign w:val="center"/>
          </w:tcPr>
          <w:p w:rsidR="00E671A0" w:rsidRDefault="00E671A0" w:rsidP="00A01CDB">
            <w:pPr>
              <w:spacing w:line="276" w:lineRule="auto"/>
            </w:pPr>
            <w:r>
              <w:t>2009</w:t>
            </w:r>
          </w:p>
        </w:tc>
        <w:tc>
          <w:tcPr>
            <w:tcW w:w="992" w:type="dxa"/>
            <w:vAlign w:val="center"/>
          </w:tcPr>
          <w:p w:rsidR="00E671A0" w:rsidRDefault="00E671A0" w:rsidP="00A01CDB">
            <w:pPr>
              <w:spacing w:line="276" w:lineRule="auto"/>
            </w:pPr>
            <w:r>
              <w:t>2010</w:t>
            </w:r>
          </w:p>
        </w:tc>
        <w:tc>
          <w:tcPr>
            <w:tcW w:w="992" w:type="dxa"/>
            <w:vAlign w:val="center"/>
          </w:tcPr>
          <w:p w:rsidR="00E671A0" w:rsidRDefault="00E671A0" w:rsidP="00A01CDB">
            <w:pPr>
              <w:spacing w:line="276" w:lineRule="auto"/>
            </w:pPr>
            <w:r>
              <w:t>2011</w:t>
            </w:r>
          </w:p>
        </w:tc>
      </w:tr>
      <w:tr w:rsidR="00E671A0" w:rsidTr="009A763E">
        <w:tc>
          <w:tcPr>
            <w:tcW w:w="1526" w:type="dxa"/>
          </w:tcPr>
          <w:p w:rsidR="00E671A0" w:rsidRDefault="00E671A0" w:rsidP="00A01CDB">
            <w:pPr>
              <w:spacing w:line="276" w:lineRule="auto"/>
            </w:pPr>
            <w:r>
              <w:t>SO 141</w:t>
            </w:r>
          </w:p>
        </w:tc>
        <w:tc>
          <w:tcPr>
            <w:tcW w:w="1544" w:type="dxa"/>
          </w:tcPr>
          <w:p w:rsidR="00E671A0" w:rsidRDefault="009A763E" w:rsidP="00A01CDB">
            <w:pPr>
              <w:spacing w:line="276" w:lineRule="auto"/>
            </w:pPr>
            <w:r>
              <w:t>7 416,32</w:t>
            </w:r>
          </w:p>
        </w:tc>
        <w:tc>
          <w:tcPr>
            <w:tcW w:w="1149" w:type="dxa"/>
          </w:tcPr>
          <w:p w:rsidR="00E671A0" w:rsidRDefault="009A763E" w:rsidP="00A01CDB">
            <w:pPr>
              <w:spacing w:line="276" w:lineRule="auto"/>
            </w:pPr>
            <w:r>
              <w:t>2017</w:t>
            </w:r>
          </w:p>
        </w:tc>
        <w:tc>
          <w:tcPr>
            <w:tcW w:w="1843" w:type="dxa"/>
          </w:tcPr>
          <w:p w:rsidR="00E671A0" w:rsidRDefault="009A763E" w:rsidP="00A01CDB">
            <w:pPr>
              <w:spacing w:line="276" w:lineRule="auto"/>
            </w:pPr>
            <w:r>
              <w:t>2009 - 2016</w:t>
            </w:r>
          </w:p>
        </w:tc>
        <w:tc>
          <w:tcPr>
            <w:tcW w:w="1134" w:type="dxa"/>
          </w:tcPr>
          <w:p w:rsidR="00E671A0" w:rsidRDefault="00EE677D" w:rsidP="00A01CDB">
            <w:pPr>
              <w:spacing w:line="276" w:lineRule="auto"/>
            </w:pPr>
            <w:r>
              <w:t>1 236,05</w:t>
            </w:r>
          </w:p>
        </w:tc>
        <w:tc>
          <w:tcPr>
            <w:tcW w:w="992" w:type="dxa"/>
          </w:tcPr>
          <w:p w:rsidR="00E671A0" w:rsidRDefault="00EE677D" w:rsidP="00A01CDB">
            <w:pPr>
              <w:spacing w:line="276" w:lineRule="auto"/>
            </w:pPr>
            <w:r>
              <w:t>1 236,05</w:t>
            </w:r>
          </w:p>
        </w:tc>
        <w:tc>
          <w:tcPr>
            <w:tcW w:w="992" w:type="dxa"/>
          </w:tcPr>
          <w:p w:rsidR="00E671A0" w:rsidRDefault="00EE677D" w:rsidP="00A01CDB">
            <w:pPr>
              <w:spacing w:line="276" w:lineRule="auto"/>
            </w:pPr>
            <w:r>
              <w:t>1 236,05</w:t>
            </w:r>
          </w:p>
        </w:tc>
      </w:tr>
      <w:tr w:rsidR="00E671A0" w:rsidTr="009A763E">
        <w:tc>
          <w:tcPr>
            <w:tcW w:w="1526" w:type="dxa"/>
          </w:tcPr>
          <w:p w:rsidR="00E671A0" w:rsidRDefault="00E671A0" w:rsidP="00A01CDB">
            <w:pPr>
              <w:spacing w:line="276" w:lineRule="auto"/>
            </w:pPr>
            <w:r>
              <w:t>SO 006</w:t>
            </w:r>
          </w:p>
        </w:tc>
        <w:tc>
          <w:tcPr>
            <w:tcW w:w="1544" w:type="dxa"/>
          </w:tcPr>
          <w:p w:rsidR="00E671A0" w:rsidRDefault="009A763E" w:rsidP="00A01CDB">
            <w:pPr>
              <w:spacing w:line="276" w:lineRule="auto"/>
            </w:pPr>
            <w:r>
              <w:t>38 622,80</w:t>
            </w:r>
          </w:p>
        </w:tc>
        <w:tc>
          <w:tcPr>
            <w:tcW w:w="1149" w:type="dxa"/>
          </w:tcPr>
          <w:p w:rsidR="00E671A0" w:rsidRDefault="009A763E" w:rsidP="00A01CDB">
            <w:pPr>
              <w:spacing w:line="276" w:lineRule="auto"/>
            </w:pPr>
            <w:r>
              <w:t>2020</w:t>
            </w:r>
          </w:p>
        </w:tc>
        <w:tc>
          <w:tcPr>
            <w:tcW w:w="1843" w:type="dxa"/>
          </w:tcPr>
          <w:p w:rsidR="00E671A0" w:rsidRDefault="009A763E" w:rsidP="00A01CDB">
            <w:pPr>
              <w:spacing w:line="276" w:lineRule="auto"/>
            </w:pPr>
            <w:r>
              <w:t>2009 - 2019</w:t>
            </w:r>
          </w:p>
        </w:tc>
        <w:tc>
          <w:tcPr>
            <w:tcW w:w="1134" w:type="dxa"/>
          </w:tcPr>
          <w:p w:rsidR="00E671A0" w:rsidRDefault="00EE677D" w:rsidP="00A01CDB">
            <w:pPr>
              <w:spacing w:line="276" w:lineRule="auto"/>
            </w:pPr>
            <w:r>
              <w:t>3 511,16</w:t>
            </w:r>
          </w:p>
        </w:tc>
        <w:tc>
          <w:tcPr>
            <w:tcW w:w="992" w:type="dxa"/>
          </w:tcPr>
          <w:p w:rsidR="00E671A0" w:rsidRDefault="00EE677D" w:rsidP="00A01CDB">
            <w:pPr>
              <w:spacing w:line="276" w:lineRule="auto"/>
            </w:pPr>
            <w:r>
              <w:t>3 511,16</w:t>
            </w:r>
          </w:p>
        </w:tc>
        <w:tc>
          <w:tcPr>
            <w:tcW w:w="992" w:type="dxa"/>
          </w:tcPr>
          <w:p w:rsidR="00E671A0" w:rsidRDefault="00EE677D" w:rsidP="00A01CDB">
            <w:pPr>
              <w:spacing w:line="276" w:lineRule="auto"/>
            </w:pPr>
            <w:r>
              <w:t>3 511,16</w:t>
            </w:r>
          </w:p>
        </w:tc>
      </w:tr>
      <w:tr w:rsidR="00E671A0" w:rsidTr="009A763E">
        <w:tc>
          <w:tcPr>
            <w:tcW w:w="1526" w:type="dxa"/>
          </w:tcPr>
          <w:p w:rsidR="00E671A0" w:rsidRDefault="00E671A0" w:rsidP="00A01CDB">
            <w:pPr>
              <w:spacing w:line="276" w:lineRule="auto"/>
            </w:pPr>
            <w:r>
              <w:t>SO 105</w:t>
            </w:r>
          </w:p>
        </w:tc>
        <w:tc>
          <w:tcPr>
            <w:tcW w:w="1544" w:type="dxa"/>
          </w:tcPr>
          <w:p w:rsidR="00E671A0" w:rsidRDefault="009A763E" w:rsidP="00A01CDB">
            <w:pPr>
              <w:spacing w:line="276" w:lineRule="auto"/>
            </w:pPr>
            <w:r>
              <w:t>87 263,20</w:t>
            </w:r>
          </w:p>
        </w:tc>
        <w:tc>
          <w:tcPr>
            <w:tcW w:w="1149" w:type="dxa"/>
          </w:tcPr>
          <w:p w:rsidR="00E671A0" w:rsidRDefault="009A763E" w:rsidP="00A01CDB">
            <w:pPr>
              <w:spacing w:line="276" w:lineRule="auto"/>
            </w:pPr>
            <w:r>
              <w:t>2020</w:t>
            </w:r>
          </w:p>
        </w:tc>
        <w:tc>
          <w:tcPr>
            <w:tcW w:w="1843" w:type="dxa"/>
          </w:tcPr>
          <w:p w:rsidR="00E671A0" w:rsidRDefault="009A763E" w:rsidP="00A01CDB">
            <w:pPr>
              <w:spacing w:line="276" w:lineRule="auto"/>
            </w:pPr>
            <w:r>
              <w:t>2010 - 2019</w:t>
            </w:r>
          </w:p>
        </w:tc>
        <w:tc>
          <w:tcPr>
            <w:tcW w:w="1134" w:type="dxa"/>
          </w:tcPr>
          <w:p w:rsidR="00E671A0" w:rsidRDefault="00EE677D" w:rsidP="00EE677D">
            <w:pPr>
              <w:spacing w:line="276" w:lineRule="auto"/>
              <w:jc w:val="center"/>
            </w:pPr>
            <w:r>
              <w:t>-</w:t>
            </w:r>
          </w:p>
        </w:tc>
        <w:tc>
          <w:tcPr>
            <w:tcW w:w="992" w:type="dxa"/>
          </w:tcPr>
          <w:p w:rsidR="00E671A0" w:rsidRDefault="00A270F9" w:rsidP="00A01CDB">
            <w:pPr>
              <w:spacing w:line="276" w:lineRule="auto"/>
            </w:pPr>
            <w:r>
              <w:t>8 726,32</w:t>
            </w:r>
          </w:p>
        </w:tc>
        <w:tc>
          <w:tcPr>
            <w:tcW w:w="992" w:type="dxa"/>
          </w:tcPr>
          <w:p w:rsidR="00E671A0" w:rsidRDefault="00A270F9" w:rsidP="00A01CDB">
            <w:pPr>
              <w:spacing w:line="276" w:lineRule="auto"/>
            </w:pPr>
            <w:r>
              <w:t>8 726,32</w:t>
            </w:r>
          </w:p>
        </w:tc>
      </w:tr>
      <w:tr w:rsidR="00E671A0" w:rsidTr="009A763E">
        <w:tc>
          <w:tcPr>
            <w:tcW w:w="1526" w:type="dxa"/>
          </w:tcPr>
          <w:p w:rsidR="00E671A0" w:rsidRDefault="00E671A0" w:rsidP="00A01CDB">
            <w:pPr>
              <w:spacing w:line="276" w:lineRule="auto"/>
            </w:pPr>
            <w:r>
              <w:t>SO 106</w:t>
            </w:r>
          </w:p>
        </w:tc>
        <w:tc>
          <w:tcPr>
            <w:tcW w:w="1544" w:type="dxa"/>
          </w:tcPr>
          <w:p w:rsidR="00E671A0" w:rsidRDefault="009A763E" w:rsidP="00A01CDB">
            <w:pPr>
              <w:spacing w:line="276" w:lineRule="auto"/>
            </w:pPr>
            <w:r>
              <w:t>11 869,10</w:t>
            </w:r>
          </w:p>
        </w:tc>
        <w:tc>
          <w:tcPr>
            <w:tcW w:w="1149" w:type="dxa"/>
          </w:tcPr>
          <w:p w:rsidR="00E671A0" w:rsidRDefault="009A763E" w:rsidP="00A01CDB">
            <w:pPr>
              <w:spacing w:line="276" w:lineRule="auto"/>
            </w:pPr>
            <w:r>
              <w:t>2020</w:t>
            </w:r>
          </w:p>
        </w:tc>
        <w:tc>
          <w:tcPr>
            <w:tcW w:w="1843" w:type="dxa"/>
          </w:tcPr>
          <w:p w:rsidR="00E671A0" w:rsidRDefault="009A763E" w:rsidP="00A01CDB">
            <w:pPr>
              <w:spacing w:line="276" w:lineRule="auto"/>
            </w:pPr>
            <w:r>
              <w:t>2010 - 2019</w:t>
            </w:r>
          </w:p>
        </w:tc>
        <w:tc>
          <w:tcPr>
            <w:tcW w:w="1134" w:type="dxa"/>
          </w:tcPr>
          <w:p w:rsidR="00E671A0" w:rsidRDefault="00EE677D" w:rsidP="00EE677D">
            <w:pPr>
              <w:spacing w:line="276" w:lineRule="auto"/>
              <w:jc w:val="center"/>
            </w:pPr>
            <w:r>
              <w:t>-</w:t>
            </w:r>
          </w:p>
        </w:tc>
        <w:tc>
          <w:tcPr>
            <w:tcW w:w="992" w:type="dxa"/>
          </w:tcPr>
          <w:p w:rsidR="00E671A0" w:rsidRDefault="00A270F9" w:rsidP="00A01CDB">
            <w:pPr>
              <w:spacing w:line="276" w:lineRule="auto"/>
            </w:pPr>
            <w:r>
              <w:t>1 186,91</w:t>
            </w:r>
          </w:p>
        </w:tc>
        <w:tc>
          <w:tcPr>
            <w:tcW w:w="992" w:type="dxa"/>
          </w:tcPr>
          <w:p w:rsidR="00E671A0" w:rsidRDefault="00A270F9" w:rsidP="00A01CDB">
            <w:pPr>
              <w:spacing w:line="276" w:lineRule="auto"/>
            </w:pPr>
            <w:r>
              <w:t>1 186,91</w:t>
            </w:r>
          </w:p>
        </w:tc>
      </w:tr>
      <w:tr w:rsidR="00E671A0" w:rsidTr="009A763E">
        <w:tc>
          <w:tcPr>
            <w:tcW w:w="1526" w:type="dxa"/>
          </w:tcPr>
          <w:p w:rsidR="00E671A0" w:rsidRDefault="00E671A0" w:rsidP="00A01CDB">
            <w:pPr>
              <w:spacing w:line="276" w:lineRule="auto"/>
            </w:pPr>
            <w:r>
              <w:t>SO 706</w:t>
            </w:r>
          </w:p>
        </w:tc>
        <w:tc>
          <w:tcPr>
            <w:tcW w:w="1544" w:type="dxa"/>
          </w:tcPr>
          <w:p w:rsidR="00E671A0" w:rsidRDefault="009A763E" w:rsidP="00A01CDB">
            <w:pPr>
              <w:spacing w:line="276" w:lineRule="auto"/>
            </w:pPr>
            <w:r>
              <w:t>2 014,00</w:t>
            </w:r>
          </w:p>
        </w:tc>
        <w:tc>
          <w:tcPr>
            <w:tcW w:w="1149" w:type="dxa"/>
          </w:tcPr>
          <w:p w:rsidR="00E671A0" w:rsidRDefault="009A763E" w:rsidP="00A01CDB">
            <w:pPr>
              <w:spacing w:line="276" w:lineRule="auto"/>
            </w:pPr>
            <w:r>
              <w:t>2020</w:t>
            </w:r>
          </w:p>
        </w:tc>
        <w:tc>
          <w:tcPr>
            <w:tcW w:w="1843" w:type="dxa"/>
          </w:tcPr>
          <w:p w:rsidR="00E671A0" w:rsidRDefault="009A763E" w:rsidP="00A01CDB">
            <w:pPr>
              <w:spacing w:line="276" w:lineRule="auto"/>
            </w:pPr>
            <w:r>
              <w:t>2010 -2019</w:t>
            </w:r>
          </w:p>
        </w:tc>
        <w:tc>
          <w:tcPr>
            <w:tcW w:w="1134" w:type="dxa"/>
          </w:tcPr>
          <w:p w:rsidR="00E671A0" w:rsidRDefault="00EE677D" w:rsidP="00EE677D">
            <w:pPr>
              <w:spacing w:line="276" w:lineRule="auto"/>
              <w:jc w:val="center"/>
            </w:pPr>
            <w:r>
              <w:t>-</w:t>
            </w:r>
          </w:p>
        </w:tc>
        <w:tc>
          <w:tcPr>
            <w:tcW w:w="992" w:type="dxa"/>
          </w:tcPr>
          <w:p w:rsidR="00E671A0" w:rsidRDefault="00A270F9" w:rsidP="00A01CDB">
            <w:pPr>
              <w:spacing w:line="276" w:lineRule="auto"/>
            </w:pPr>
            <w:r>
              <w:t>201,40</w:t>
            </w:r>
          </w:p>
        </w:tc>
        <w:tc>
          <w:tcPr>
            <w:tcW w:w="992" w:type="dxa"/>
          </w:tcPr>
          <w:p w:rsidR="00E671A0" w:rsidRDefault="00A270F9" w:rsidP="00A01CDB">
            <w:pPr>
              <w:spacing w:line="276" w:lineRule="auto"/>
            </w:pPr>
            <w:r>
              <w:t>201,40</w:t>
            </w:r>
          </w:p>
        </w:tc>
      </w:tr>
    </w:tbl>
    <w:p w:rsidR="00E671A0" w:rsidRDefault="00E671A0" w:rsidP="00A01CDB">
      <w:pPr>
        <w:rPr>
          <w:i/>
          <w:sz w:val="20"/>
          <w:szCs w:val="20"/>
        </w:rPr>
      </w:pPr>
    </w:p>
    <w:p w:rsidR="00AF1D8B" w:rsidRPr="00AF1D8B" w:rsidRDefault="005B658E" w:rsidP="00A01CDB">
      <w:pPr>
        <w:spacing w:line="240" w:lineRule="auto"/>
        <w:rPr>
          <w:b/>
          <w:szCs w:val="24"/>
        </w:rPr>
      </w:pPr>
      <w:r>
        <w:rPr>
          <w:b/>
          <w:szCs w:val="24"/>
        </w:rPr>
        <w:t>Tabuľka č.13</w:t>
      </w:r>
      <w:r w:rsidR="00AF1D8B" w:rsidRPr="00AF1D8B">
        <w:rPr>
          <w:b/>
          <w:szCs w:val="24"/>
        </w:rPr>
        <w:t xml:space="preserve"> - pokračovanie</w:t>
      </w:r>
    </w:p>
    <w:tbl>
      <w:tblPr>
        <w:tblStyle w:val="Mriekatabuky"/>
        <w:tblW w:w="9210" w:type="dxa"/>
        <w:tblLayout w:type="fixed"/>
        <w:tblLook w:val="04A0"/>
      </w:tblPr>
      <w:tblGrid>
        <w:gridCol w:w="1023"/>
        <w:gridCol w:w="1023"/>
        <w:gridCol w:w="1023"/>
        <w:gridCol w:w="1008"/>
        <w:gridCol w:w="993"/>
        <w:gridCol w:w="992"/>
        <w:gridCol w:w="1134"/>
        <w:gridCol w:w="990"/>
        <w:gridCol w:w="1024"/>
      </w:tblGrid>
      <w:tr w:rsidR="00E671A0" w:rsidTr="00B60295">
        <w:tc>
          <w:tcPr>
            <w:tcW w:w="1023" w:type="dxa"/>
          </w:tcPr>
          <w:p w:rsidR="00E671A0" w:rsidRDefault="00E671A0" w:rsidP="00A01CDB">
            <w:pPr>
              <w:spacing w:line="276" w:lineRule="auto"/>
            </w:pPr>
            <w:r>
              <w:t>Názov diela</w:t>
            </w:r>
          </w:p>
        </w:tc>
        <w:tc>
          <w:tcPr>
            <w:tcW w:w="1023" w:type="dxa"/>
            <w:vAlign w:val="center"/>
          </w:tcPr>
          <w:p w:rsidR="00E671A0" w:rsidRDefault="00E671A0" w:rsidP="00A01CDB">
            <w:pPr>
              <w:spacing w:line="276" w:lineRule="auto"/>
            </w:pPr>
            <w:r>
              <w:t>2012</w:t>
            </w:r>
          </w:p>
        </w:tc>
        <w:tc>
          <w:tcPr>
            <w:tcW w:w="1023" w:type="dxa"/>
            <w:vAlign w:val="center"/>
          </w:tcPr>
          <w:p w:rsidR="00E671A0" w:rsidRDefault="00E671A0" w:rsidP="00A01CDB">
            <w:pPr>
              <w:spacing w:line="276" w:lineRule="auto"/>
            </w:pPr>
            <w:r>
              <w:t>2013</w:t>
            </w:r>
          </w:p>
        </w:tc>
        <w:tc>
          <w:tcPr>
            <w:tcW w:w="1008" w:type="dxa"/>
            <w:vAlign w:val="center"/>
          </w:tcPr>
          <w:p w:rsidR="00E671A0" w:rsidRDefault="00E671A0" w:rsidP="00A01CDB">
            <w:pPr>
              <w:spacing w:line="276" w:lineRule="auto"/>
            </w:pPr>
            <w:r>
              <w:t>2014</w:t>
            </w:r>
          </w:p>
        </w:tc>
        <w:tc>
          <w:tcPr>
            <w:tcW w:w="993" w:type="dxa"/>
            <w:vAlign w:val="center"/>
          </w:tcPr>
          <w:p w:rsidR="00E671A0" w:rsidRDefault="00E671A0" w:rsidP="00A01CDB">
            <w:pPr>
              <w:spacing w:line="276" w:lineRule="auto"/>
            </w:pPr>
            <w:r>
              <w:t>2015</w:t>
            </w:r>
          </w:p>
        </w:tc>
        <w:tc>
          <w:tcPr>
            <w:tcW w:w="992" w:type="dxa"/>
            <w:vAlign w:val="center"/>
          </w:tcPr>
          <w:p w:rsidR="00E671A0" w:rsidRDefault="00E671A0" w:rsidP="00A01CDB">
            <w:pPr>
              <w:spacing w:line="276" w:lineRule="auto"/>
            </w:pPr>
            <w:r>
              <w:t>2016</w:t>
            </w:r>
          </w:p>
        </w:tc>
        <w:tc>
          <w:tcPr>
            <w:tcW w:w="1134" w:type="dxa"/>
            <w:vAlign w:val="center"/>
          </w:tcPr>
          <w:p w:rsidR="00E671A0" w:rsidRDefault="00E671A0" w:rsidP="00A01CDB">
            <w:pPr>
              <w:spacing w:line="276" w:lineRule="auto"/>
            </w:pPr>
            <w:r>
              <w:t>2017</w:t>
            </w:r>
          </w:p>
        </w:tc>
        <w:tc>
          <w:tcPr>
            <w:tcW w:w="990" w:type="dxa"/>
            <w:vAlign w:val="center"/>
          </w:tcPr>
          <w:p w:rsidR="00E671A0" w:rsidRDefault="00E671A0" w:rsidP="00A01CDB">
            <w:pPr>
              <w:spacing w:line="276" w:lineRule="auto"/>
            </w:pPr>
            <w:r>
              <w:t>2018</w:t>
            </w:r>
          </w:p>
        </w:tc>
        <w:tc>
          <w:tcPr>
            <w:tcW w:w="1024" w:type="dxa"/>
            <w:vAlign w:val="center"/>
          </w:tcPr>
          <w:p w:rsidR="00E671A0" w:rsidRDefault="00E671A0" w:rsidP="00A01CDB">
            <w:pPr>
              <w:spacing w:line="276" w:lineRule="auto"/>
            </w:pPr>
            <w:r>
              <w:t>2019</w:t>
            </w:r>
          </w:p>
        </w:tc>
      </w:tr>
      <w:tr w:rsidR="00E671A0" w:rsidTr="00B60295">
        <w:tc>
          <w:tcPr>
            <w:tcW w:w="1023" w:type="dxa"/>
          </w:tcPr>
          <w:p w:rsidR="00E671A0" w:rsidRDefault="00E671A0" w:rsidP="00A01CDB">
            <w:pPr>
              <w:spacing w:line="276" w:lineRule="auto"/>
            </w:pPr>
            <w:r>
              <w:t>SO 141</w:t>
            </w:r>
          </w:p>
        </w:tc>
        <w:tc>
          <w:tcPr>
            <w:tcW w:w="1023" w:type="dxa"/>
          </w:tcPr>
          <w:p w:rsidR="00E671A0" w:rsidRDefault="00EE677D" w:rsidP="00A01CDB">
            <w:pPr>
              <w:spacing w:line="276" w:lineRule="auto"/>
            </w:pPr>
            <w:r>
              <w:t>1 236,05</w:t>
            </w:r>
          </w:p>
        </w:tc>
        <w:tc>
          <w:tcPr>
            <w:tcW w:w="1023" w:type="dxa"/>
          </w:tcPr>
          <w:p w:rsidR="00E671A0" w:rsidRDefault="00E671A0" w:rsidP="00A01CDB">
            <w:pPr>
              <w:spacing w:line="276" w:lineRule="auto"/>
            </w:pPr>
            <w:r>
              <w:t>1 236,05</w:t>
            </w:r>
          </w:p>
        </w:tc>
        <w:tc>
          <w:tcPr>
            <w:tcW w:w="1008" w:type="dxa"/>
          </w:tcPr>
          <w:p w:rsidR="00E671A0" w:rsidRDefault="00E671A0" w:rsidP="00A01CDB">
            <w:pPr>
              <w:spacing w:line="276" w:lineRule="auto"/>
            </w:pPr>
            <w:r>
              <w:t>412,02</w:t>
            </w:r>
          </w:p>
        </w:tc>
        <w:tc>
          <w:tcPr>
            <w:tcW w:w="993" w:type="dxa"/>
          </w:tcPr>
          <w:p w:rsidR="00E671A0" w:rsidRDefault="00E671A0" w:rsidP="00A01CDB">
            <w:pPr>
              <w:spacing w:line="276" w:lineRule="auto"/>
            </w:pPr>
            <w:r>
              <w:t>412,02</w:t>
            </w:r>
          </w:p>
        </w:tc>
        <w:tc>
          <w:tcPr>
            <w:tcW w:w="992" w:type="dxa"/>
          </w:tcPr>
          <w:p w:rsidR="00E671A0" w:rsidRDefault="00E671A0" w:rsidP="00A01CDB">
            <w:pPr>
              <w:spacing w:line="276" w:lineRule="auto"/>
            </w:pPr>
            <w:r>
              <w:t>412,02</w:t>
            </w:r>
          </w:p>
        </w:tc>
        <w:tc>
          <w:tcPr>
            <w:tcW w:w="1134" w:type="dxa"/>
          </w:tcPr>
          <w:p w:rsidR="00E671A0" w:rsidRDefault="00E671A0" w:rsidP="00A01CDB">
            <w:pPr>
              <w:spacing w:line="276" w:lineRule="auto"/>
            </w:pPr>
            <w:r>
              <w:t>-</w:t>
            </w:r>
          </w:p>
        </w:tc>
        <w:tc>
          <w:tcPr>
            <w:tcW w:w="990" w:type="dxa"/>
          </w:tcPr>
          <w:p w:rsidR="00E671A0" w:rsidRDefault="00E671A0" w:rsidP="00A01CDB">
            <w:pPr>
              <w:spacing w:line="276" w:lineRule="auto"/>
            </w:pPr>
            <w:r>
              <w:t>-</w:t>
            </w:r>
          </w:p>
        </w:tc>
        <w:tc>
          <w:tcPr>
            <w:tcW w:w="1024" w:type="dxa"/>
          </w:tcPr>
          <w:p w:rsidR="00E671A0" w:rsidRDefault="00E671A0" w:rsidP="00A01CDB">
            <w:pPr>
              <w:spacing w:line="276" w:lineRule="auto"/>
            </w:pPr>
            <w:r>
              <w:t>-</w:t>
            </w:r>
          </w:p>
        </w:tc>
      </w:tr>
      <w:tr w:rsidR="00E671A0" w:rsidTr="00B60295">
        <w:tc>
          <w:tcPr>
            <w:tcW w:w="1023" w:type="dxa"/>
          </w:tcPr>
          <w:p w:rsidR="00E671A0" w:rsidRDefault="00E671A0" w:rsidP="00A01CDB">
            <w:pPr>
              <w:spacing w:line="276" w:lineRule="auto"/>
            </w:pPr>
            <w:r>
              <w:t>SO 006</w:t>
            </w:r>
          </w:p>
        </w:tc>
        <w:tc>
          <w:tcPr>
            <w:tcW w:w="1023" w:type="dxa"/>
          </w:tcPr>
          <w:p w:rsidR="00E671A0" w:rsidRDefault="00EE677D" w:rsidP="00A01CDB">
            <w:pPr>
              <w:spacing w:line="276" w:lineRule="auto"/>
            </w:pPr>
            <w:r>
              <w:t>3 511,16</w:t>
            </w:r>
          </w:p>
        </w:tc>
        <w:tc>
          <w:tcPr>
            <w:tcW w:w="1023" w:type="dxa"/>
          </w:tcPr>
          <w:p w:rsidR="00E671A0" w:rsidRDefault="00E671A0" w:rsidP="00A01CDB">
            <w:pPr>
              <w:spacing w:line="276" w:lineRule="auto"/>
            </w:pPr>
            <w:r>
              <w:t>3 511,16</w:t>
            </w:r>
          </w:p>
        </w:tc>
        <w:tc>
          <w:tcPr>
            <w:tcW w:w="1008" w:type="dxa"/>
          </w:tcPr>
          <w:p w:rsidR="00E671A0" w:rsidRDefault="00E671A0" w:rsidP="00A01CDB">
            <w:pPr>
              <w:spacing w:line="276" w:lineRule="auto"/>
            </w:pPr>
            <w:r>
              <w:t>3 511,16</w:t>
            </w:r>
          </w:p>
        </w:tc>
        <w:tc>
          <w:tcPr>
            <w:tcW w:w="993" w:type="dxa"/>
          </w:tcPr>
          <w:p w:rsidR="00E671A0" w:rsidRDefault="00E671A0" w:rsidP="00A01CDB">
            <w:pPr>
              <w:spacing w:line="276" w:lineRule="auto"/>
            </w:pPr>
            <w:r>
              <w:t>3 511,16</w:t>
            </w:r>
          </w:p>
        </w:tc>
        <w:tc>
          <w:tcPr>
            <w:tcW w:w="992" w:type="dxa"/>
          </w:tcPr>
          <w:p w:rsidR="00E671A0" w:rsidRDefault="00E671A0" w:rsidP="00A01CDB">
            <w:pPr>
              <w:spacing w:line="276" w:lineRule="auto"/>
            </w:pPr>
            <w:r>
              <w:t>3 511,16</w:t>
            </w:r>
          </w:p>
        </w:tc>
        <w:tc>
          <w:tcPr>
            <w:tcW w:w="1134" w:type="dxa"/>
          </w:tcPr>
          <w:p w:rsidR="00E671A0" w:rsidRDefault="00E671A0" w:rsidP="00A01CDB">
            <w:pPr>
              <w:spacing w:line="276" w:lineRule="auto"/>
            </w:pPr>
            <w:r>
              <w:t>3 511,16</w:t>
            </w:r>
          </w:p>
        </w:tc>
        <w:tc>
          <w:tcPr>
            <w:tcW w:w="990" w:type="dxa"/>
          </w:tcPr>
          <w:p w:rsidR="00E671A0" w:rsidRDefault="00E671A0" w:rsidP="00A01CDB">
            <w:pPr>
              <w:spacing w:line="276" w:lineRule="auto"/>
            </w:pPr>
            <w:r>
              <w:t>3 511,16</w:t>
            </w:r>
          </w:p>
        </w:tc>
        <w:tc>
          <w:tcPr>
            <w:tcW w:w="1024" w:type="dxa"/>
          </w:tcPr>
          <w:p w:rsidR="00E671A0" w:rsidRDefault="00E671A0" w:rsidP="00A01CDB">
            <w:pPr>
              <w:spacing w:line="276" w:lineRule="auto"/>
            </w:pPr>
            <w:r>
              <w:t>3 511,16</w:t>
            </w:r>
          </w:p>
        </w:tc>
      </w:tr>
      <w:tr w:rsidR="00E671A0" w:rsidTr="00B60295">
        <w:tc>
          <w:tcPr>
            <w:tcW w:w="1023" w:type="dxa"/>
          </w:tcPr>
          <w:p w:rsidR="00E671A0" w:rsidRDefault="00E671A0" w:rsidP="00A01CDB">
            <w:pPr>
              <w:spacing w:line="276" w:lineRule="auto"/>
            </w:pPr>
            <w:r>
              <w:t>SO 105</w:t>
            </w:r>
          </w:p>
        </w:tc>
        <w:tc>
          <w:tcPr>
            <w:tcW w:w="1023" w:type="dxa"/>
          </w:tcPr>
          <w:p w:rsidR="00E671A0" w:rsidRDefault="00A270F9" w:rsidP="00A01CDB">
            <w:pPr>
              <w:spacing w:line="276" w:lineRule="auto"/>
            </w:pPr>
            <w:r>
              <w:t>8 726,32</w:t>
            </w:r>
          </w:p>
        </w:tc>
        <w:tc>
          <w:tcPr>
            <w:tcW w:w="1023" w:type="dxa"/>
          </w:tcPr>
          <w:p w:rsidR="00E671A0" w:rsidRDefault="00E671A0" w:rsidP="00A01CDB">
            <w:pPr>
              <w:spacing w:line="276" w:lineRule="auto"/>
            </w:pPr>
            <w:r>
              <w:t>8 726,32</w:t>
            </w:r>
          </w:p>
        </w:tc>
        <w:tc>
          <w:tcPr>
            <w:tcW w:w="1008" w:type="dxa"/>
          </w:tcPr>
          <w:p w:rsidR="00E671A0" w:rsidRDefault="00E671A0" w:rsidP="00A01CDB">
            <w:pPr>
              <w:spacing w:line="276" w:lineRule="auto"/>
            </w:pPr>
            <w:r>
              <w:t>8 726,32</w:t>
            </w:r>
          </w:p>
        </w:tc>
        <w:tc>
          <w:tcPr>
            <w:tcW w:w="993" w:type="dxa"/>
          </w:tcPr>
          <w:p w:rsidR="00E671A0" w:rsidRDefault="00E671A0" w:rsidP="00A01CDB">
            <w:pPr>
              <w:spacing w:line="276" w:lineRule="auto"/>
            </w:pPr>
            <w:r>
              <w:t>8 726,32</w:t>
            </w:r>
          </w:p>
        </w:tc>
        <w:tc>
          <w:tcPr>
            <w:tcW w:w="992" w:type="dxa"/>
          </w:tcPr>
          <w:p w:rsidR="00E671A0" w:rsidRDefault="00E671A0" w:rsidP="00A01CDB">
            <w:pPr>
              <w:spacing w:line="276" w:lineRule="auto"/>
            </w:pPr>
            <w:r>
              <w:t>8 726,32</w:t>
            </w:r>
          </w:p>
        </w:tc>
        <w:tc>
          <w:tcPr>
            <w:tcW w:w="1134" w:type="dxa"/>
          </w:tcPr>
          <w:p w:rsidR="00E671A0" w:rsidRDefault="00E671A0" w:rsidP="00A01CDB">
            <w:pPr>
              <w:spacing w:line="276" w:lineRule="auto"/>
            </w:pPr>
            <w:r>
              <w:t>8 726,32</w:t>
            </w:r>
          </w:p>
        </w:tc>
        <w:tc>
          <w:tcPr>
            <w:tcW w:w="990" w:type="dxa"/>
          </w:tcPr>
          <w:p w:rsidR="00E671A0" w:rsidRDefault="00E671A0" w:rsidP="00A01CDB">
            <w:pPr>
              <w:spacing w:line="276" w:lineRule="auto"/>
            </w:pPr>
            <w:r>
              <w:t>8 726,32</w:t>
            </w:r>
          </w:p>
        </w:tc>
        <w:tc>
          <w:tcPr>
            <w:tcW w:w="1024" w:type="dxa"/>
          </w:tcPr>
          <w:p w:rsidR="00E671A0" w:rsidRDefault="00E671A0" w:rsidP="00A01CDB">
            <w:pPr>
              <w:spacing w:line="276" w:lineRule="auto"/>
            </w:pPr>
            <w:r>
              <w:t>8 726,32</w:t>
            </w:r>
          </w:p>
        </w:tc>
      </w:tr>
      <w:tr w:rsidR="00E671A0" w:rsidTr="00B60295">
        <w:tc>
          <w:tcPr>
            <w:tcW w:w="1023" w:type="dxa"/>
          </w:tcPr>
          <w:p w:rsidR="00E671A0" w:rsidRDefault="00E671A0" w:rsidP="00A01CDB">
            <w:pPr>
              <w:spacing w:line="276" w:lineRule="auto"/>
            </w:pPr>
            <w:r>
              <w:t>SO 106</w:t>
            </w:r>
          </w:p>
        </w:tc>
        <w:tc>
          <w:tcPr>
            <w:tcW w:w="1023" w:type="dxa"/>
          </w:tcPr>
          <w:p w:rsidR="00E671A0" w:rsidRDefault="00A270F9" w:rsidP="00A01CDB">
            <w:pPr>
              <w:spacing w:line="276" w:lineRule="auto"/>
            </w:pPr>
            <w:r>
              <w:t>1 186,91</w:t>
            </w:r>
          </w:p>
        </w:tc>
        <w:tc>
          <w:tcPr>
            <w:tcW w:w="1023" w:type="dxa"/>
          </w:tcPr>
          <w:p w:rsidR="00E671A0" w:rsidRDefault="00E671A0" w:rsidP="00A01CDB">
            <w:pPr>
              <w:spacing w:line="276" w:lineRule="auto"/>
            </w:pPr>
            <w:r>
              <w:t>1 186,91</w:t>
            </w:r>
          </w:p>
        </w:tc>
        <w:tc>
          <w:tcPr>
            <w:tcW w:w="1008" w:type="dxa"/>
          </w:tcPr>
          <w:p w:rsidR="00E671A0" w:rsidRDefault="00E671A0" w:rsidP="00A01CDB">
            <w:pPr>
              <w:spacing w:line="276" w:lineRule="auto"/>
            </w:pPr>
            <w:r>
              <w:t>1 186,91</w:t>
            </w:r>
          </w:p>
        </w:tc>
        <w:tc>
          <w:tcPr>
            <w:tcW w:w="993" w:type="dxa"/>
          </w:tcPr>
          <w:p w:rsidR="00E671A0" w:rsidRDefault="00E671A0" w:rsidP="00A01CDB">
            <w:pPr>
              <w:spacing w:line="276" w:lineRule="auto"/>
            </w:pPr>
            <w:r>
              <w:t>1 186,91</w:t>
            </w:r>
          </w:p>
        </w:tc>
        <w:tc>
          <w:tcPr>
            <w:tcW w:w="992" w:type="dxa"/>
          </w:tcPr>
          <w:p w:rsidR="00E671A0" w:rsidRDefault="00E671A0" w:rsidP="00A01CDB">
            <w:pPr>
              <w:spacing w:line="276" w:lineRule="auto"/>
            </w:pPr>
            <w:r>
              <w:t>1 186,91</w:t>
            </w:r>
          </w:p>
        </w:tc>
        <w:tc>
          <w:tcPr>
            <w:tcW w:w="1134" w:type="dxa"/>
          </w:tcPr>
          <w:p w:rsidR="00E671A0" w:rsidRDefault="00E671A0" w:rsidP="00A01CDB">
            <w:pPr>
              <w:spacing w:line="276" w:lineRule="auto"/>
            </w:pPr>
            <w:r>
              <w:t>1 186,91</w:t>
            </w:r>
          </w:p>
        </w:tc>
        <w:tc>
          <w:tcPr>
            <w:tcW w:w="990" w:type="dxa"/>
          </w:tcPr>
          <w:p w:rsidR="00E671A0" w:rsidRDefault="00E671A0" w:rsidP="00A01CDB">
            <w:pPr>
              <w:spacing w:line="276" w:lineRule="auto"/>
            </w:pPr>
            <w:r>
              <w:t>1 186,91</w:t>
            </w:r>
          </w:p>
        </w:tc>
        <w:tc>
          <w:tcPr>
            <w:tcW w:w="1024" w:type="dxa"/>
          </w:tcPr>
          <w:p w:rsidR="00E671A0" w:rsidRDefault="00E671A0" w:rsidP="00A01CDB">
            <w:pPr>
              <w:spacing w:line="276" w:lineRule="auto"/>
            </w:pPr>
            <w:r>
              <w:t>1 186,91</w:t>
            </w:r>
          </w:p>
        </w:tc>
      </w:tr>
      <w:tr w:rsidR="00E671A0" w:rsidTr="00B60295">
        <w:trPr>
          <w:trHeight w:val="325"/>
        </w:trPr>
        <w:tc>
          <w:tcPr>
            <w:tcW w:w="1023" w:type="dxa"/>
          </w:tcPr>
          <w:p w:rsidR="00E671A0" w:rsidRDefault="00E671A0" w:rsidP="00A01CDB">
            <w:pPr>
              <w:spacing w:line="276" w:lineRule="auto"/>
            </w:pPr>
            <w:r>
              <w:t>SO 706</w:t>
            </w:r>
          </w:p>
        </w:tc>
        <w:tc>
          <w:tcPr>
            <w:tcW w:w="1023" w:type="dxa"/>
          </w:tcPr>
          <w:p w:rsidR="00E671A0" w:rsidRDefault="00A270F9" w:rsidP="00A01CDB">
            <w:pPr>
              <w:spacing w:line="276" w:lineRule="auto"/>
            </w:pPr>
            <w:r>
              <w:t>201,40</w:t>
            </w:r>
          </w:p>
        </w:tc>
        <w:tc>
          <w:tcPr>
            <w:tcW w:w="1023" w:type="dxa"/>
          </w:tcPr>
          <w:p w:rsidR="00E671A0" w:rsidRDefault="00E671A0" w:rsidP="00A01CDB">
            <w:pPr>
              <w:spacing w:line="276" w:lineRule="auto"/>
            </w:pPr>
            <w:r>
              <w:t>201,40</w:t>
            </w:r>
          </w:p>
        </w:tc>
        <w:tc>
          <w:tcPr>
            <w:tcW w:w="1008" w:type="dxa"/>
          </w:tcPr>
          <w:p w:rsidR="00E671A0" w:rsidRDefault="00E671A0" w:rsidP="00A01CDB">
            <w:pPr>
              <w:spacing w:line="276" w:lineRule="auto"/>
            </w:pPr>
            <w:r>
              <w:t>201,40</w:t>
            </w:r>
          </w:p>
        </w:tc>
        <w:tc>
          <w:tcPr>
            <w:tcW w:w="993" w:type="dxa"/>
          </w:tcPr>
          <w:p w:rsidR="00E671A0" w:rsidRDefault="00E671A0" w:rsidP="00A01CDB">
            <w:pPr>
              <w:spacing w:line="276" w:lineRule="auto"/>
            </w:pPr>
            <w:r>
              <w:t>201,40</w:t>
            </w:r>
          </w:p>
        </w:tc>
        <w:tc>
          <w:tcPr>
            <w:tcW w:w="992" w:type="dxa"/>
          </w:tcPr>
          <w:p w:rsidR="00E671A0" w:rsidRDefault="00E671A0" w:rsidP="00A01CDB">
            <w:pPr>
              <w:spacing w:line="276" w:lineRule="auto"/>
            </w:pPr>
            <w:r>
              <w:t>201,40</w:t>
            </w:r>
          </w:p>
        </w:tc>
        <w:tc>
          <w:tcPr>
            <w:tcW w:w="1134" w:type="dxa"/>
          </w:tcPr>
          <w:p w:rsidR="00E671A0" w:rsidRDefault="00E671A0" w:rsidP="00A01CDB">
            <w:pPr>
              <w:spacing w:line="276" w:lineRule="auto"/>
            </w:pPr>
            <w:r>
              <w:t>201,40</w:t>
            </w:r>
          </w:p>
        </w:tc>
        <w:tc>
          <w:tcPr>
            <w:tcW w:w="990" w:type="dxa"/>
          </w:tcPr>
          <w:p w:rsidR="00E671A0" w:rsidRDefault="00E671A0" w:rsidP="00A01CDB">
            <w:pPr>
              <w:spacing w:line="276" w:lineRule="auto"/>
            </w:pPr>
            <w:r>
              <w:t>201,40</w:t>
            </w:r>
          </w:p>
        </w:tc>
        <w:tc>
          <w:tcPr>
            <w:tcW w:w="1024" w:type="dxa"/>
          </w:tcPr>
          <w:p w:rsidR="00E671A0" w:rsidRDefault="00E671A0" w:rsidP="00A01CDB">
            <w:pPr>
              <w:spacing w:line="276" w:lineRule="auto"/>
            </w:pPr>
            <w:r>
              <w:t>201,40</w:t>
            </w:r>
          </w:p>
        </w:tc>
      </w:tr>
    </w:tbl>
    <w:p w:rsidR="00AF1D8B" w:rsidRDefault="00AF1D8B" w:rsidP="00A01CDB">
      <w:pPr>
        <w:rPr>
          <w:i/>
          <w:sz w:val="20"/>
          <w:szCs w:val="20"/>
        </w:rPr>
      </w:pPr>
      <w:r>
        <w:rPr>
          <w:i/>
          <w:sz w:val="20"/>
          <w:szCs w:val="20"/>
        </w:rPr>
        <w:t>Zdroj: interná evidencia spoločnosti</w:t>
      </w:r>
    </w:p>
    <w:p w:rsidR="00AF1D8B" w:rsidRDefault="00AF1D8B" w:rsidP="00A01CDB">
      <w:pPr>
        <w:rPr>
          <w:i/>
          <w:sz w:val="20"/>
          <w:szCs w:val="20"/>
        </w:rPr>
      </w:pPr>
    </w:p>
    <w:p w:rsidR="001F4681" w:rsidRDefault="001F4681" w:rsidP="00A01CDB">
      <w:pPr>
        <w:rPr>
          <w:szCs w:val="24"/>
        </w:rPr>
      </w:pPr>
      <w:r>
        <w:rPr>
          <w:szCs w:val="24"/>
        </w:rPr>
        <w:t>Vidíme, že rezervy sa tvoria lineárne, každý rok rovnakou časťou.</w:t>
      </w:r>
      <w:r w:rsidR="00633DA4">
        <w:rPr>
          <w:szCs w:val="24"/>
        </w:rPr>
        <w:t xml:space="preserve"> Banské</w:t>
      </w:r>
      <w:r>
        <w:rPr>
          <w:szCs w:val="24"/>
        </w:rPr>
        <w:t xml:space="preserve"> </w:t>
      </w:r>
      <w:r w:rsidR="00633DA4">
        <w:rPr>
          <w:szCs w:val="24"/>
        </w:rPr>
        <w:t>dielo SO 141 má životnosť do roku 2017, takže ku koncu roka 2016 musí byť rezerva vytvorená v plnej výške. Ostatné diela majú životnosť až do roku 2020, takže tam sa rezerva tvorí až do roku 2019. Jediná zmena životnosti sa udiala pri diele SO 141, ktoré malo pôvodne naplánovanú životnosť do roku 2015. V roku 2012 ale prišlo k prehodnoteniu a predĺženiu životnosti až do roku 201</w:t>
      </w:r>
      <w:r w:rsidR="000913AE">
        <w:rPr>
          <w:szCs w:val="24"/>
        </w:rPr>
        <w:t xml:space="preserve">7. Preto sa upravil aj výpočet, čo je vidieť na skokovej zmene tvorby v rokoch 2013-2014. </w:t>
      </w:r>
    </w:p>
    <w:p w:rsidR="00155780" w:rsidRDefault="00155780" w:rsidP="00A01CDB">
      <w:pPr>
        <w:rPr>
          <w:szCs w:val="24"/>
        </w:rPr>
      </w:pPr>
    </w:p>
    <w:p w:rsidR="000913AE" w:rsidRDefault="00B5642C" w:rsidP="00A01CDB">
      <w:pPr>
        <w:rPr>
          <w:szCs w:val="24"/>
        </w:rPr>
      </w:pPr>
      <w:r>
        <w:rPr>
          <w:szCs w:val="24"/>
        </w:rPr>
        <w:t>Príklad</w:t>
      </w:r>
      <w:r w:rsidR="00641022">
        <w:rPr>
          <w:szCs w:val="24"/>
        </w:rPr>
        <w:t>y výpočtu</w:t>
      </w:r>
      <w:r>
        <w:rPr>
          <w:szCs w:val="24"/>
        </w:rPr>
        <w:t xml:space="preserve">: </w:t>
      </w:r>
    </w:p>
    <w:p w:rsidR="00641022" w:rsidRDefault="00641022" w:rsidP="00A01CDB">
      <w:pPr>
        <w:rPr>
          <w:szCs w:val="24"/>
        </w:rPr>
      </w:pPr>
      <w:r>
        <w:rPr>
          <w:szCs w:val="24"/>
        </w:rPr>
        <w:t>Výpočet pre SO 006 = 38 622,80 : 11 = 3 511,16</w:t>
      </w:r>
    </w:p>
    <w:p w:rsidR="00B5642C" w:rsidRDefault="00B5642C" w:rsidP="00A01CDB">
      <w:pPr>
        <w:rPr>
          <w:szCs w:val="24"/>
        </w:rPr>
      </w:pPr>
      <w:r>
        <w:rPr>
          <w:szCs w:val="24"/>
        </w:rPr>
        <w:t>Výpočet pre SO 106 = 11 869,10 : 10 = 1 186,91</w:t>
      </w:r>
    </w:p>
    <w:p w:rsidR="00F13445" w:rsidRDefault="00F13445" w:rsidP="00A01CDB">
      <w:pPr>
        <w:rPr>
          <w:szCs w:val="24"/>
        </w:rPr>
      </w:pPr>
    </w:p>
    <w:p w:rsidR="00F13445" w:rsidRDefault="00F13445" w:rsidP="00A01CDB">
      <w:pPr>
        <w:pStyle w:val="Nadpis3"/>
      </w:pPr>
      <w:bookmarkStart w:id="35" w:name="_Toc447622274"/>
      <w:r>
        <w:lastRenderedPageBreak/>
        <w:t>Čerpanie a likvidácia rezerv</w:t>
      </w:r>
      <w:bookmarkEnd w:id="35"/>
    </w:p>
    <w:p w:rsidR="00F13445" w:rsidRDefault="00F13445" w:rsidP="00A01CDB"/>
    <w:p w:rsidR="00F13445" w:rsidRDefault="00F13445" w:rsidP="00A01CDB">
      <w:r>
        <w:t xml:space="preserve">Rezerva sa čerpá, až keď sa skončí životnosť banského diela a vyčerpá sa naraz v plnej sume. </w:t>
      </w:r>
      <w:r w:rsidR="00CF0876" w:rsidRPr="00E46260">
        <w:t xml:space="preserve">Skutočné náklady na likvidáciu banského diela sú daňovým výdavkom, zúčtovanie príslušnej rezervy daňovým výnosom. V rámci prevádzky môže nastať situácia, že banské dielo nebude možné z objektívnych dôvodov </w:t>
      </w:r>
      <w:r w:rsidR="000B1BC2">
        <w:t>fyzicky zlikvidovať</w:t>
      </w:r>
      <w:r w:rsidR="00CF0876" w:rsidRPr="00E46260">
        <w:t>, napríklad z dôvodu jeho zatlačenia alebo zarúbania, pričom jeho opätovné sprístupnenie a vyplienenie by znamenalo neprimerane vysoký náklad, vyšší, ako je hodnota majetku, ktorý v ňom ostáva. V tom prípade je rezerva zúčtovaná v dobe, keď takáto okolnosť nastane.</w:t>
      </w:r>
    </w:p>
    <w:p w:rsidR="00CF0876" w:rsidRDefault="00CF0876" w:rsidP="000771CE">
      <w:pPr>
        <w:pStyle w:val="Nadpis1"/>
      </w:pPr>
      <w:bookmarkStart w:id="36" w:name="_Toc447622275"/>
      <w:r>
        <w:lastRenderedPageBreak/>
        <w:t>Porovnanie HBP, a.s. s vybranými spoločnosťami v Česku</w:t>
      </w:r>
      <w:bookmarkEnd w:id="36"/>
    </w:p>
    <w:p w:rsidR="00CF0876" w:rsidRDefault="00CF0876" w:rsidP="00A01CDB"/>
    <w:p w:rsidR="00FB3E46" w:rsidRDefault="00CF0876" w:rsidP="00A01CDB">
      <w:r>
        <w:t>Systém tvorby rezerv sme sa rozhodli porovnať s niektorými podnikmi v Česku, ktorých hlavný predmet podnikania je ťažobná činnosť.</w:t>
      </w:r>
      <w:r w:rsidR="00225868">
        <w:t xml:space="preserve"> </w:t>
      </w:r>
      <w:r w:rsidR="008E7113">
        <w:t xml:space="preserve">Všetky údaje firiem sú za rok 2014, pretože novšie </w:t>
      </w:r>
      <w:r w:rsidR="000B3EE8">
        <w:t>údaje zatiaľ nie sú k dispozícii</w:t>
      </w:r>
      <w:r w:rsidR="008E7113">
        <w:t xml:space="preserve">. </w:t>
      </w:r>
      <w:r w:rsidR="00225868">
        <w:t xml:space="preserve">Podľa energetického portálu ENERGOSTAT sa ťažbou hnedého uhlia v Českej republike zaoberajú štyri ťažobné spoločnosti. Sú to Severočeské doly, a.s., </w:t>
      </w:r>
      <w:proofErr w:type="spellStart"/>
      <w:r w:rsidR="00225868">
        <w:t>Vršanská</w:t>
      </w:r>
      <w:proofErr w:type="spellEnd"/>
      <w:r w:rsidR="00225868">
        <w:t xml:space="preserve"> </w:t>
      </w:r>
      <w:proofErr w:type="spellStart"/>
      <w:r w:rsidR="00225868">
        <w:t>uhelná</w:t>
      </w:r>
      <w:proofErr w:type="spellEnd"/>
      <w:r w:rsidR="00225868">
        <w:t xml:space="preserve">, a.s.,  Severní energetická, a.s. a Sokolovská </w:t>
      </w:r>
      <w:proofErr w:type="spellStart"/>
      <w:r w:rsidR="00225868">
        <w:t>uhelná</w:t>
      </w:r>
      <w:proofErr w:type="spellEnd"/>
      <w:r w:rsidR="00225868">
        <w:t xml:space="preserve"> a.s.</w:t>
      </w:r>
      <w:r w:rsidR="0088569E">
        <w:t xml:space="preserve"> Ložiská hnedého uhlia sú lokalizované v severozápadnej časti  republiky. Vzhľadom na charakter ložísk tu prebieha ťažba povrchovo v lomoch. </w:t>
      </w:r>
    </w:p>
    <w:p w:rsidR="00155780" w:rsidRDefault="00155780" w:rsidP="00A01CDB"/>
    <w:p w:rsidR="00CC014C" w:rsidRPr="00CC014C" w:rsidRDefault="00F82895" w:rsidP="00A01CDB">
      <w:pPr>
        <w:spacing w:line="276" w:lineRule="auto"/>
        <w:rPr>
          <w:b/>
        </w:rPr>
      </w:pPr>
      <w:r>
        <w:rPr>
          <w:b/>
        </w:rPr>
        <w:t>Obrázok č.4: Povrchová ťažba uhlia</w:t>
      </w:r>
    </w:p>
    <w:p w:rsidR="00CC014C" w:rsidRDefault="00CC014C" w:rsidP="00A01CDB">
      <w:r w:rsidRPr="00CC014C">
        <w:rPr>
          <w:noProof/>
          <w:lang w:eastAsia="sk-SK"/>
        </w:rPr>
        <w:drawing>
          <wp:inline distT="0" distB="0" distL="0" distR="0">
            <wp:extent cx="4314825" cy="2332481"/>
            <wp:effectExtent l="19050" t="0" r="9525" b="0"/>
            <wp:docPr id="4" name="Obrázok 2" descr="tezba-d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zba-dul.jpg"/>
                    <pic:cNvPicPr/>
                  </pic:nvPicPr>
                  <pic:blipFill>
                    <a:blip r:embed="rId14" cstate="print"/>
                    <a:stretch>
                      <a:fillRect/>
                    </a:stretch>
                  </pic:blipFill>
                  <pic:spPr>
                    <a:xfrm>
                      <a:off x="0" y="0"/>
                      <a:ext cx="4316830" cy="2333565"/>
                    </a:xfrm>
                    <a:prstGeom prst="rect">
                      <a:avLst/>
                    </a:prstGeom>
                  </pic:spPr>
                </pic:pic>
              </a:graphicData>
            </a:graphic>
          </wp:inline>
        </w:drawing>
      </w:r>
    </w:p>
    <w:p w:rsidR="00CC014C" w:rsidRDefault="00CC014C" w:rsidP="00A01CDB">
      <w:pPr>
        <w:rPr>
          <w:i/>
          <w:sz w:val="20"/>
          <w:szCs w:val="20"/>
        </w:rPr>
      </w:pPr>
      <w:r w:rsidRPr="00CC014C">
        <w:rPr>
          <w:i/>
          <w:sz w:val="20"/>
          <w:szCs w:val="20"/>
        </w:rPr>
        <w:t>Zdroj: http://www.sev-en.cz/cz/uhli/tezba.html</w:t>
      </w:r>
    </w:p>
    <w:p w:rsidR="00155780" w:rsidRDefault="00155780" w:rsidP="00A01CDB"/>
    <w:p w:rsidR="00CF0876" w:rsidRDefault="00225868" w:rsidP="00A01CDB">
      <w:r>
        <w:t xml:space="preserve">Ťažbou čierneho uhlia sa </w:t>
      </w:r>
      <w:r w:rsidR="001418B1">
        <w:t xml:space="preserve">v Česku </w:t>
      </w:r>
      <w:r>
        <w:t xml:space="preserve">zaoberá len jediná spoločnosť, Ostravsko-karvinské doly, a.s. </w:t>
      </w:r>
      <w:r w:rsidR="0088569E">
        <w:t xml:space="preserve">Ložiská sa nachádzajú v severovýchodnej časti republiky. Podnik ťaží uhlie hlbinným spôsobom s využitím šácht a štôlní, ťažba prebieha v niekoľkých lokalitách. Pôvodný zámer bol porovnať tento podnik s HBP, a.s., no vzhľadom na momentálnu nepriaznivú finančnú situáciu OKD, a.s. sme sa rozhodli tento podnik </w:t>
      </w:r>
      <w:r w:rsidR="001418B1">
        <w:t xml:space="preserve">z porovnania vynechať. </w:t>
      </w:r>
      <w:r w:rsidR="00CF0876">
        <w:t>Pre tento účel sme si vyb</w:t>
      </w:r>
      <w:r>
        <w:t xml:space="preserve">rali </w:t>
      </w:r>
      <w:r w:rsidR="00CF0876">
        <w:t>Severočeské doly, a.s., ktoré sú najväčším producentom h</w:t>
      </w:r>
      <w:r>
        <w:t>nedého uhlia v Českej republike</w:t>
      </w:r>
      <w:r w:rsidR="0001063B">
        <w:t xml:space="preserve"> a spoločnosť Severní energetická, a.s., ktorá sa objemom ťažby najviac približuje HBP, a.s.</w:t>
      </w:r>
      <w:r>
        <w:t xml:space="preserve"> </w:t>
      </w:r>
      <w:r w:rsidR="00F46FF4">
        <w:t>hoci</w:t>
      </w:r>
      <w:r w:rsidR="00CF0876">
        <w:t xml:space="preserve"> sa v istej </w:t>
      </w:r>
      <w:r w:rsidR="0001063B">
        <w:t xml:space="preserve">miere od seba </w:t>
      </w:r>
      <w:r w:rsidR="00CF0876">
        <w:t xml:space="preserve">odlišujú. </w:t>
      </w:r>
    </w:p>
    <w:p w:rsidR="00155780" w:rsidRDefault="00155780" w:rsidP="00A01CDB"/>
    <w:p w:rsidR="00C76878" w:rsidRDefault="00C76878" w:rsidP="00A01CDB"/>
    <w:p w:rsidR="00CC014C" w:rsidRDefault="000B1BC2" w:rsidP="00A01CDB">
      <w:r>
        <w:lastRenderedPageBreak/>
        <w:t>Budeme porovnávať</w:t>
      </w:r>
      <w:r w:rsidR="00CC014C">
        <w:t>, ako sa dané podniky líšia základným imaním, v akom pomere je objem rezerv podnikov k objemu aktív a pasív, objem ťažby a dosiahnutý zisk v roku 2014.</w:t>
      </w:r>
      <w:r w:rsidR="00155780">
        <w:t xml:space="preserve"> </w:t>
      </w:r>
      <w:r w:rsidR="00CC014C">
        <w:t>HBP, a.s. má základné imanie vo výške 99 651 880 €, objem pasív bol 122 291 026 €. Ku koncu roka 2014 mal podnik vytvorené rezervy v celkovej výške 9 657 420 €. Objem ťažby za ten istý rok bol 1 952 000 ton uhlia, výsledok hospodárenia po zdanení dosiahol sumu</w:t>
      </w:r>
      <w:r w:rsidR="00CC014C" w:rsidRPr="00703B3A">
        <w:t xml:space="preserve"> </w:t>
      </w:r>
      <w:r w:rsidR="00CC014C">
        <w:t>964 366 €</w:t>
      </w:r>
      <w:r w:rsidR="00CC014C">
        <w:rPr>
          <w:rStyle w:val="Odkaznapoznmkupodiarou"/>
        </w:rPr>
        <w:footnoteReference w:id="31"/>
      </w:r>
      <w:r w:rsidR="00CC014C">
        <w:t>.</w:t>
      </w:r>
    </w:p>
    <w:p w:rsidR="00FB3E46" w:rsidRDefault="00FB3E46" w:rsidP="00A01CDB"/>
    <w:p w:rsidR="00CC014C" w:rsidRDefault="000B1BC2" w:rsidP="00A01CDB">
      <w:pPr>
        <w:pStyle w:val="Nadpis3"/>
      </w:pPr>
      <w:bookmarkStart w:id="37" w:name="_Toc447622276"/>
      <w:r>
        <w:t>Porovnanie s podnikom</w:t>
      </w:r>
      <w:r w:rsidR="00CC014C">
        <w:t xml:space="preserve"> Severočeskými doly, a.s.</w:t>
      </w:r>
      <w:bookmarkEnd w:id="37"/>
    </w:p>
    <w:p w:rsidR="00CC014C" w:rsidRDefault="00CC014C" w:rsidP="00A01CDB"/>
    <w:p w:rsidR="00CC014C" w:rsidRDefault="00CC014C" w:rsidP="00A01CDB">
      <w:r>
        <w:t>Severočeské doly, a.s. ťažia hnedé uhlie, avšak ťažba tu prebieha povrchovo. Objemom ťažby HBP</w:t>
      </w:r>
      <w:r w:rsidR="000B1BC2">
        <w:t>, a.s. prekonávajú takmer desať</w:t>
      </w:r>
      <w:r>
        <w:t>násobne, kvôli, už spomínanému, inému systému ťažby. V roku 2014 sa tu vyťažilo 21 573 000 ton uhlia. Základný kapitál je 336,33</w:t>
      </w:r>
      <w:r w:rsidR="000B3EE8">
        <w:rPr>
          <w:rStyle w:val="Odkaznapoznmkupodiarou"/>
        </w:rPr>
        <w:footnoteReference w:id="32"/>
      </w:r>
      <w:r>
        <w:t xml:space="preserve"> mil. € a počet zamestnancov priamo zamestnaných v bani je 2 899. Objem pasív bol 1 224,59 mil. €. Podniku sa v poslednom období mimoriadne dobre darí, podľa výročnej správy za rok 2014 vykázal zisk po zdanení vyše 70 mil. € ( v roku 2013 to bolo približne 108,4 mil. € a v roku 2012 približne 94,35 mil. €)</w:t>
      </w:r>
      <w:r>
        <w:rPr>
          <w:rStyle w:val="Odkaznapoznmkupodiarou"/>
        </w:rPr>
        <w:footnoteReference w:id="33"/>
      </w:r>
      <w:r>
        <w:t xml:space="preserve">. </w:t>
      </w:r>
    </w:p>
    <w:p w:rsidR="00155780" w:rsidRDefault="00155780" w:rsidP="00A01CDB"/>
    <w:p w:rsidR="00155780" w:rsidRDefault="00CC014C" w:rsidP="00A01CDB">
      <w:r>
        <w:t>Rezervy sa tu tvoria v omnoho väčšej výške, kvôli už spomínanému spôsobu ťažby, ktorý má omnoho vä</w:t>
      </w:r>
      <w:r w:rsidR="00043FA3">
        <w:t>čší dopad na životné prostredie</w:t>
      </w:r>
      <w:r>
        <w:t xml:space="preserve"> ako podzemná ťažba. Povrchová ťažba výrazne narúša nielen estetiku terénu, ale svojím rozsahom aj život ľudí v blízkych obciach. Keď vezmeme do úvahy, že Severočeské doly, a.s. produkujú približne desaťkrát toľko hnedého uhlia ako HBP, a.s., je zrejmé, že aj ich tvorené rezervy budú mnohonásobne väčšie. </w:t>
      </w:r>
    </w:p>
    <w:p w:rsidR="00155780" w:rsidRDefault="00155780" w:rsidP="00A01CDB"/>
    <w:p w:rsidR="00CC014C" w:rsidRDefault="00CC014C" w:rsidP="00A01CDB">
      <w:pPr>
        <w:rPr>
          <w:noProof/>
          <w:lang w:eastAsia="sk-SK"/>
        </w:rPr>
      </w:pPr>
      <w:r>
        <w:t>Pre rok 2014 mal podnik vytvorené rezervy vo výške 249,96 mil. €.</w:t>
      </w:r>
      <w:r w:rsidR="00C76878">
        <w:t xml:space="preserve"> </w:t>
      </w:r>
      <w:r>
        <w:t>Podnik vo výročnej správe uvádza, že pre výpočet súčasnej hodnoty rezerv používa reálnu úrokovú mieru a infláciu pre daný rok.</w:t>
      </w:r>
      <w:r w:rsidRPr="00FF1E43">
        <w:rPr>
          <w:noProof/>
          <w:lang w:eastAsia="sk-SK"/>
        </w:rPr>
        <w:t xml:space="preserve"> </w:t>
      </w:r>
    </w:p>
    <w:p w:rsidR="00155780" w:rsidRDefault="00155780" w:rsidP="00A01CDB"/>
    <w:p w:rsidR="00155780" w:rsidRDefault="00CC014C" w:rsidP="00A01CDB">
      <w:r>
        <w:t>V nasledujúcom grafe sme porovnali, akú časť z celkového objemu pasív tvoria rezervy v jednotlivých podnikoch.</w:t>
      </w:r>
    </w:p>
    <w:p w:rsidR="00155780" w:rsidRDefault="00155780" w:rsidP="00A01CDB"/>
    <w:p w:rsidR="00CC014C" w:rsidRPr="00952D76" w:rsidRDefault="00CC014C" w:rsidP="00A01CDB">
      <w:pPr>
        <w:spacing w:line="276" w:lineRule="auto"/>
        <w:rPr>
          <w:b/>
        </w:rPr>
      </w:pPr>
      <w:r w:rsidRPr="00952D76">
        <w:rPr>
          <w:b/>
        </w:rPr>
        <w:lastRenderedPageBreak/>
        <w:t>Graf č.1</w:t>
      </w:r>
      <w:r w:rsidR="00A31FA5">
        <w:rPr>
          <w:b/>
        </w:rPr>
        <w:t>: Severočeské doly, a.s.</w:t>
      </w:r>
      <w:r w:rsidR="00A31FA5">
        <w:rPr>
          <w:b/>
        </w:rPr>
        <w:tab/>
      </w:r>
      <w:r w:rsidR="00A31FA5">
        <w:rPr>
          <w:b/>
        </w:rPr>
        <w:tab/>
        <w:t xml:space="preserve">    </w:t>
      </w:r>
      <w:r w:rsidR="00F82895">
        <w:rPr>
          <w:b/>
        </w:rPr>
        <w:t>Graf č.2</w:t>
      </w:r>
      <w:r w:rsidR="00A31FA5">
        <w:rPr>
          <w:b/>
        </w:rPr>
        <w:t>: HBP, a.s.</w:t>
      </w:r>
    </w:p>
    <w:p w:rsidR="00CC014C" w:rsidRDefault="00CC014C" w:rsidP="00A01CDB">
      <w:r>
        <w:rPr>
          <w:noProof/>
          <w:lang w:eastAsia="sk-SK"/>
        </w:rPr>
        <w:drawing>
          <wp:inline distT="0" distB="0" distL="0" distR="0">
            <wp:extent cx="2270234" cy="1292772"/>
            <wp:effectExtent l="0" t="0" r="0" b="0"/>
            <wp:docPr id="8" name="Graf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noProof/>
          <w:lang w:eastAsia="sk-SK"/>
        </w:rPr>
        <w:drawing>
          <wp:inline distT="0" distB="0" distL="0" distR="0">
            <wp:extent cx="1986455" cy="1466193"/>
            <wp:effectExtent l="0" t="0" r="0" b="0"/>
            <wp:docPr id="9" name="Graf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C014C" w:rsidRDefault="00CC014C" w:rsidP="00A16AD9">
      <w:pPr>
        <w:rPr>
          <w:i/>
          <w:sz w:val="20"/>
          <w:szCs w:val="20"/>
        </w:rPr>
      </w:pPr>
      <w:r w:rsidRPr="00952D76">
        <w:rPr>
          <w:i/>
          <w:sz w:val="20"/>
          <w:szCs w:val="20"/>
        </w:rPr>
        <w:t>Zdroj: vlastné spracovanie podľa údajov firiem</w:t>
      </w:r>
    </w:p>
    <w:p w:rsidR="00CC014C" w:rsidRDefault="00CC014C" w:rsidP="00A01CDB">
      <w:pPr>
        <w:rPr>
          <w:szCs w:val="24"/>
        </w:rPr>
      </w:pPr>
      <w:r w:rsidRPr="000F77A5">
        <w:rPr>
          <w:szCs w:val="24"/>
        </w:rPr>
        <w:t xml:space="preserve">Vidíme, </w:t>
      </w:r>
      <w:r>
        <w:rPr>
          <w:szCs w:val="24"/>
        </w:rPr>
        <w:t>že v porovnaní s celkovým objemom pasív tvoria rezervy podniku Severočeské doly väčšiu časť ( 20,41%) ako je to v prípade HBP, a.s. (7,9%) , možno to prisúdiť inému spôsobu ťažby a jeho väčšiemu dopadu na životné prostredie.</w:t>
      </w:r>
    </w:p>
    <w:p w:rsidR="00CC014C" w:rsidRDefault="00CC014C" w:rsidP="00A01CDB">
      <w:pPr>
        <w:rPr>
          <w:szCs w:val="24"/>
        </w:rPr>
      </w:pPr>
    </w:p>
    <w:p w:rsidR="00CC014C" w:rsidRDefault="000B1BC2" w:rsidP="00A01CDB">
      <w:pPr>
        <w:pStyle w:val="Nadpis2"/>
      </w:pPr>
      <w:bookmarkStart w:id="38" w:name="_Toc447622277"/>
      <w:r>
        <w:t>Porovnanie s podnikom</w:t>
      </w:r>
      <w:r w:rsidR="00CC014C">
        <w:t xml:space="preserve"> Severní energetická, a.s.</w:t>
      </w:r>
      <w:bookmarkEnd w:id="38"/>
    </w:p>
    <w:p w:rsidR="00CC014C" w:rsidRDefault="00CC014C" w:rsidP="00A01CDB"/>
    <w:p w:rsidR="00155780" w:rsidRDefault="00C93B43" w:rsidP="00A01CDB">
      <w:r>
        <w:t>Ako druhú spoločnosť pre porovnanie sme vybrali podnik Severní energetická, a.s. Spoločnosť je lokalizovaná</w:t>
      </w:r>
      <w:r w:rsidR="00CE5856">
        <w:t xml:space="preserve"> v Ústeckom kraji (rovnako ako Severočeské doly, a.s.) so sídlom v Moste. Objemom ťažby sa podnik viac približuje HBP, a.s., hoci počet pracovníkov je tu približne o dve tretiny nižší.</w:t>
      </w:r>
      <w:r w:rsidR="00155780">
        <w:t xml:space="preserve"> </w:t>
      </w:r>
      <w:r w:rsidR="00CE5856">
        <w:t>Ťažba tu prebieha povrchovým spôsobom, spoločnosť v súčasnosti spravuje jeden lom</w:t>
      </w:r>
      <w:r w:rsidR="00751072">
        <w:rPr>
          <w:rStyle w:val="Odkaznapoznmkupodiarou"/>
        </w:rPr>
        <w:footnoteReference w:id="34"/>
      </w:r>
      <w:r w:rsidR="00CE5856">
        <w:t>.</w:t>
      </w:r>
      <w:r w:rsidR="00155780">
        <w:t xml:space="preserve"> </w:t>
      </w:r>
    </w:p>
    <w:p w:rsidR="00155780" w:rsidRDefault="00155780" w:rsidP="00A01CDB"/>
    <w:p w:rsidR="00155780" w:rsidRPr="00155780" w:rsidRDefault="00CC014C" w:rsidP="00A01CDB">
      <w:r>
        <w:t>V roku 2014 podnik vyťažil 3 316 000 ton uhlia a zamestnával 946 pracovníkov</w:t>
      </w:r>
      <w:r>
        <w:rPr>
          <w:rStyle w:val="Odkaznapoznmkupodiarou"/>
        </w:rPr>
        <w:footnoteReference w:id="35"/>
      </w:r>
      <w:r>
        <w:t>. Základný kapitál je 18,52 mil</w:t>
      </w:r>
      <w:r w:rsidR="00043FA3">
        <w:t>.</w:t>
      </w:r>
      <w:r>
        <w:t xml:space="preserve"> €, objem pasív 528,53 mil. €, podnik v danom roku dosiahol  zisk 42,217 mil. €. Objem rezerv pre rok 2014 bol 137,82 mil. €, čo znamená, že Severní energetická, a.s. má spomedzi spomenutých firiem najväčší objem rezerv v pomere s objemom pasív, až 26%.</w:t>
      </w:r>
    </w:p>
    <w:p w:rsidR="00CC014C" w:rsidRDefault="00A31FA5" w:rsidP="00A01CDB">
      <w:pPr>
        <w:rPr>
          <w:b/>
        </w:rPr>
      </w:pPr>
      <w:r>
        <w:rPr>
          <w:b/>
        </w:rPr>
        <w:t>Graf č.3: Severní energetická, a.s.</w:t>
      </w:r>
    </w:p>
    <w:p w:rsidR="00CC014C" w:rsidRDefault="00CC014C" w:rsidP="00A01CDB">
      <w:pPr>
        <w:rPr>
          <w:b/>
        </w:rPr>
      </w:pPr>
      <w:r>
        <w:rPr>
          <w:b/>
          <w:noProof/>
          <w:lang w:eastAsia="sk-SK"/>
        </w:rPr>
        <w:drawing>
          <wp:inline distT="0" distB="0" distL="0" distR="0">
            <wp:extent cx="2264735" cy="1350335"/>
            <wp:effectExtent l="0" t="0" r="0" b="0"/>
            <wp:docPr id="10"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D6FC7" w:rsidRPr="000D012E" w:rsidRDefault="00CC014C" w:rsidP="00A01CDB">
      <w:pPr>
        <w:rPr>
          <w:i/>
          <w:sz w:val="20"/>
          <w:szCs w:val="20"/>
        </w:rPr>
      </w:pPr>
      <w:r w:rsidRPr="000D012E">
        <w:rPr>
          <w:i/>
          <w:sz w:val="20"/>
          <w:szCs w:val="20"/>
        </w:rPr>
        <w:t xml:space="preserve">Zdroj: </w:t>
      </w:r>
      <w:r>
        <w:rPr>
          <w:i/>
          <w:sz w:val="20"/>
          <w:szCs w:val="20"/>
        </w:rPr>
        <w:t>vl</w:t>
      </w:r>
      <w:r w:rsidR="00D40B55">
        <w:rPr>
          <w:i/>
          <w:sz w:val="20"/>
          <w:szCs w:val="20"/>
        </w:rPr>
        <w:t>astné spracovanie podľa údajov</w:t>
      </w:r>
      <w:r>
        <w:rPr>
          <w:i/>
          <w:sz w:val="20"/>
          <w:szCs w:val="20"/>
        </w:rPr>
        <w:t xml:space="preserve"> spoločnosti</w:t>
      </w:r>
    </w:p>
    <w:p w:rsidR="00CC014C" w:rsidRDefault="00123F56" w:rsidP="00A01CDB">
      <w:pPr>
        <w:pStyle w:val="Nadpis2"/>
      </w:pPr>
      <w:bookmarkStart w:id="39" w:name="_Toc447622278"/>
      <w:r>
        <w:lastRenderedPageBreak/>
        <w:t>Zhrnutie a n</w:t>
      </w:r>
      <w:r w:rsidR="00CC014C">
        <w:t>ávrhy na zlepšenie</w:t>
      </w:r>
      <w:bookmarkEnd w:id="39"/>
    </w:p>
    <w:p w:rsidR="00595DC5" w:rsidRDefault="00595DC5" w:rsidP="00595DC5">
      <w:r>
        <w:t xml:space="preserve">V tejto podkapitole sme stručne zhrnuli spôsob tvorby rezerv v podniku a pokúsili sme sa zamyslieť nad tým, ako by podnik tvorbu rezerv mohol ešte vylepšiť, prípadne zjednodušiť alebo spresniť. Hoci má nepochybne podnik vlastný spôsob dôkladne prepracovaný a overený rokmi praxe, pri hlbšom zamyslení nám môže napadnúť pár myšlienok alebo návrhov, ako by sa dal súčasný systém vylepšiť. </w:t>
      </w:r>
    </w:p>
    <w:p w:rsidR="00595DC5" w:rsidRPr="00595DC5" w:rsidRDefault="00595DC5" w:rsidP="00595DC5"/>
    <w:p w:rsidR="00595DC5" w:rsidRDefault="00595DC5" w:rsidP="00595DC5">
      <w:pPr>
        <w:pStyle w:val="Nadpis3"/>
      </w:pPr>
      <w:r>
        <w:t>Zhrnutie</w:t>
      </w:r>
    </w:p>
    <w:p w:rsidR="00595DC5" w:rsidRDefault="00296F85" w:rsidP="00595DC5">
      <w:r>
        <w:t xml:space="preserve">Hornonitrianske bane Prievidza, a.s. sú hnedouhoľnou spoločnosťou, ktorá ťaží hnedé uhlie hlbinným spôsobom, pomocou šácht a štôlní. Proces ťažby so sebou prináša rôzne negatívne následky, s ktorými sa spoločnosť musí vyrovnať. Pre tento účel tvorí rôzne druhy rezerv, ktoré vytvára od roku 1990.  </w:t>
      </w:r>
    </w:p>
    <w:p w:rsidR="00595DC5" w:rsidRDefault="00595DC5" w:rsidP="00595DC5">
      <w:r>
        <w:t>HBP, a.s. vytvára a účtuje rezervy podľa platnej slovenskej legislatívy a súčasne si zaznamenáva aj tvorbu podľa IFRS.</w:t>
      </w:r>
      <w:r w:rsidR="00296F85">
        <w:t xml:space="preserve"> </w:t>
      </w:r>
      <w:r>
        <w:t>Povinnosť tvoriť rezervy podľa IFRS podnik nemá, pretože zatiaľ nespĺňa všetky podmienky, ktoré by mu túto povinnosť zakladali, koná tak dobrovoľne.</w:t>
      </w:r>
      <w:r w:rsidR="002648B5">
        <w:t xml:space="preserve"> Rezervy podľa IFRS sa prepočítavajú na súčasnú hodnotu podľa priemerných akceptovaných výnosov štátnych dlhopisov s podobnou dĺžkou splatnosti ako </w:t>
      </w:r>
      <w:r w:rsidR="00296F85">
        <w:t xml:space="preserve">má </w:t>
      </w:r>
      <w:r w:rsidR="002648B5">
        <w:t>daná rezerva. Výpočet podľa slovenskej úpravy spočíva vo vydelení celkovej výšky rezervy počtom rokov, počas ktorých sa rezerva bude tvoriť. Následne sa zaznamenáva skutočná tvorba, použitie, prípadne zmena doby životnosti alebo zmena výšky potrebnej rezervy.</w:t>
      </w:r>
    </w:p>
    <w:p w:rsidR="00595DC5" w:rsidRDefault="00595DC5" w:rsidP="00595DC5"/>
    <w:p w:rsidR="00595DC5" w:rsidRDefault="002648B5" w:rsidP="00595DC5">
      <w:r>
        <w:t xml:space="preserve">V práci sme sa zamerali na dva druhy rezerv: rezervy na banské škody a rezervy na likvidáciu banských diel. </w:t>
      </w:r>
      <w:r w:rsidR="00595DC5">
        <w:t>Rezervy na banské škody delíme do piatich kategórií: škody, výkupy, asanácie, projekty a rekultivácie. Posledné dve menované patria medzi daňovo uznateľné a ich tvorbu si môže podnik odčítať zo základu dane. Rezervy na škody, výkupy a asanácie nie sú daňovým nákladom, preto ich podnik vytvára iba účtovne.</w:t>
      </w:r>
      <w:r>
        <w:t xml:space="preserve"> </w:t>
      </w:r>
      <w:r w:rsidR="00296F85">
        <w:t xml:space="preserve">Rezervy na banské škody sa čerpajú priebežne, počas trvania ťažby daného ťažobného poľa. </w:t>
      </w:r>
    </w:p>
    <w:p w:rsidR="002648B5" w:rsidRDefault="002648B5" w:rsidP="00595DC5">
      <w:r>
        <w:t>Rezervy na likvidáciu banských diel sa tvoria podobne, s tým rozdielom, že ich čerpanie prebehne až po skončení používania daného banského diela. Tieto rezervy sú daňovo uznateľné.</w:t>
      </w:r>
    </w:p>
    <w:p w:rsidR="002648B5" w:rsidRDefault="002648B5" w:rsidP="00595DC5"/>
    <w:p w:rsidR="002648B5" w:rsidRPr="00595DC5" w:rsidRDefault="002648B5" w:rsidP="002648B5">
      <w:pPr>
        <w:pStyle w:val="Nadpis3"/>
      </w:pPr>
      <w:r>
        <w:lastRenderedPageBreak/>
        <w:t>Návrhy na zlepšenie</w:t>
      </w:r>
    </w:p>
    <w:p w:rsidR="00E56496" w:rsidRDefault="00E56496" w:rsidP="00A01CDB">
      <w:pPr>
        <w:pStyle w:val="Nadpis3"/>
      </w:pPr>
      <w:bookmarkStart w:id="40" w:name="_Toc447622279"/>
      <w:r>
        <w:t>Presný prepočet nákladov</w:t>
      </w:r>
      <w:bookmarkEnd w:id="40"/>
    </w:p>
    <w:p w:rsidR="00E56496" w:rsidRPr="00E56496" w:rsidRDefault="00E56496" w:rsidP="00A01CDB"/>
    <w:p w:rsidR="00E56496" w:rsidRDefault="00CC014C" w:rsidP="00A01CDB">
      <w:r>
        <w:t xml:space="preserve">Či už vezmeme ako príklad likvidáciu banských diel alebo odstraňovanie banských škôd, podnik vždy vytvára rezervu na celú operáciu ako celok. Rezervy sú tvorené napríklad na odstránenie konkrétnej škody alebo zlikvidovanie </w:t>
      </w:r>
      <w:r w:rsidR="0096713D">
        <w:t>daného</w:t>
      </w:r>
      <w:r>
        <w:t xml:space="preserve"> banského diela, ale v rámci tvorby rezervy s</w:t>
      </w:r>
      <w:r w:rsidR="0096713D">
        <w:t>a nerozlišujú</w:t>
      </w:r>
      <w:r>
        <w:t xml:space="preserve"> priamo </w:t>
      </w:r>
      <w:r w:rsidR="0096713D">
        <w:t>jednotlivé</w:t>
      </w:r>
      <w:r>
        <w:t xml:space="preserve"> činnosti, ktoré k odstráneniu škody prispejú. </w:t>
      </w:r>
    </w:p>
    <w:p w:rsidR="00155780" w:rsidRDefault="00155780" w:rsidP="00A01CDB"/>
    <w:p w:rsidR="00CC014C" w:rsidRDefault="00CC014C" w:rsidP="00A01CDB">
      <w:r>
        <w:t>Podnik by mohol samostatne sledovať  prácu zamestnancov tak, že by presne vedel, kedy sa ktorý zamestnanec priamo podieľa na odstraňovaní škody, čo by pomohlo k úplne presnému vyčísleniu mzdových nákladov. Ďalej by podnik mohol sledovať konkrétnu cenu požičania alebo práce mechanizmov (nákladné autá, rýpadlá, bagre, kompresory a podobne) - každý z nich má obvykle hodinovú sadzbu, za ktorú sa stroj prenajíma a podľa nej by sa dali vypočítať presné náklady na konkrétnu stavebnú operáciu. Takto by sa dalo postupovať u všetkých zložiek, ktoré sa na odstránení banskej škody podieľajú a vyčíslenie jej náhrady by bolo oveľa presnejšie. Odstránil by sa tým problém podhodnotených alebo nadhodnotených rezerv, pretože by každá rezerva bola vyčíslená presne.</w:t>
      </w:r>
    </w:p>
    <w:p w:rsidR="002648B5" w:rsidRDefault="002648B5" w:rsidP="00A01CDB"/>
    <w:p w:rsidR="00CC014C" w:rsidRDefault="00CC014C" w:rsidP="00A01CDB">
      <w:r>
        <w:t xml:space="preserve">Uvedomujeme </w:t>
      </w:r>
      <w:r w:rsidR="000B1BC2">
        <w:t>si aj nevýhody tohto návrhu, a</w:t>
      </w:r>
      <w:r>
        <w:t xml:space="preserve"> to hlavne vysoké administratívne náklady na precízne zaznamenávanie práce jednotlivcov a mechanizmov. Tento systém by mohol postupne viesť k menej pozornej evidencii, čo by malo opäť za následok nepresný odhad výšky rezervy. </w:t>
      </w:r>
    </w:p>
    <w:p w:rsidR="002648B5" w:rsidRDefault="002648B5" w:rsidP="00A01CDB"/>
    <w:p w:rsidR="00E56496" w:rsidRDefault="00E56496" w:rsidP="00A01CDB">
      <w:pPr>
        <w:pStyle w:val="Nadpis3"/>
      </w:pPr>
      <w:bookmarkStart w:id="41" w:name="_Toc447622280"/>
      <w:r>
        <w:t xml:space="preserve">Zrušenie alebo obmedzenie </w:t>
      </w:r>
      <w:proofErr w:type="spellStart"/>
      <w:r>
        <w:t>odúročovania</w:t>
      </w:r>
      <w:bookmarkEnd w:id="41"/>
      <w:proofErr w:type="spellEnd"/>
    </w:p>
    <w:p w:rsidR="00E56496" w:rsidRPr="00E56496" w:rsidRDefault="00E56496" w:rsidP="00A01CDB"/>
    <w:p w:rsidR="0096713D" w:rsidRDefault="0096713D" w:rsidP="00A01CDB">
      <w:r>
        <w:t xml:space="preserve">Pri prepočte na súčasnú </w:t>
      </w:r>
      <w:r w:rsidR="00043FA3">
        <w:t xml:space="preserve">hodnotu </w:t>
      </w:r>
      <w:r>
        <w:t xml:space="preserve">podľa IFRS sme videli, že podnik vyberá úročenie podľa štátnych dlhopisov, ktoré majú splatnosť čo najbližšie k dátumu reálnej potreby prostriedkov. Keď si ale pozrieme sadzby jednotlivých emisií, vidíme, že ich úroková miera je veľmi nízka, blíži sa takmer k nule, dokonca sa začínajú vydávať aj dlhopisy so záporným úrokom. </w:t>
      </w:r>
    </w:p>
    <w:p w:rsidR="00155780" w:rsidRDefault="00155780" w:rsidP="00A01CDB"/>
    <w:p w:rsidR="00E56496" w:rsidRDefault="00E56496" w:rsidP="00A01CDB">
      <w:r>
        <w:t xml:space="preserve">Pred niekoľkými rokmi, keď boli úrokové sadzby mnohokrát vyššie, malo </w:t>
      </w:r>
      <w:proofErr w:type="spellStart"/>
      <w:r>
        <w:t>odúročovanie</w:t>
      </w:r>
      <w:proofErr w:type="spellEnd"/>
      <w:r>
        <w:t xml:space="preserve"> určite význam, pretože rozdiel medzi súčasnou a budúcou hodnotou bol výrazný. V súčasnej </w:t>
      </w:r>
      <w:r>
        <w:lastRenderedPageBreak/>
        <w:t>dobe ale dochádza k pravidelnému znižovaniu úrokových sadzieb</w:t>
      </w:r>
      <w:r w:rsidR="00123F56">
        <w:rPr>
          <w:rStyle w:val="Odkaznapoznmkupodiarou"/>
        </w:rPr>
        <w:footnoteReference w:id="36"/>
      </w:r>
      <w:r>
        <w:t xml:space="preserve">, čo má za následok, že rozdiel medzi súčasnou a budúcou hodnotu je výraznejší len pri vyšších objemoch rezerv a pri </w:t>
      </w:r>
      <w:r w:rsidR="00B425C6">
        <w:t>ich dlhej živ</w:t>
      </w:r>
      <w:r>
        <w:t>otnosti.</w:t>
      </w:r>
      <w:r w:rsidR="002648B5">
        <w:t xml:space="preserve"> </w:t>
      </w:r>
      <w:r>
        <w:t xml:space="preserve">Je preto možné zamyslieť sa nad tým, či je </w:t>
      </w:r>
      <w:proofErr w:type="spellStart"/>
      <w:r>
        <w:t>odúročovanie</w:t>
      </w:r>
      <w:proofErr w:type="spellEnd"/>
      <w:r>
        <w:t xml:space="preserve"> vôbec potrebné, resp. by mohol podnik stanoviť určitú hranicu, od ktorej bude rezervy </w:t>
      </w:r>
      <w:proofErr w:type="spellStart"/>
      <w:r>
        <w:t>odúročovať</w:t>
      </w:r>
      <w:proofErr w:type="spellEnd"/>
      <w:r>
        <w:t xml:space="preserve">. Pri menších hodnotách tvorených rezerv, navyše takých, ktoré sa blížia ku koncu svojej životnosti, predstavuje </w:t>
      </w:r>
      <w:proofErr w:type="spellStart"/>
      <w:r>
        <w:t>odúročenie</w:t>
      </w:r>
      <w:proofErr w:type="spellEnd"/>
      <w:r>
        <w:t xml:space="preserve"> často čiastku len v jednotkách alebo desiatkach Eur.</w:t>
      </w:r>
    </w:p>
    <w:p w:rsidR="00123F56" w:rsidRDefault="00123F56" w:rsidP="00A01CDB"/>
    <w:p w:rsidR="00131CE1" w:rsidRDefault="00B425C6" w:rsidP="00A01CDB">
      <w:r>
        <w:t xml:space="preserve">V prípade, keby nastalo, naopak, zvýšenie úrokových sadzieb, by mohol podnik rezervy s blížiacim sa koncom životnosti </w:t>
      </w:r>
      <w:proofErr w:type="spellStart"/>
      <w:r>
        <w:t>odúročovať</w:t>
      </w:r>
      <w:proofErr w:type="spellEnd"/>
      <w:r>
        <w:t xml:space="preserve"> mesačne. Zmysel by to malo hlavne pri rezervách, ktoré majú do konca životnosti menej ako rok a podľa súčasného systému sa už tým pádom na súčasnú hodnotu neprepočítavajú. Keby sa tieto rezervy prepočítavali na súčasnú hodnotu podľa jednotlivých mesiacov, umožnilo by to takto určiť aj presnú hodnotu rezerv, ktorým končí životnosť o niekoľko mesiacov.</w:t>
      </w:r>
    </w:p>
    <w:p w:rsidR="00131CE1" w:rsidRDefault="00131CE1" w:rsidP="00A01CDB">
      <w:r>
        <w:br w:type="page"/>
      </w:r>
    </w:p>
    <w:p w:rsidR="00B425C6" w:rsidRPr="00B425C6" w:rsidRDefault="00B425C6" w:rsidP="00A01CDB"/>
    <w:p w:rsidR="00CC014C" w:rsidRDefault="00CC014C" w:rsidP="00A01CDB"/>
    <w:p w:rsidR="000F77A5" w:rsidRPr="00CC014C" w:rsidRDefault="000F77A5" w:rsidP="00A01CDB">
      <w:pPr>
        <w:rPr>
          <w:i/>
          <w:sz w:val="20"/>
          <w:szCs w:val="20"/>
        </w:rPr>
      </w:pPr>
      <w:r w:rsidRPr="000F77A5">
        <w:rPr>
          <w:szCs w:val="24"/>
        </w:rPr>
        <w:br w:type="page"/>
      </w:r>
    </w:p>
    <w:p w:rsidR="00CA6464" w:rsidRDefault="00CC7133" w:rsidP="00A01CDB">
      <w:pPr>
        <w:pStyle w:val="Nadpis1"/>
        <w:numPr>
          <w:ilvl w:val="0"/>
          <w:numId w:val="0"/>
        </w:numPr>
        <w:ind w:left="431"/>
      </w:pPr>
      <w:r>
        <w:lastRenderedPageBreak/>
        <w:tab/>
      </w:r>
      <w:bookmarkStart w:id="42" w:name="_Toc447622281"/>
      <w:r>
        <w:t>Záver</w:t>
      </w:r>
      <w:bookmarkEnd w:id="42"/>
    </w:p>
    <w:p w:rsidR="00E74AD2" w:rsidRPr="00E74AD2" w:rsidRDefault="00E74AD2" w:rsidP="00A01CDB"/>
    <w:p w:rsidR="001B1050" w:rsidRDefault="008E3408" w:rsidP="00A01CDB">
      <w:r>
        <w:t>Každý priemyselný podnik zanecháva po svojej činnosti stopy, ktoré sa v rôznej miere prejavujú na okolitom prostredí. Či už sa jedná o opustené, staré budovy, nevyužívaný areál, znečistenie vodného toku alebo ovzdušia</w:t>
      </w:r>
      <w:r w:rsidR="001B1050">
        <w:t xml:space="preserve">, alebo vznik skládok, </w:t>
      </w:r>
      <w:proofErr w:type="spellStart"/>
      <w:r w:rsidR="001B1050">
        <w:t>odkalísk</w:t>
      </w:r>
      <w:proofErr w:type="spellEnd"/>
      <w:r w:rsidR="001B1050">
        <w:t xml:space="preserve">, poklesnutie územia alebo kontamináciu pôdy, daný podnik by mal byť pripravený uvedené problémy riešiť a pre tieto účely si pripravovať rezervy. </w:t>
      </w:r>
    </w:p>
    <w:p w:rsidR="00931B24" w:rsidRDefault="00931B24" w:rsidP="00A01CDB"/>
    <w:p w:rsidR="001C5AD5" w:rsidRDefault="001B1050" w:rsidP="00A01CDB">
      <w:r>
        <w:t xml:space="preserve">Rezervy tvoria dôležitú súčasť pasív podniku. Sú definované ako záväzky s neistým časovým vymedzením alebo výškou, pričom ale poznáme účel ich použitia. Rezervy dopĺňajú majiteľom a ostatným subjektom informácie o stave  podniku a o budúcej potrebe výdajov na určitý účel. Význam majú aj v situácii, keď sa rokuje o jeho predaji a potenciálny kupec má tak lepšiu možnosť utvoriť si obraz o záväzkoch podniku. V prípade absencie tvorby rezerv v podniku </w:t>
      </w:r>
      <w:r w:rsidR="00AC561E">
        <w:t xml:space="preserve">sa objavuje možnosť, že podnik nevenuje dostatočnú pozornosť niektorým vedľajším efektom svojej činnosti. </w:t>
      </w:r>
    </w:p>
    <w:p w:rsidR="00931B24" w:rsidRDefault="00931B24" w:rsidP="00A01CDB"/>
    <w:p w:rsidR="00AC561E" w:rsidRDefault="00AC561E" w:rsidP="00A01CDB">
      <w:r>
        <w:t>Podniky tvoria počas svojej činnosti rezervy na rôzne účely, my sme sa v tejto bakalárskej práci zamerali na tvorbu rezerv na banské škody a tvorbu rezerv na likvidáciu banských diel.</w:t>
      </w:r>
    </w:p>
    <w:p w:rsidR="00CC7133" w:rsidRDefault="00E74AD2" w:rsidP="00A01CDB">
      <w:r>
        <w:t>Prvým cieľom</w:t>
      </w:r>
      <w:r w:rsidR="00AC561E">
        <w:t xml:space="preserve"> </w:t>
      </w:r>
      <w:r w:rsidR="00CE5856">
        <w:t xml:space="preserve">bakalárskej práce bolo zhrnutie teoretických poznatkov o účtovných a daňových aspektoch rezerv </w:t>
      </w:r>
      <w:r>
        <w:t>v Slovenskej republike s následným porovnaním s prá</w:t>
      </w:r>
      <w:r w:rsidR="00AD5E03">
        <w:t>vnou úpravou v Českej republike a vymedzením podľa Medzinárodných štandardov (IFRS).</w:t>
      </w:r>
      <w:r>
        <w:t xml:space="preserve"> Druhým cieľom bolo analyzovanie postupov tvorby rezerv vo vybranom podniku a následný návrh opatrení, ktoré by mohli podniku zefektívniť alebo zjednodušiť súčasné postupy. </w:t>
      </w:r>
    </w:p>
    <w:p w:rsidR="00931B24" w:rsidRDefault="00931B24" w:rsidP="00A01CDB"/>
    <w:p w:rsidR="00E74AD2" w:rsidRPr="00CC7133" w:rsidRDefault="001C5AD5" w:rsidP="00A01CDB">
      <w:r>
        <w:t xml:space="preserve">V prvej </w:t>
      </w:r>
      <w:r w:rsidR="00931B24">
        <w:t xml:space="preserve">a druhej </w:t>
      </w:r>
      <w:r>
        <w:t>kapitole sme sa venovali teoretickej časti</w:t>
      </w:r>
      <w:r w:rsidR="008E3408">
        <w:t>:</w:t>
      </w:r>
      <w:r>
        <w:t xml:space="preserve"> </w:t>
      </w:r>
      <w:r w:rsidR="008E3408">
        <w:t>vymedzeniu rezerv podľa legislatívy v jednotlivých štátoch, ich klasifikácii, spôsobu účtovania</w:t>
      </w:r>
      <w:r w:rsidR="001861AE">
        <w:t>, oceňovania</w:t>
      </w:r>
      <w:r w:rsidR="008E3408">
        <w:t xml:space="preserve"> a ďalšej problematike. </w:t>
      </w:r>
      <w:r w:rsidR="00931B24">
        <w:t>Tretia a štvrtá kapitola boli praktické</w:t>
      </w:r>
      <w:r w:rsidR="001861AE">
        <w:t>, analyzovali sme tvorbu rezerv v</w:t>
      </w:r>
      <w:r w:rsidR="00AD5E03">
        <w:t> </w:t>
      </w:r>
      <w:r w:rsidR="001861AE">
        <w:t>podniku</w:t>
      </w:r>
      <w:r w:rsidR="00AD5E03">
        <w:t xml:space="preserve">, </w:t>
      </w:r>
      <w:r w:rsidR="001861AE">
        <w:t>ktor</w:t>
      </w:r>
      <w:r w:rsidR="00AD5E03">
        <w:t>ý</w:t>
      </w:r>
      <w:r w:rsidR="001861AE">
        <w:t xml:space="preserve"> sa zaoberá ťažbou hnedého uhlia</w:t>
      </w:r>
      <w:r w:rsidR="00D60A38">
        <w:t xml:space="preserve"> a </w:t>
      </w:r>
      <w:r w:rsidR="00AD5E03">
        <w:t>ukázali sme si použiti</w:t>
      </w:r>
      <w:r w:rsidR="00D60A38">
        <w:t>e rôznych druhov rezerv v praxi, pričom sme sa zamerali na rezervy na banské škody a rezervy na likvidáciu banských diel.</w:t>
      </w:r>
      <w:r w:rsidR="00AD5E03">
        <w:t xml:space="preserve"> </w:t>
      </w:r>
      <w:r w:rsidR="00D60A38">
        <w:t>Následne sme navrhli niekoľko myšlienok, ktoré by podniku pomohli zjednodušiť a zefektívniť tvorbu rezerv.</w:t>
      </w:r>
    </w:p>
    <w:p w:rsidR="005E7821" w:rsidRDefault="005E7821" w:rsidP="00A01CDB"/>
    <w:p w:rsidR="00154127" w:rsidRDefault="00154127" w:rsidP="00A01CDB"/>
    <w:p w:rsidR="00F535C1" w:rsidRDefault="00F535C1" w:rsidP="00A01CDB"/>
    <w:p w:rsidR="00F535C1" w:rsidRDefault="00F535C1" w:rsidP="00A01CDB"/>
    <w:p w:rsidR="00F535C1" w:rsidRDefault="00F535C1" w:rsidP="00A01CDB"/>
    <w:p w:rsidR="00F535C1" w:rsidRDefault="00F535C1" w:rsidP="00A01CDB"/>
    <w:p w:rsidR="00F535C1" w:rsidRDefault="00F535C1" w:rsidP="00A01CDB"/>
    <w:p w:rsidR="00F535C1" w:rsidRDefault="00F535C1" w:rsidP="00A01CDB">
      <w:pPr>
        <w:spacing w:after="200" w:line="276" w:lineRule="auto"/>
      </w:pPr>
      <w:r>
        <w:br w:type="page"/>
      </w:r>
    </w:p>
    <w:p w:rsidR="00131CE1" w:rsidRDefault="00131CE1" w:rsidP="00A01CDB">
      <w:pPr>
        <w:pStyle w:val="Nadpis1"/>
        <w:numPr>
          <w:ilvl w:val="0"/>
          <w:numId w:val="0"/>
        </w:numPr>
        <w:ind w:left="431"/>
      </w:pPr>
    </w:p>
    <w:p w:rsidR="00131CE1" w:rsidRDefault="00131CE1" w:rsidP="00A01CDB">
      <w:pPr>
        <w:rPr>
          <w:rFonts w:eastAsiaTheme="majorEastAsia" w:cstheme="majorBidi"/>
          <w:color w:val="000000" w:themeColor="text1"/>
          <w:sz w:val="32"/>
          <w:szCs w:val="28"/>
        </w:rPr>
      </w:pPr>
      <w:r>
        <w:br w:type="page"/>
      </w:r>
    </w:p>
    <w:p w:rsidR="00411006" w:rsidRDefault="00411006" w:rsidP="00A01CDB">
      <w:pPr>
        <w:pStyle w:val="Nadpis1"/>
        <w:numPr>
          <w:ilvl w:val="0"/>
          <w:numId w:val="0"/>
        </w:numPr>
        <w:ind w:left="431"/>
      </w:pPr>
      <w:bookmarkStart w:id="43" w:name="_Toc447622282"/>
      <w:r>
        <w:lastRenderedPageBreak/>
        <w:t>Zoznam použitých zdrojov</w:t>
      </w:r>
      <w:bookmarkEnd w:id="43"/>
    </w:p>
    <w:p w:rsidR="00F535C1" w:rsidRDefault="00F535C1" w:rsidP="00A01CDB">
      <w:pPr>
        <w:rPr>
          <w:szCs w:val="24"/>
        </w:rPr>
      </w:pPr>
      <w:r w:rsidRPr="002A582A">
        <w:rPr>
          <w:szCs w:val="24"/>
        </w:rPr>
        <w:t xml:space="preserve">Legislatíva: </w:t>
      </w:r>
    </w:p>
    <w:p w:rsidR="00F535C1" w:rsidRPr="002A582A" w:rsidRDefault="00F535C1" w:rsidP="00A01CDB">
      <w:pPr>
        <w:rPr>
          <w:szCs w:val="24"/>
        </w:rPr>
      </w:pPr>
      <w:r>
        <w:rPr>
          <w:szCs w:val="24"/>
          <w:lang w:val="en-US"/>
        </w:rPr>
        <w:t>[1]</w:t>
      </w:r>
      <w:r>
        <w:rPr>
          <w:szCs w:val="24"/>
        </w:rPr>
        <w:t xml:space="preserve"> Zákon č 44/1988 Zb. z. o ochrane a využití nerastného bohatstva </w:t>
      </w:r>
      <w:proofErr w:type="gramStart"/>
      <w:r>
        <w:rPr>
          <w:szCs w:val="24"/>
        </w:rPr>
        <w:t>( banský</w:t>
      </w:r>
      <w:proofErr w:type="gramEnd"/>
      <w:r>
        <w:rPr>
          <w:szCs w:val="24"/>
        </w:rPr>
        <w:t xml:space="preserve"> zákon)</w:t>
      </w:r>
    </w:p>
    <w:p w:rsidR="00F535C1" w:rsidRDefault="00F535C1" w:rsidP="00A01CDB">
      <w:pPr>
        <w:rPr>
          <w:szCs w:val="24"/>
        </w:rPr>
      </w:pPr>
      <w:r>
        <w:rPr>
          <w:szCs w:val="24"/>
        </w:rPr>
        <w:t xml:space="preserve">[2] </w:t>
      </w:r>
      <w:r w:rsidRPr="002A582A">
        <w:rPr>
          <w:szCs w:val="24"/>
        </w:rPr>
        <w:t>Zá</w:t>
      </w:r>
      <w:r>
        <w:rPr>
          <w:szCs w:val="24"/>
        </w:rPr>
        <w:t>kon č. 431/2002 Zb. z. o účtovníctve</w:t>
      </w:r>
    </w:p>
    <w:p w:rsidR="00F535C1" w:rsidRDefault="00F535C1" w:rsidP="00A01CDB">
      <w:pPr>
        <w:rPr>
          <w:szCs w:val="24"/>
        </w:rPr>
      </w:pPr>
      <w:r>
        <w:rPr>
          <w:szCs w:val="24"/>
        </w:rPr>
        <w:t>[3] Zákon č. 595/2003 Zb. z. o dani z príjmu</w:t>
      </w:r>
    </w:p>
    <w:p w:rsidR="00F535C1" w:rsidRDefault="00F535C1" w:rsidP="00A01CDB">
      <w:pPr>
        <w:rPr>
          <w:szCs w:val="24"/>
        </w:rPr>
      </w:pPr>
      <w:r>
        <w:rPr>
          <w:szCs w:val="24"/>
        </w:rPr>
        <w:t xml:space="preserve">[4] Zákon č. 586/1992 </w:t>
      </w:r>
      <w:proofErr w:type="spellStart"/>
      <w:r>
        <w:rPr>
          <w:szCs w:val="24"/>
        </w:rPr>
        <w:t>Sb</w:t>
      </w:r>
      <w:proofErr w:type="spellEnd"/>
      <w:r>
        <w:rPr>
          <w:szCs w:val="24"/>
        </w:rPr>
        <w:t>. o </w:t>
      </w:r>
      <w:proofErr w:type="spellStart"/>
      <w:r>
        <w:rPr>
          <w:szCs w:val="24"/>
        </w:rPr>
        <w:t>daních</w:t>
      </w:r>
      <w:proofErr w:type="spellEnd"/>
      <w:r>
        <w:rPr>
          <w:szCs w:val="24"/>
        </w:rPr>
        <w:t xml:space="preserve"> z </w:t>
      </w:r>
      <w:proofErr w:type="spellStart"/>
      <w:r>
        <w:rPr>
          <w:szCs w:val="24"/>
        </w:rPr>
        <w:t>příjmu</w:t>
      </w:r>
      <w:proofErr w:type="spellEnd"/>
    </w:p>
    <w:p w:rsidR="00F535C1" w:rsidRDefault="00F535C1" w:rsidP="00A01CDB">
      <w:pPr>
        <w:rPr>
          <w:szCs w:val="24"/>
        </w:rPr>
      </w:pPr>
      <w:r>
        <w:rPr>
          <w:szCs w:val="24"/>
        </w:rPr>
        <w:t xml:space="preserve">[5] Zákon č. 593/1991 </w:t>
      </w:r>
      <w:proofErr w:type="spellStart"/>
      <w:r>
        <w:rPr>
          <w:szCs w:val="24"/>
        </w:rPr>
        <w:t>Sb</w:t>
      </w:r>
      <w:proofErr w:type="spellEnd"/>
      <w:r>
        <w:rPr>
          <w:szCs w:val="24"/>
        </w:rPr>
        <w:t>. o </w:t>
      </w:r>
      <w:proofErr w:type="spellStart"/>
      <w:r>
        <w:rPr>
          <w:szCs w:val="24"/>
        </w:rPr>
        <w:t>účetnictví</w:t>
      </w:r>
      <w:proofErr w:type="spellEnd"/>
    </w:p>
    <w:p w:rsidR="00F535C1" w:rsidRDefault="008B5EA8" w:rsidP="00A01CDB">
      <w:pPr>
        <w:rPr>
          <w:szCs w:val="24"/>
        </w:rPr>
      </w:pPr>
      <w:r>
        <w:rPr>
          <w:szCs w:val="24"/>
        </w:rPr>
        <w:t>[6] Medzinárodné</w:t>
      </w:r>
      <w:r w:rsidR="00795BD0">
        <w:rPr>
          <w:szCs w:val="24"/>
        </w:rPr>
        <w:t xml:space="preserve"> štandard</w:t>
      </w:r>
      <w:r>
        <w:rPr>
          <w:szCs w:val="24"/>
        </w:rPr>
        <w:t>y</w:t>
      </w:r>
      <w:r w:rsidR="00F535C1">
        <w:rPr>
          <w:szCs w:val="24"/>
        </w:rPr>
        <w:t xml:space="preserve"> finančného výkazníctva </w:t>
      </w:r>
    </w:p>
    <w:p w:rsidR="00F535C1" w:rsidRDefault="00F535C1" w:rsidP="00A01CDB">
      <w:pPr>
        <w:rPr>
          <w:szCs w:val="24"/>
        </w:rPr>
      </w:pPr>
    </w:p>
    <w:p w:rsidR="00F535C1" w:rsidRDefault="00F535C1" w:rsidP="00A01CDB">
      <w:pPr>
        <w:rPr>
          <w:szCs w:val="24"/>
        </w:rPr>
      </w:pPr>
      <w:r>
        <w:rPr>
          <w:szCs w:val="24"/>
        </w:rPr>
        <w:t xml:space="preserve">Odborná literatúra: </w:t>
      </w:r>
    </w:p>
    <w:p w:rsidR="00F535C1" w:rsidRDefault="00F535C1" w:rsidP="00A01CDB">
      <w:pPr>
        <w:pStyle w:val="Textpoznmkypodiarou"/>
        <w:spacing w:line="360" w:lineRule="auto"/>
        <w:rPr>
          <w:sz w:val="24"/>
          <w:szCs w:val="24"/>
        </w:rPr>
      </w:pPr>
      <w:r>
        <w:rPr>
          <w:sz w:val="24"/>
          <w:szCs w:val="24"/>
        </w:rPr>
        <w:t xml:space="preserve">[7] </w:t>
      </w:r>
      <w:r w:rsidRPr="00A819FA">
        <w:rPr>
          <w:sz w:val="24"/>
          <w:szCs w:val="24"/>
        </w:rPr>
        <w:t xml:space="preserve">DVOŘÁKOVÁ D., </w:t>
      </w:r>
      <w:r w:rsidRPr="00A819FA">
        <w:rPr>
          <w:i/>
          <w:sz w:val="24"/>
          <w:szCs w:val="24"/>
        </w:rPr>
        <w:t xml:space="preserve">Finanční </w:t>
      </w:r>
      <w:proofErr w:type="spellStart"/>
      <w:r w:rsidRPr="00A819FA">
        <w:rPr>
          <w:i/>
          <w:sz w:val="24"/>
          <w:szCs w:val="24"/>
        </w:rPr>
        <w:t>účetnictví</w:t>
      </w:r>
      <w:proofErr w:type="spellEnd"/>
      <w:r w:rsidRPr="00A819FA">
        <w:rPr>
          <w:i/>
          <w:sz w:val="24"/>
          <w:szCs w:val="24"/>
        </w:rPr>
        <w:t xml:space="preserve"> a </w:t>
      </w:r>
      <w:proofErr w:type="spellStart"/>
      <w:r w:rsidRPr="00A819FA">
        <w:rPr>
          <w:i/>
          <w:sz w:val="24"/>
          <w:szCs w:val="24"/>
        </w:rPr>
        <w:t>výkaznictví</w:t>
      </w:r>
      <w:proofErr w:type="spellEnd"/>
      <w:r w:rsidRPr="00A819FA">
        <w:rPr>
          <w:i/>
          <w:sz w:val="24"/>
          <w:szCs w:val="24"/>
        </w:rPr>
        <w:t xml:space="preserve"> </w:t>
      </w:r>
      <w:proofErr w:type="spellStart"/>
      <w:r w:rsidRPr="00A819FA">
        <w:rPr>
          <w:i/>
          <w:sz w:val="24"/>
          <w:szCs w:val="24"/>
        </w:rPr>
        <w:t>podle</w:t>
      </w:r>
      <w:proofErr w:type="spellEnd"/>
      <w:r w:rsidRPr="00A819FA">
        <w:rPr>
          <w:i/>
          <w:sz w:val="24"/>
          <w:szCs w:val="24"/>
        </w:rPr>
        <w:t xml:space="preserve"> </w:t>
      </w:r>
      <w:proofErr w:type="spellStart"/>
      <w:r w:rsidRPr="00A819FA">
        <w:rPr>
          <w:i/>
          <w:sz w:val="24"/>
          <w:szCs w:val="24"/>
        </w:rPr>
        <w:t>mezinárodních</w:t>
      </w:r>
      <w:proofErr w:type="spellEnd"/>
      <w:r w:rsidRPr="00A819FA">
        <w:rPr>
          <w:i/>
          <w:sz w:val="24"/>
          <w:szCs w:val="24"/>
        </w:rPr>
        <w:t xml:space="preserve"> </w:t>
      </w:r>
      <w:proofErr w:type="spellStart"/>
      <w:r w:rsidRPr="00A819FA">
        <w:rPr>
          <w:i/>
          <w:sz w:val="24"/>
          <w:szCs w:val="24"/>
        </w:rPr>
        <w:t>standardů</w:t>
      </w:r>
      <w:proofErr w:type="spellEnd"/>
      <w:r w:rsidRPr="00A819FA">
        <w:rPr>
          <w:i/>
          <w:sz w:val="24"/>
          <w:szCs w:val="24"/>
        </w:rPr>
        <w:t xml:space="preserve"> IFRS. </w:t>
      </w:r>
      <w:r w:rsidRPr="00A819FA">
        <w:rPr>
          <w:sz w:val="24"/>
          <w:szCs w:val="24"/>
        </w:rPr>
        <w:t xml:space="preserve">4. </w:t>
      </w:r>
      <w:proofErr w:type="spellStart"/>
      <w:r w:rsidRPr="00A819FA">
        <w:rPr>
          <w:sz w:val="24"/>
          <w:szCs w:val="24"/>
        </w:rPr>
        <w:t>aktualiz</w:t>
      </w:r>
      <w:proofErr w:type="spellEnd"/>
      <w:r w:rsidRPr="00A819FA">
        <w:rPr>
          <w:sz w:val="24"/>
          <w:szCs w:val="24"/>
        </w:rPr>
        <w:t xml:space="preserve">. vydanie. Brno: </w:t>
      </w:r>
      <w:proofErr w:type="spellStart"/>
      <w:r w:rsidRPr="00A819FA">
        <w:rPr>
          <w:sz w:val="24"/>
          <w:szCs w:val="24"/>
        </w:rPr>
        <w:t>BizBooks</w:t>
      </w:r>
      <w:proofErr w:type="spellEnd"/>
      <w:r w:rsidRPr="00A819FA">
        <w:rPr>
          <w:sz w:val="24"/>
          <w:szCs w:val="24"/>
        </w:rPr>
        <w:t>, 2014. ISBN 327 s. ISBN 978-80-265-0149-7</w:t>
      </w:r>
    </w:p>
    <w:p w:rsidR="00AE18F0" w:rsidRPr="00AE18F0" w:rsidRDefault="00AE18F0" w:rsidP="00A01CDB">
      <w:pPr>
        <w:pStyle w:val="Textpoznmkypodiarou"/>
        <w:spacing w:line="360" w:lineRule="auto"/>
        <w:rPr>
          <w:sz w:val="24"/>
          <w:szCs w:val="24"/>
        </w:rPr>
      </w:pPr>
      <w:r>
        <w:rPr>
          <w:sz w:val="24"/>
          <w:szCs w:val="24"/>
          <w:lang w:val="en-US"/>
        </w:rPr>
        <w:t xml:space="preserve">[8] </w:t>
      </w:r>
      <w:r>
        <w:rPr>
          <w:sz w:val="24"/>
          <w:szCs w:val="24"/>
        </w:rPr>
        <w:t xml:space="preserve">HBP, A.S. </w:t>
      </w:r>
      <w:r w:rsidRPr="00AE18F0">
        <w:rPr>
          <w:i/>
          <w:sz w:val="24"/>
          <w:szCs w:val="24"/>
        </w:rPr>
        <w:t>Výročná správa, 2014.</w:t>
      </w:r>
    </w:p>
    <w:p w:rsidR="00F535C1" w:rsidRPr="00A819FA" w:rsidRDefault="00795BD0" w:rsidP="00A01CDB">
      <w:pPr>
        <w:rPr>
          <w:szCs w:val="24"/>
        </w:rPr>
      </w:pPr>
      <w:r>
        <w:t>[9</w:t>
      </w:r>
      <w:r w:rsidR="00F535C1">
        <w:t xml:space="preserve">] </w:t>
      </w:r>
      <w:r w:rsidR="00F535C1" w:rsidRPr="007F6B7A">
        <w:t>HORNONITRIANSKE BANE PRIEVIDZA, A.S.:</w:t>
      </w:r>
      <w:r w:rsidR="00F535C1">
        <w:rPr>
          <w:i/>
        </w:rPr>
        <w:t xml:space="preserve"> </w:t>
      </w:r>
      <w:r w:rsidR="00F535C1" w:rsidRPr="007F6B7A">
        <w:rPr>
          <w:i/>
        </w:rPr>
        <w:t>SMERNICA č. 10/2014 Podnikové postupy tvorby a použitia rezerv, ostatných záväzkov a vykázania podmienených záväzkov</w:t>
      </w:r>
      <w:r w:rsidR="00F535C1">
        <w:t>.</w:t>
      </w:r>
    </w:p>
    <w:p w:rsidR="00F535C1" w:rsidRPr="00E41118" w:rsidRDefault="00795BD0" w:rsidP="00A01CDB">
      <w:pPr>
        <w:rPr>
          <w:rFonts w:cs="Times New Roman"/>
          <w:color w:val="000000"/>
          <w:szCs w:val="24"/>
          <w:shd w:val="clear" w:color="auto" w:fill="FFFDFE"/>
        </w:rPr>
      </w:pPr>
      <w:r w:rsidRPr="00890195">
        <w:rPr>
          <w:rFonts w:cs="Times New Roman"/>
          <w:color w:val="000000"/>
          <w:szCs w:val="24"/>
          <w:shd w:val="clear" w:color="auto" w:fill="FFFDFE"/>
        </w:rPr>
        <w:t>[10</w:t>
      </w:r>
      <w:r w:rsidR="00F535C1" w:rsidRPr="00890195">
        <w:rPr>
          <w:rFonts w:cs="Times New Roman"/>
          <w:color w:val="000000"/>
          <w:szCs w:val="24"/>
          <w:shd w:val="clear" w:color="auto" w:fill="FFFDFE"/>
        </w:rPr>
        <w:t>] KRIŠTOFÍK, P.,</w:t>
      </w:r>
      <w:r w:rsidR="00F535C1">
        <w:rPr>
          <w:rFonts w:cs="Times New Roman"/>
          <w:color w:val="000000"/>
          <w:szCs w:val="24"/>
          <w:shd w:val="clear" w:color="auto" w:fill="FFFDFE"/>
        </w:rPr>
        <w:t xml:space="preserve"> </w:t>
      </w:r>
      <w:r w:rsidR="00F535C1" w:rsidRPr="005F6EB9">
        <w:rPr>
          <w:rFonts w:cs="Times New Roman"/>
          <w:color w:val="000000"/>
          <w:szCs w:val="24"/>
          <w:shd w:val="clear" w:color="auto" w:fill="FFFDFE"/>
        </w:rPr>
        <w:t>SAXUNOVÁ</w:t>
      </w:r>
      <w:r w:rsidR="00C440FD">
        <w:rPr>
          <w:rFonts w:cs="Times New Roman"/>
          <w:color w:val="000000"/>
          <w:szCs w:val="24"/>
          <w:shd w:val="clear" w:color="auto" w:fill="FFFDFE"/>
        </w:rPr>
        <w:t xml:space="preserve"> D. a</w:t>
      </w:r>
      <w:r w:rsidR="00F535C1">
        <w:rPr>
          <w:rFonts w:cs="Times New Roman"/>
          <w:color w:val="000000"/>
          <w:szCs w:val="24"/>
          <w:shd w:val="clear" w:color="auto" w:fill="FFFDFE"/>
        </w:rPr>
        <w:t xml:space="preserve"> </w:t>
      </w:r>
      <w:r w:rsidR="00F535C1" w:rsidRPr="005F6EB9">
        <w:rPr>
          <w:rFonts w:cs="Times New Roman"/>
          <w:color w:val="000000"/>
          <w:szCs w:val="24"/>
          <w:shd w:val="clear" w:color="auto" w:fill="FFFDFE"/>
        </w:rPr>
        <w:t>ŠURANOVÁ</w:t>
      </w:r>
      <w:r w:rsidR="00F535C1">
        <w:rPr>
          <w:rFonts w:cs="Times New Roman"/>
          <w:color w:val="000000"/>
          <w:szCs w:val="24"/>
          <w:shd w:val="clear" w:color="auto" w:fill="FFFDFE"/>
        </w:rPr>
        <w:t xml:space="preserve"> Z.:</w:t>
      </w:r>
      <w:r w:rsidR="00F535C1" w:rsidRPr="005F6EB9">
        <w:rPr>
          <w:rStyle w:val="apple-converted-space"/>
          <w:rFonts w:cs="Times New Roman"/>
          <w:color w:val="000000"/>
          <w:szCs w:val="24"/>
          <w:shd w:val="clear" w:color="auto" w:fill="FFFDFE"/>
        </w:rPr>
        <w:t> </w:t>
      </w:r>
      <w:r w:rsidR="00F535C1" w:rsidRPr="005F6EB9">
        <w:rPr>
          <w:rFonts w:cs="Times New Roman"/>
          <w:i/>
          <w:iCs/>
          <w:color w:val="000000"/>
          <w:szCs w:val="24"/>
          <w:shd w:val="clear" w:color="auto" w:fill="FFFDFE"/>
        </w:rPr>
        <w:t>Finančné účtovníctvo a riadenie s aplikáciou IFRS.</w:t>
      </w:r>
      <w:r w:rsidR="00F535C1" w:rsidRPr="005F6EB9">
        <w:rPr>
          <w:rStyle w:val="apple-converted-space"/>
          <w:rFonts w:cs="Times New Roman"/>
          <w:color w:val="000000"/>
          <w:szCs w:val="24"/>
          <w:shd w:val="clear" w:color="auto" w:fill="FFFDFE"/>
        </w:rPr>
        <w:t> </w:t>
      </w:r>
      <w:r w:rsidR="00F535C1" w:rsidRPr="005F6EB9">
        <w:rPr>
          <w:rFonts w:cs="Times New Roman"/>
          <w:color w:val="000000"/>
          <w:szCs w:val="24"/>
          <w:shd w:val="clear" w:color="auto" w:fill="FFFDFE"/>
        </w:rPr>
        <w:t xml:space="preserve">2. </w:t>
      </w:r>
      <w:proofErr w:type="spellStart"/>
      <w:r w:rsidR="00F535C1" w:rsidRPr="005F6EB9">
        <w:rPr>
          <w:rFonts w:cs="Times New Roman"/>
          <w:color w:val="000000"/>
          <w:szCs w:val="24"/>
          <w:shd w:val="clear" w:color="auto" w:fill="FFFDFE"/>
        </w:rPr>
        <w:t>preprac</w:t>
      </w:r>
      <w:proofErr w:type="spellEnd"/>
      <w:r w:rsidR="00F535C1" w:rsidRPr="005F6EB9">
        <w:rPr>
          <w:rFonts w:cs="Times New Roman"/>
          <w:color w:val="000000"/>
          <w:szCs w:val="24"/>
          <w:shd w:val="clear" w:color="auto" w:fill="FFFDFE"/>
        </w:rPr>
        <w:t xml:space="preserve">. a </w:t>
      </w:r>
      <w:proofErr w:type="spellStart"/>
      <w:r w:rsidR="00F535C1" w:rsidRPr="005F6EB9">
        <w:rPr>
          <w:rFonts w:cs="Times New Roman"/>
          <w:color w:val="000000"/>
          <w:szCs w:val="24"/>
          <w:shd w:val="clear" w:color="auto" w:fill="FFFDFE"/>
        </w:rPr>
        <w:t>dopl</w:t>
      </w:r>
      <w:proofErr w:type="spellEnd"/>
      <w:r w:rsidR="00F535C1" w:rsidRPr="005F6EB9">
        <w:rPr>
          <w:rFonts w:cs="Times New Roman"/>
          <w:color w:val="000000"/>
          <w:szCs w:val="24"/>
          <w:shd w:val="clear" w:color="auto" w:fill="FFFDFE"/>
        </w:rPr>
        <w:t xml:space="preserve">. vyd. Bratislava: </w:t>
      </w:r>
      <w:proofErr w:type="spellStart"/>
      <w:r w:rsidR="00F535C1" w:rsidRPr="005F6EB9">
        <w:rPr>
          <w:rFonts w:cs="Times New Roman"/>
          <w:color w:val="000000"/>
          <w:szCs w:val="24"/>
          <w:shd w:val="clear" w:color="auto" w:fill="FFFDFE"/>
        </w:rPr>
        <w:t>Iura</w:t>
      </w:r>
      <w:proofErr w:type="spellEnd"/>
      <w:r w:rsidR="00F535C1" w:rsidRPr="005F6EB9">
        <w:rPr>
          <w:rFonts w:cs="Times New Roman"/>
          <w:color w:val="000000"/>
          <w:szCs w:val="24"/>
          <w:shd w:val="clear" w:color="auto" w:fill="FFFDFE"/>
        </w:rPr>
        <w:t xml:space="preserve"> </w:t>
      </w:r>
      <w:proofErr w:type="spellStart"/>
      <w:r w:rsidR="00F535C1" w:rsidRPr="005F6EB9">
        <w:rPr>
          <w:rFonts w:cs="Times New Roman"/>
          <w:color w:val="000000"/>
          <w:szCs w:val="24"/>
          <w:shd w:val="clear" w:color="auto" w:fill="FFFDFE"/>
        </w:rPr>
        <w:t>Edition</w:t>
      </w:r>
      <w:proofErr w:type="spellEnd"/>
      <w:r w:rsidR="00F535C1" w:rsidRPr="005F6EB9">
        <w:rPr>
          <w:rFonts w:cs="Times New Roman"/>
          <w:color w:val="000000"/>
          <w:szCs w:val="24"/>
          <w:shd w:val="clear" w:color="auto" w:fill="FFFDFE"/>
        </w:rPr>
        <w:t>, 2011. 803 s. ISBN 978-80-8078-396-9</w:t>
      </w:r>
    </w:p>
    <w:p w:rsidR="00F535C1" w:rsidRDefault="008B5EA8" w:rsidP="00A01CDB">
      <w:pPr>
        <w:pStyle w:val="Textpoznmkypodiarou"/>
        <w:spacing w:line="360" w:lineRule="auto"/>
        <w:rPr>
          <w:sz w:val="24"/>
          <w:szCs w:val="24"/>
        </w:rPr>
      </w:pPr>
      <w:r>
        <w:rPr>
          <w:sz w:val="24"/>
          <w:szCs w:val="24"/>
        </w:rPr>
        <w:t>[11</w:t>
      </w:r>
      <w:r w:rsidR="00F535C1">
        <w:rPr>
          <w:sz w:val="24"/>
          <w:szCs w:val="24"/>
        </w:rPr>
        <w:t xml:space="preserve">] </w:t>
      </w:r>
      <w:r w:rsidR="00F535C1" w:rsidRPr="00960517">
        <w:rPr>
          <w:sz w:val="24"/>
          <w:szCs w:val="24"/>
        </w:rPr>
        <w:t>LÁCH</w:t>
      </w:r>
      <w:r w:rsidR="00AE18F0">
        <w:rPr>
          <w:sz w:val="24"/>
          <w:szCs w:val="24"/>
        </w:rPr>
        <w:t>OVÁ L. a</w:t>
      </w:r>
      <w:r w:rsidR="00F535C1" w:rsidRPr="00960517">
        <w:rPr>
          <w:sz w:val="24"/>
          <w:szCs w:val="24"/>
        </w:rPr>
        <w:t xml:space="preserve"> VANČUROVÁ A.: </w:t>
      </w:r>
      <w:r w:rsidR="00F535C1" w:rsidRPr="00960517">
        <w:rPr>
          <w:i/>
          <w:sz w:val="24"/>
          <w:szCs w:val="24"/>
        </w:rPr>
        <w:t>Daňový systém ČR 2014.</w:t>
      </w:r>
      <w:r w:rsidR="00F535C1" w:rsidRPr="00960517">
        <w:rPr>
          <w:sz w:val="24"/>
          <w:szCs w:val="24"/>
        </w:rPr>
        <w:t xml:space="preserve">12.vyd. Praha: 1. VOX a.s. </w:t>
      </w:r>
      <w:proofErr w:type="spellStart"/>
      <w:r w:rsidR="00F535C1" w:rsidRPr="00960517">
        <w:rPr>
          <w:sz w:val="24"/>
          <w:szCs w:val="24"/>
        </w:rPr>
        <w:t>nakladatelství</w:t>
      </w:r>
      <w:proofErr w:type="spellEnd"/>
      <w:r w:rsidR="00F535C1" w:rsidRPr="00960517">
        <w:rPr>
          <w:sz w:val="24"/>
          <w:szCs w:val="24"/>
        </w:rPr>
        <w:t>, 2014. 391s. ISBN 978-80-87480-23-6</w:t>
      </w:r>
    </w:p>
    <w:p w:rsidR="00E97FB5" w:rsidRPr="00E97FB5" w:rsidRDefault="00E97FB5" w:rsidP="00A01CDB">
      <w:pPr>
        <w:pStyle w:val="Textpoznmkypodiarou"/>
        <w:spacing w:line="360" w:lineRule="auto"/>
        <w:rPr>
          <w:sz w:val="24"/>
          <w:szCs w:val="24"/>
        </w:rPr>
      </w:pPr>
      <w:r>
        <w:rPr>
          <w:sz w:val="24"/>
          <w:szCs w:val="24"/>
          <w:lang w:val="en-US"/>
        </w:rPr>
        <w:t xml:space="preserve">[12] </w:t>
      </w:r>
      <w:proofErr w:type="spellStart"/>
      <w:r w:rsidRPr="00E97FB5">
        <w:rPr>
          <w:i/>
          <w:sz w:val="24"/>
          <w:szCs w:val="24"/>
          <w:lang w:val="en-US"/>
        </w:rPr>
        <w:t>Medzinárodné</w:t>
      </w:r>
      <w:proofErr w:type="spellEnd"/>
      <w:r w:rsidRPr="00E97FB5">
        <w:rPr>
          <w:i/>
          <w:sz w:val="24"/>
          <w:szCs w:val="24"/>
          <w:lang w:val="en-US"/>
        </w:rPr>
        <w:t xml:space="preserve"> </w:t>
      </w:r>
      <w:proofErr w:type="spellStart"/>
      <w:r w:rsidRPr="00E97FB5">
        <w:rPr>
          <w:i/>
          <w:sz w:val="24"/>
          <w:szCs w:val="24"/>
          <w:lang w:val="en-US"/>
        </w:rPr>
        <w:t>štandardy</w:t>
      </w:r>
      <w:proofErr w:type="spellEnd"/>
      <w:r w:rsidRPr="00E97FB5">
        <w:rPr>
          <w:i/>
          <w:sz w:val="24"/>
          <w:szCs w:val="24"/>
          <w:lang w:val="en-US"/>
        </w:rPr>
        <w:t xml:space="preserve"> pre </w:t>
      </w:r>
      <w:proofErr w:type="spellStart"/>
      <w:r w:rsidRPr="00E97FB5">
        <w:rPr>
          <w:i/>
          <w:sz w:val="24"/>
          <w:szCs w:val="24"/>
          <w:lang w:val="en-US"/>
        </w:rPr>
        <w:t>účtovné</w:t>
      </w:r>
      <w:proofErr w:type="spellEnd"/>
      <w:r w:rsidRPr="00E97FB5">
        <w:rPr>
          <w:i/>
          <w:sz w:val="24"/>
          <w:szCs w:val="24"/>
          <w:lang w:val="en-US"/>
        </w:rPr>
        <w:t xml:space="preserve"> </w:t>
      </w:r>
      <w:proofErr w:type="spellStart"/>
      <w:r w:rsidRPr="00E97FB5">
        <w:rPr>
          <w:i/>
          <w:sz w:val="24"/>
          <w:szCs w:val="24"/>
          <w:lang w:val="en-US"/>
        </w:rPr>
        <w:t>vyk</w:t>
      </w:r>
      <w:r>
        <w:rPr>
          <w:i/>
          <w:sz w:val="24"/>
          <w:szCs w:val="24"/>
          <w:lang w:val="en-US"/>
        </w:rPr>
        <w:t>a</w:t>
      </w:r>
      <w:r w:rsidRPr="00E97FB5">
        <w:rPr>
          <w:i/>
          <w:sz w:val="24"/>
          <w:szCs w:val="24"/>
          <w:lang w:val="en-US"/>
        </w:rPr>
        <w:t>zovanie</w:t>
      </w:r>
      <w:proofErr w:type="gramStart"/>
      <w:r>
        <w:rPr>
          <w:i/>
          <w:sz w:val="24"/>
          <w:szCs w:val="24"/>
          <w:lang w:val="en-US"/>
        </w:rPr>
        <w:t>:Predslov</w:t>
      </w:r>
      <w:proofErr w:type="spellEnd"/>
      <w:proofErr w:type="gramEnd"/>
      <w:r>
        <w:rPr>
          <w:i/>
          <w:sz w:val="24"/>
          <w:szCs w:val="24"/>
          <w:lang w:val="en-US"/>
        </w:rPr>
        <w:t xml:space="preserve">, 37 - </w:t>
      </w:r>
      <w:proofErr w:type="spellStart"/>
      <w:r>
        <w:rPr>
          <w:i/>
          <w:sz w:val="24"/>
          <w:szCs w:val="24"/>
          <w:lang w:val="en-US"/>
        </w:rPr>
        <w:t>Rezervy</w:t>
      </w:r>
      <w:proofErr w:type="spellEnd"/>
      <w:r>
        <w:rPr>
          <w:i/>
          <w:sz w:val="24"/>
          <w:szCs w:val="24"/>
          <w:lang w:val="en-US"/>
        </w:rPr>
        <w:t xml:space="preserve"> a </w:t>
      </w:r>
      <w:proofErr w:type="spellStart"/>
      <w:r>
        <w:rPr>
          <w:i/>
          <w:sz w:val="24"/>
          <w:szCs w:val="24"/>
          <w:lang w:val="en-US"/>
        </w:rPr>
        <w:t>podmienené</w:t>
      </w:r>
      <w:proofErr w:type="spellEnd"/>
      <w:r>
        <w:rPr>
          <w:i/>
          <w:sz w:val="24"/>
          <w:szCs w:val="24"/>
          <w:lang w:val="en-US"/>
        </w:rPr>
        <w:t xml:space="preserve"> </w:t>
      </w:r>
      <w:proofErr w:type="spellStart"/>
      <w:r>
        <w:rPr>
          <w:i/>
          <w:sz w:val="24"/>
          <w:szCs w:val="24"/>
          <w:lang w:val="en-US"/>
        </w:rPr>
        <w:t>záväzky</w:t>
      </w:r>
      <w:proofErr w:type="spellEnd"/>
      <w:r>
        <w:rPr>
          <w:i/>
          <w:sz w:val="24"/>
          <w:szCs w:val="24"/>
          <w:lang w:val="en-US"/>
        </w:rPr>
        <w:t>.</w:t>
      </w:r>
    </w:p>
    <w:p w:rsidR="00F535C1" w:rsidRDefault="00AE18F0" w:rsidP="00A01CDB">
      <w:r>
        <w:t>[1</w:t>
      </w:r>
      <w:r w:rsidR="00E97FB5">
        <w:t>3</w:t>
      </w:r>
      <w:r w:rsidR="0026646F">
        <w:t xml:space="preserve">] </w:t>
      </w:r>
      <w:r w:rsidR="00F535C1">
        <w:t xml:space="preserve">REIFF, I.: </w:t>
      </w:r>
      <w:r w:rsidR="00F535C1" w:rsidRPr="003612BB">
        <w:rPr>
          <w:i/>
        </w:rPr>
        <w:t>Sto rokov priemyselnej ťažby uhlia v Handlovej.</w:t>
      </w:r>
      <w:r w:rsidR="00F535C1">
        <w:t xml:space="preserve"> Handlová: Rada handlovského spolku, 2009.</w:t>
      </w:r>
    </w:p>
    <w:p w:rsidR="00F535C1" w:rsidRPr="00D622FB" w:rsidRDefault="00AE18F0" w:rsidP="00A01CDB">
      <w:pPr>
        <w:pStyle w:val="Textpoznmkypodiarou"/>
        <w:spacing w:line="360" w:lineRule="auto"/>
        <w:rPr>
          <w:rFonts w:cs="Times New Roman"/>
          <w:sz w:val="24"/>
          <w:szCs w:val="24"/>
        </w:rPr>
      </w:pPr>
      <w:r>
        <w:rPr>
          <w:rFonts w:cs="Times New Roman"/>
          <w:color w:val="000000"/>
          <w:sz w:val="24"/>
          <w:szCs w:val="24"/>
          <w:shd w:val="clear" w:color="auto" w:fill="FFFDFE"/>
        </w:rPr>
        <w:t>[1</w:t>
      </w:r>
      <w:r w:rsidR="00E97FB5">
        <w:rPr>
          <w:rFonts w:cs="Times New Roman"/>
          <w:color w:val="000000"/>
          <w:sz w:val="24"/>
          <w:szCs w:val="24"/>
          <w:shd w:val="clear" w:color="auto" w:fill="FFFDFE"/>
        </w:rPr>
        <w:t>4</w:t>
      </w:r>
      <w:r w:rsidR="00F535C1" w:rsidRPr="000C2630">
        <w:rPr>
          <w:rFonts w:cs="Times New Roman"/>
          <w:color w:val="000000"/>
          <w:sz w:val="24"/>
          <w:szCs w:val="24"/>
          <w:shd w:val="clear" w:color="auto" w:fill="FFFDFE"/>
        </w:rPr>
        <w:t>] RYNEŠ,</w:t>
      </w:r>
      <w:r w:rsidR="00F535C1" w:rsidRPr="00D622FB">
        <w:rPr>
          <w:rFonts w:cs="Times New Roman"/>
          <w:color w:val="000000"/>
          <w:sz w:val="24"/>
          <w:szCs w:val="24"/>
          <w:shd w:val="clear" w:color="auto" w:fill="FFFDFE"/>
        </w:rPr>
        <w:t xml:space="preserve"> </w:t>
      </w:r>
      <w:proofErr w:type="spellStart"/>
      <w:r w:rsidR="00F535C1" w:rsidRPr="00D622FB">
        <w:rPr>
          <w:rFonts w:cs="Times New Roman"/>
          <w:color w:val="000000"/>
          <w:sz w:val="24"/>
          <w:szCs w:val="24"/>
          <w:shd w:val="clear" w:color="auto" w:fill="FFFDFE"/>
        </w:rPr>
        <w:t>Petr</w:t>
      </w:r>
      <w:proofErr w:type="spellEnd"/>
      <w:r w:rsidR="00F535C1" w:rsidRPr="00D622FB">
        <w:rPr>
          <w:rFonts w:cs="Times New Roman"/>
          <w:color w:val="000000"/>
          <w:sz w:val="24"/>
          <w:szCs w:val="24"/>
          <w:shd w:val="clear" w:color="auto" w:fill="FFFDFE"/>
        </w:rPr>
        <w:t>.</w:t>
      </w:r>
      <w:r w:rsidR="00F535C1" w:rsidRPr="00D622FB">
        <w:rPr>
          <w:rStyle w:val="apple-converted-space"/>
          <w:rFonts w:cs="Times New Roman"/>
          <w:color w:val="000000"/>
          <w:sz w:val="24"/>
          <w:szCs w:val="24"/>
          <w:shd w:val="clear" w:color="auto" w:fill="FFFDFE"/>
        </w:rPr>
        <w:t> </w:t>
      </w:r>
      <w:r w:rsidR="00F535C1" w:rsidRPr="00D622FB">
        <w:rPr>
          <w:rFonts w:cs="Times New Roman"/>
          <w:i/>
          <w:iCs/>
          <w:color w:val="000000"/>
          <w:sz w:val="24"/>
          <w:szCs w:val="24"/>
          <w:shd w:val="clear" w:color="auto" w:fill="FFFDFE"/>
        </w:rPr>
        <w:t xml:space="preserve">Podvojné </w:t>
      </w:r>
      <w:proofErr w:type="spellStart"/>
      <w:r w:rsidR="00F535C1" w:rsidRPr="00D622FB">
        <w:rPr>
          <w:rFonts w:cs="Times New Roman"/>
          <w:i/>
          <w:iCs/>
          <w:color w:val="000000"/>
          <w:sz w:val="24"/>
          <w:szCs w:val="24"/>
          <w:shd w:val="clear" w:color="auto" w:fill="FFFDFE"/>
        </w:rPr>
        <w:t>účetnictví</w:t>
      </w:r>
      <w:proofErr w:type="spellEnd"/>
      <w:r w:rsidR="00F535C1" w:rsidRPr="00D622FB">
        <w:rPr>
          <w:rFonts w:cs="Times New Roman"/>
          <w:i/>
          <w:iCs/>
          <w:color w:val="000000"/>
          <w:sz w:val="24"/>
          <w:szCs w:val="24"/>
          <w:shd w:val="clear" w:color="auto" w:fill="FFFDFE"/>
        </w:rPr>
        <w:t xml:space="preserve"> a </w:t>
      </w:r>
      <w:proofErr w:type="spellStart"/>
      <w:r w:rsidR="00F535C1" w:rsidRPr="00D622FB">
        <w:rPr>
          <w:rFonts w:cs="Times New Roman"/>
          <w:i/>
          <w:iCs/>
          <w:color w:val="000000"/>
          <w:sz w:val="24"/>
          <w:szCs w:val="24"/>
          <w:shd w:val="clear" w:color="auto" w:fill="FFFDFE"/>
        </w:rPr>
        <w:t>účetní</w:t>
      </w:r>
      <w:proofErr w:type="spellEnd"/>
      <w:r w:rsidR="00F535C1" w:rsidRPr="00D622FB">
        <w:rPr>
          <w:rFonts w:cs="Times New Roman"/>
          <w:i/>
          <w:iCs/>
          <w:color w:val="000000"/>
          <w:sz w:val="24"/>
          <w:szCs w:val="24"/>
          <w:shd w:val="clear" w:color="auto" w:fill="FFFDFE"/>
        </w:rPr>
        <w:t xml:space="preserve"> </w:t>
      </w:r>
      <w:proofErr w:type="spellStart"/>
      <w:r w:rsidR="00F535C1" w:rsidRPr="00D622FB">
        <w:rPr>
          <w:rFonts w:cs="Times New Roman"/>
          <w:i/>
          <w:iCs/>
          <w:color w:val="000000"/>
          <w:sz w:val="24"/>
          <w:szCs w:val="24"/>
          <w:shd w:val="clear" w:color="auto" w:fill="FFFDFE"/>
        </w:rPr>
        <w:t>závěrka</w:t>
      </w:r>
      <w:proofErr w:type="spellEnd"/>
      <w:r w:rsidR="00F535C1" w:rsidRPr="00D622FB">
        <w:rPr>
          <w:rFonts w:cs="Times New Roman"/>
          <w:i/>
          <w:iCs/>
          <w:color w:val="000000"/>
          <w:sz w:val="24"/>
          <w:szCs w:val="24"/>
          <w:shd w:val="clear" w:color="auto" w:fill="FFFDFE"/>
        </w:rPr>
        <w:t xml:space="preserve"> :</w:t>
      </w:r>
      <w:proofErr w:type="spellStart"/>
      <w:r w:rsidR="00F535C1" w:rsidRPr="00D622FB">
        <w:rPr>
          <w:rFonts w:cs="Times New Roman"/>
          <w:i/>
          <w:iCs/>
          <w:color w:val="000000"/>
          <w:sz w:val="24"/>
          <w:szCs w:val="24"/>
          <w:shd w:val="clear" w:color="auto" w:fill="FFFDFE"/>
        </w:rPr>
        <w:t>průvodce</w:t>
      </w:r>
      <w:proofErr w:type="spellEnd"/>
      <w:r w:rsidR="00F535C1" w:rsidRPr="00D622FB">
        <w:rPr>
          <w:rFonts w:cs="Times New Roman"/>
          <w:i/>
          <w:iCs/>
          <w:color w:val="000000"/>
          <w:sz w:val="24"/>
          <w:szCs w:val="24"/>
          <w:shd w:val="clear" w:color="auto" w:fill="FFFDFE"/>
        </w:rPr>
        <w:t xml:space="preserve"> podvojným </w:t>
      </w:r>
      <w:proofErr w:type="spellStart"/>
      <w:r w:rsidR="00F535C1" w:rsidRPr="00D622FB">
        <w:rPr>
          <w:rFonts w:cs="Times New Roman"/>
          <w:i/>
          <w:iCs/>
          <w:color w:val="000000"/>
          <w:sz w:val="24"/>
          <w:szCs w:val="24"/>
          <w:shd w:val="clear" w:color="auto" w:fill="FFFDFE"/>
        </w:rPr>
        <w:t>účetnictvím</w:t>
      </w:r>
      <w:proofErr w:type="spellEnd"/>
      <w:r w:rsidR="00F535C1" w:rsidRPr="00D622FB">
        <w:rPr>
          <w:rFonts w:cs="Times New Roman"/>
          <w:i/>
          <w:iCs/>
          <w:color w:val="000000"/>
          <w:sz w:val="24"/>
          <w:szCs w:val="24"/>
          <w:shd w:val="clear" w:color="auto" w:fill="FFFDFE"/>
        </w:rPr>
        <w:t xml:space="preserve"> k 1.1.2015</w:t>
      </w:r>
      <w:r w:rsidR="00F535C1" w:rsidRPr="00D622FB">
        <w:rPr>
          <w:rFonts w:cs="Times New Roman"/>
          <w:color w:val="000000"/>
          <w:sz w:val="24"/>
          <w:szCs w:val="24"/>
          <w:shd w:val="clear" w:color="auto" w:fill="FFFDFE"/>
        </w:rPr>
        <w:t xml:space="preserve">. 15. </w:t>
      </w:r>
      <w:proofErr w:type="spellStart"/>
      <w:r w:rsidR="00F535C1" w:rsidRPr="00D622FB">
        <w:rPr>
          <w:rFonts w:cs="Times New Roman"/>
          <w:color w:val="000000"/>
          <w:sz w:val="24"/>
          <w:szCs w:val="24"/>
          <w:shd w:val="clear" w:color="auto" w:fill="FFFDFE"/>
        </w:rPr>
        <w:t>aktualiz</w:t>
      </w:r>
      <w:proofErr w:type="spellEnd"/>
      <w:r w:rsidR="00F535C1" w:rsidRPr="00D622FB">
        <w:rPr>
          <w:rFonts w:cs="Times New Roman"/>
          <w:color w:val="000000"/>
          <w:sz w:val="24"/>
          <w:szCs w:val="24"/>
          <w:shd w:val="clear" w:color="auto" w:fill="FFFDFE"/>
        </w:rPr>
        <w:t xml:space="preserve">. vyd. Olomouc: </w:t>
      </w:r>
      <w:proofErr w:type="spellStart"/>
      <w:r w:rsidR="00F535C1" w:rsidRPr="00D622FB">
        <w:rPr>
          <w:rFonts w:cs="Times New Roman"/>
          <w:color w:val="000000"/>
          <w:sz w:val="24"/>
          <w:szCs w:val="24"/>
          <w:shd w:val="clear" w:color="auto" w:fill="FFFDFE"/>
        </w:rPr>
        <w:t>Anag</w:t>
      </w:r>
      <w:proofErr w:type="spellEnd"/>
      <w:r w:rsidR="00F535C1" w:rsidRPr="00D622FB">
        <w:rPr>
          <w:rFonts w:cs="Times New Roman"/>
          <w:color w:val="000000"/>
          <w:sz w:val="24"/>
          <w:szCs w:val="24"/>
          <w:shd w:val="clear" w:color="auto" w:fill="FFFDFE"/>
        </w:rPr>
        <w:t>, 2015. 1118 s. ISBN 9788072639243</w:t>
      </w:r>
    </w:p>
    <w:p w:rsidR="00F535C1" w:rsidRDefault="00AE18F0" w:rsidP="00A01CDB">
      <w:pPr>
        <w:pStyle w:val="Textpoznmkypodiarou"/>
        <w:spacing w:line="360" w:lineRule="auto"/>
        <w:rPr>
          <w:sz w:val="24"/>
          <w:szCs w:val="24"/>
        </w:rPr>
      </w:pPr>
      <w:r>
        <w:rPr>
          <w:sz w:val="24"/>
          <w:szCs w:val="24"/>
        </w:rPr>
        <w:t>[1</w:t>
      </w:r>
      <w:r w:rsidR="00E97FB5">
        <w:rPr>
          <w:sz w:val="24"/>
          <w:szCs w:val="24"/>
        </w:rPr>
        <w:t>5</w:t>
      </w:r>
      <w:r w:rsidR="00F535C1">
        <w:rPr>
          <w:sz w:val="24"/>
          <w:szCs w:val="24"/>
        </w:rPr>
        <w:t xml:space="preserve">] </w:t>
      </w:r>
      <w:r w:rsidR="00F535C1" w:rsidRPr="00960517">
        <w:rPr>
          <w:sz w:val="24"/>
          <w:szCs w:val="24"/>
        </w:rPr>
        <w:t xml:space="preserve">SEDLÁČEK J., </w:t>
      </w:r>
      <w:r w:rsidR="00F535C1" w:rsidRPr="00960517">
        <w:rPr>
          <w:i/>
          <w:sz w:val="24"/>
          <w:szCs w:val="24"/>
        </w:rPr>
        <w:t xml:space="preserve">Finanční </w:t>
      </w:r>
      <w:proofErr w:type="spellStart"/>
      <w:r w:rsidR="00F535C1" w:rsidRPr="00960517">
        <w:rPr>
          <w:i/>
          <w:sz w:val="24"/>
          <w:szCs w:val="24"/>
        </w:rPr>
        <w:t>účetnictví</w:t>
      </w:r>
      <w:proofErr w:type="spellEnd"/>
      <w:r w:rsidR="00F535C1" w:rsidRPr="00960517">
        <w:rPr>
          <w:i/>
          <w:sz w:val="24"/>
          <w:szCs w:val="24"/>
        </w:rPr>
        <w:t>.</w:t>
      </w:r>
      <w:r w:rsidR="00F535C1" w:rsidRPr="00960517">
        <w:rPr>
          <w:sz w:val="24"/>
          <w:szCs w:val="24"/>
        </w:rPr>
        <w:t xml:space="preserve"> 1.vyd. Brno: Masarykova univerzita, 2010. 240 s. ISBN 978-80-210-5268-0</w:t>
      </w:r>
    </w:p>
    <w:p w:rsidR="00AE18F0" w:rsidRPr="00AE18F0" w:rsidRDefault="00AE18F0" w:rsidP="00A01CDB">
      <w:pPr>
        <w:pStyle w:val="Textpoznmkypodiarou"/>
        <w:spacing w:line="360" w:lineRule="auto"/>
        <w:rPr>
          <w:sz w:val="24"/>
          <w:szCs w:val="24"/>
        </w:rPr>
      </w:pPr>
    </w:p>
    <w:p w:rsidR="00F535C1" w:rsidRDefault="00F535C1" w:rsidP="00A01CDB">
      <w:r>
        <w:t xml:space="preserve">Odborné články: </w:t>
      </w:r>
    </w:p>
    <w:p w:rsidR="00F535C1" w:rsidRDefault="00AE18F0" w:rsidP="00A01CDB">
      <w:r>
        <w:t>[1</w:t>
      </w:r>
      <w:r w:rsidR="00E97FB5">
        <w:t>6</w:t>
      </w:r>
      <w:r w:rsidR="00F535C1">
        <w:t xml:space="preserve">] GAŠPAROVÁ E.: </w:t>
      </w:r>
      <w:r w:rsidR="00F535C1" w:rsidRPr="00770924">
        <w:rPr>
          <w:i/>
        </w:rPr>
        <w:t>Rezervy a a opravné položky s účtovného a daňového hľadiska.</w:t>
      </w:r>
      <w:r w:rsidR="00F535C1">
        <w:rPr>
          <w:i/>
        </w:rPr>
        <w:t xml:space="preserve"> </w:t>
      </w:r>
      <w:r w:rsidR="00F535C1">
        <w:t xml:space="preserve">V </w:t>
      </w:r>
      <w:r w:rsidR="00F535C1" w:rsidRPr="00DB79D6">
        <w:t>Daňový a účtovný poradca podnikateľa 15/2015</w:t>
      </w:r>
      <w:r w:rsidR="00F535C1">
        <w:t>. ISSN 1335-0897 str. 23</w:t>
      </w:r>
    </w:p>
    <w:p w:rsidR="00F535C1" w:rsidRDefault="00AE18F0" w:rsidP="00A01CDB">
      <w:r>
        <w:lastRenderedPageBreak/>
        <w:t>[1</w:t>
      </w:r>
      <w:r w:rsidR="00E97FB5">
        <w:t>7</w:t>
      </w:r>
      <w:r w:rsidR="00F535C1">
        <w:t xml:space="preserve">] KOLEMBUS, A.: </w:t>
      </w:r>
      <w:r w:rsidR="00F535C1" w:rsidRPr="00960517">
        <w:rPr>
          <w:i/>
        </w:rPr>
        <w:t>Zopár tipov k účtovnej uzávierke.</w:t>
      </w:r>
      <w:r w:rsidR="00F535C1">
        <w:t xml:space="preserve"> V DÚPP - Daňový a účtovný poradca podnikateľa. ISSN 1335-0897, 2015, č.4-5, s.51-61</w:t>
      </w:r>
    </w:p>
    <w:p w:rsidR="00F535C1" w:rsidRDefault="00F535C1" w:rsidP="00A01CDB">
      <w:pPr>
        <w:pStyle w:val="Textpoznmkypodiarou"/>
        <w:spacing w:line="360" w:lineRule="auto"/>
        <w:rPr>
          <w:sz w:val="24"/>
          <w:szCs w:val="24"/>
        </w:rPr>
      </w:pPr>
    </w:p>
    <w:p w:rsidR="00F535C1" w:rsidRDefault="00F535C1" w:rsidP="00A01CDB">
      <w:pPr>
        <w:pStyle w:val="Textpoznmkypodiarou"/>
        <w:spacing w:line="360" w:lineRule="auto"/>
        <w:rPr>
          <w:sz w:val="24"/>
          <w:szCs w:val="24"/>
        </w:rPr>
      </w:pPr>
      <w:r>
        <w:rPr>
          <w:sz w:val="24"/>
          <w:szCs w:val="24"/>
        </w:rPr>
        <w:t>Internetové zdroje:</w:t>
      </w:r>
    </w:p>
    <w:p w:rsidR="002E5A51" w:rsidRDefault="00AE18F0" w:rsidP="00A01CDB">
      <w:pPr>
        <w:pStyle w:val="Textpoznmkypodiarou"/>
        <w:spacing w:line="360" w:lineRule="auto"/>
        <w:rPr>
          <w:sz w:val="24"/>
          <w:szCs w:val="24"/>
        </w:rPr>
      </w:pPr>
      <w:r>
        <w:rPr>
          <w:sz w:val="24"/>
          <w:szCs w:val="24"/>
        </w:rPr>
        <w:t>[1</w:t>
      </w:r>
      <w:r w:rsidR="00E97FB5">
        <w:rPr>
          <w:sz w:val="24"/>
          <w:szCs w:val="24"/>
        </w:rPr>
        <w:t>8</w:t>
      </w:r>
      <w:r w:rsidR="002E5A51">
        <w:rPr>
          <w:sz w:val="24"/>
          <w:szCs w:val="24"/>
        </w:rPr>
        <w:t xml:space="preserve">]  </w:t>
      </w:r>
      <w:r w:rsidR="002E5A51" w:rsidRPr="002E5A51">
        <w:rPr>
          <w:sz w:val="24"/>
          <w:szCs w:val="24"/>
        </w:rPr>
        <w:t>HBP, a.s.: História. Sto rokov priemyselnej ťažby uhlia na Hornej Nitre.</w:t>
      </w:r>
      <w:r w:rsidR="002E5A51">
        <w:rPr>
          <w:sz w:val="24"/>
          <w:szCs w:val="24"/>
        </w:rPr>
        <w:t xml:space="preserve"> [</w:t>
      </w:r>
      <w:proofErr w:type="spellStart"/>
      <w:r w:rsidR="002E5A51">
        <w:rPr>
          <w:sz w:val="24"/>
          <w:szCs w:val="24"/>
        </w:rPr>
        <w:t>online</w:t>
      </w:r>
      <w:proofErr w:type="spellEnd"/>
      <w:r w:rsidR="002E5A51">
        <w:rPr>
          <w:sz w:val="24"/>
          <w:szCs w:val="24"/>
        </w:rPr>
        <w:t xml:space="preserve">] [cit. 2016-03-15] Dostupné z </w:t>
      </w:r>
      <w:r w:rsidR="00C440FD">
        <w:rPr>
          <w:sz w:val="24"/>
          <w:szCs w:val="24"/>
        </w:rPr>
        <w:t>&lt;</w:t>
      </w:r>
      <w:r w:rsidR="002E5A51" w:rsidRPr="002E5A51">
        <w:rPr>
          <w:sz w:val="24"/>
          <w:szCs w:val="24"/>
        </w:rPr>
        <w:t>http://www.hbp.sk/index.php/sk/spolocnost/historia</w:t>
      </w:r>
      <w:r w:rsidR="00C440FD">
        <w:rPr>
          <w:sz w:val="24"/>
          <w:szCs w:val="24"/>
        </w:rPr>
        <w:t>&gt;</w:t>
      </w:r>
    </w:p>
    <w:p w:rsidR="00E97FB5" w:rsidRPr="00E97FB5" w:rsidRDefault="00E97FB5" w:rsidP="00A01CDB">
      <w:pPr>
        <w:pStyle w:val="Textpoznmkypodiarou"/>
        <w:spacing w:line="360" w:lineRule="auto"/>
        <w:rPr>
          <w:sz w:val="24"/>
          <w:szCs w:val="24"/>
          <w:lang w:val="en-US"/>
        </w:rPr>
      </w:pPr>
      <w:r>
        <w:rPr>
          <w:sz w:val="24"/>
          <w:szCs w:val="24"/>
          <w:lang w:val="en-US"/>
        </w:rPr>
        <w:t>[19]</w:t>
      </w:r>
      <w:r>
        <w:t xml:space="preserve"> </w:t>
      </w:r>
      <w:r w:rsidRPr="00E97FB5">
        <w:rPr>
          <w:sz w:val="24"/>
          <w:szCs w:val="24"/>
        </w:rPr>
        <w:t xml:space="preserve">INEKO: </w:t>
      </w:r>
      <w:r w:rsidRPr="00E97FB5">
        <w:rPr>
          <w:i/>
          <w:sz w:val="24"/>
          <w:szCs w:val="24"/>
        </w:rPr>
        <w:t xml:space="preserve">Reformy </w:t>
      </w:r>
      <w:proofErr w:type="gramStart"/>
      <w:r w:rsidRPr="00E97FB5">
        <w:rPr>
          <w:i/>
          <w:sz w:val="24"/>
          <w:szCs w:val="24"/>
        </w:rPr>
        <w:t>na</w:t>
      </w:r>
      <w:proofErr w:type="gramEnd"/>
      <w:r w:rsidRPr="00E97FB5">
        <w:rPr>
          <w:i/>
          <w:sz w:val="24"/>
          <w:szCs w:val="24"/>
        </w:rPr>
        <w:t xml:space="preserve"> Slovensku 2.</w:t>
      </w:r>
      <w:r w:rsidRPr="00E97FB5">
        <w:rPr>
          <w:sz w:val="24"/>
          <w:szCs w:val="24"/>
        </w:rPr>
        <w:t xml:space="preserve"> </w:t>
      </w:r>
      <w:r w:rsidRPr="00E97FB5">
        <w:rPr>
          <w:sz w:val="24"/>
          <w:szCs w:val="24"/>
          <w:lang w:val="en-US"/>
        </w:rPr>
        <w:t>[</w:t>
      </w:r>
      <w:proofErr w:type="gramStart"/>
      <w:r w:rsidRPr="00E97FB5">
        <w:rPr>
          <w:sz w:val="24"/>
          <w:szCs w:val="24"/>
          <w:lang w:val="en-US"/>
        </w:rPr>
        <w:t>online</w:t>
      </w:r>
      <w:proofErr w:type="gramEnd"/>
      <w:r w:rsidRPr="00E97FB5">
        <w:rPr>
          <w:sz w:val="24"/>
          <w:szCs w:val="24"/>
          <w:lang w:val="en-US"/>
        </w:rPr>
        <w:t>] [</w:t>
      </w:r>
      <w:proofErr w:type="gramStart"/>
      <w:r w:rsidRPr="00E97FB5">
        <w:rPr>
          <w:sz w:val="24"/>
          <w:szCs w:val="24"/>
          <w:lang w:val="en-US"/>
        </w:rPr>
        <w:t>cit</w:t>
      </w:r>
      <w:proofErr w:type="gramEnd"/>
      <w:r w:rsidRPr="00E97FB5">
        <w:rPr>
          <w:sz w:val="24"/>
          <w:szCs w:val="24"/>
          <w:lang w:val="en-US"/>
        </w:rPr>
        <w:t xml:space="preserve">. 2016-01-17]  </w:t>
      </w:r>
      <w:proofErr w:type="spellStart"/>
      <w:r w:rsidRPr="00E97FB5">
        <w:rPr>
          <w:sz w:val="24"/>
          <w:szCs w:val="24"/>
          <w:lang w:val="en-US"/>
        </w:rPr>
        <w:t>Dostupné</w:t>
      </w:r>
      <w:proofErr w:type="spellEnd"/>
      <w:r w:rsidRPr="00E97FB5">
        <w:rPr>
          <w:sz w:val="24"/>
          <w:szCs w:val="24"/>
          <w:lang w:val="en-US"/>
        </w:rPr>
        <w:t xml:space="preserve"> z &lt;http://www.ineko.sk/ostatne/prednasky&gt;</w:t>
      </w:r>
    </w:p>
    <w:p w:rsidR="00F535C1" w:rsidRPr="00E97FB5" w:rsidRDefault="008B5EA8" w:rsidP="00A01CDB">
      <w:pPr>
        <w:pStyle w:val="Textpoznmkypodiarou"/>
        <w:spacing w:line="360" w:lineRule="auto"/>
        <w:rPr>
          <w:rStyle w:val="apple-converted-space"/>
          <w:rFonts w:cs="Times New Roman"/>
          <w:color w:val="000000"/>
          <w:sz w:val="24"/>
          <w:szCs w:val="24"/>
          <w:shd w:val="clear" w:color="auto" w:fill="FFFDFE"/>
        </w:rPr>
      </w:pPr>
      <w:r w:rsidRPr="00E97FB5">
        <w:rPr>
          <w:rFonts w:cs="Times New Roman"/>
          <w:sz w:val="24"/>
          <w:szCs w:val="24"/>
          <w:shd w:val="clear" w:color="auto" w:fill="FFFDFE"/>
        </w:rPr>
        <w:t>[20</w:t>
      </w:r>
      <w:r w:rsidR="00F535C1" w:rsidRPr="00E97FB5">
        <w:rPr>
          <w:rFonts w:cs="Times New Roman"/>
          <w:sz w:val="24"/>
          <w:szCs w:val="24"/>
          <w:shd w:val="clear" w:color="auto" w:fill="FFFDFE"/>
        </w:rPr>
        <w:t>] PRICEWATERHOUSECOOPERS</w:t>
      </w:r>
      <w:r w:rsidR="00F535C1">
        <w:rPr>
          <w:rFonts w:cs="Times New Roman"/>
          <w:color w:val="000000"/>
          <w:sz w:val="24"/>
          <w:szCs w:val="24"/>
          <w:shd w:val="clear" w:color="auto" w:fill="FFFDFE"/>
        </w:rPr>
        <w:t xml:space="preserve"> LLP: </w:t>
      </w:r>
      <w:proofErr w:type="spellStart"/>
      <w:r w:rsidR="00F535C1" w:rsidRPr="005F6EB9">
        <w:rPr>
          <w:rFonts w:cs="Times New Roman"/>
          <w:i/>
          <w:color w:val="000000"/>
          <w:sz w:val="24"/>
          <w:szCs w:val="24"/>
          <w:shd w:val="clear" w:color="auto" w:fill="FFFDFE"/>
        </w:rPr>
        <w:t>Financial</w:t>
      </w:r>
      <w:proofErr w:type="spellEnd"/>
      <w:r w:rsidR="00F535C1" w:rsidRPr="005F6EB9">
        <w:rPr>
          <w:rFonts w:cs="Times New Roman"/>
          <w:i/>
          <w:color w:val="000000"/>
          <w:sz w:val="24"/>
          <w:szCs w:val="24"/>
          <w:shd w:val="clear" w:color="auto" w:fill="FFFDFE"/>
        </w:rPr>
        <w:t xml:space="preserve"> </w:t>
      </w:r>
      <w:proofErr w:type="spellStart"/>
      <w:r w:rsidR="00F535C1" w:rsidRPr="005F6EB9">
        <w:rPr>
          <w:rFonts w:cs="Times New Roman"/>
          <w:i/>
          <w:color w:val="000000"/>
          <w:sz w:val="24"/>
          <w:szCs w:val="24"/>
          <w:shd w:val="clear" w:color="auto" w:fill="FFFDFE"/>
        </w:rPr>
        <w:t>reporting</w:t>
      </w:r>
      <w:proofErr w:type="spellEnd"/>
      <w:r w:rsidR="00F535C1" w:rsidRPr="005F6EB9">
        <w:rPr>
          <w:rFonts w:cs="Times New Roman"/>
          <w:i/>
          <w:color w:val="000000"/>
          <w:sz w:val="24"/>
          <w:szCs w:val="24"/>
          <w:shd w:val="clear" w:color="auto" w:fill="FFFDFE"/>
        </w:rPr>
        <w:t xml:space="preserve"> in </w:t>
      </w:r>
      <w:proofErr w:type="spellStart"/>
      <w:r w:rsidR="00F535C1" w:rsidRPr="005F6EB9">
        <w:rPr>
          <w:rFonts w:cs="Times New Roman"/>
          <w:i/>
          <w:color w:val="000000"/>
          <w:sz w:val="24"/>
          <w:szCs w:val="24"/>
          <w:shd w:val="clear" w:color="auto" w:fill="FFFDFE"/>
        </w:rPr>
        <w:t>the</w:t>
      </w:r>
      <w:proofErr w:type="spellEnd"/>
      <w:r w:rsidR="00F535C1" w:rsidRPr="005F6EB9">
        <w:rPr>
          <w:rFonts w:cs="Times New Roman"/>
          <w:i/>
          <w:color w:val="000000"/>
          <w:sz w:val="24"/>
          <w:szCs w:val="24"/>
          <w:shd w:val="clear" w:color="auto" w:fill="FFFDFE"/>
        </w:rPr>
        <w:t xml:space="preserve"> </w:t>
      </w:r>
      <w:proofErr w:type="spellStart"/>
      <w:r w:rsidR="00F535C1" w:rsidRPr="005F6EB9">
        <w:rPr>
          <w:rFonts w:cs="Times New Roman"/>
          <w:i/>
          <w:color w:val="000000"/>
          <w:sz w:val="24"/>
          <w:szCs w:val="24"/>
          <w:shd w:val="clear" w:color="auto" w:fill="FFFDFE"/>
        </w:rPr>
        <w:t>mining</w:t>
      </w:r>
      <w:proofErr w:type="spellEnd"/>
      <w:r w:rsidR="00F535C1" w:rsidRPr="005F6EB9">
        <w:rPr>
          <w:rFonts w:cs="Times New Roman"/>
          <w:i/>
          <w:color w:val="000000"/>
          <w:sz w:val="24"/>
          <w:szCs w:val="24"/>
          <w:shd w:val="clear" w:color="auto" w:fill="FFFDFE"/>
        </w:rPr>
        <w:t xml:space="preserve"> </w:t>
      </w:r>
      <w:proofErr w:type="spellStart"/>
      <w:r w:rsidR="00F535C1" w:rsidRPr="005F6EB9">
        <w:rPr>
          <w:rFonts w:cs="Times New Roman"/>
          <w:i/>
          <w:color w:val="000000"/>
          <w:sz w:val="24"/>
          <w:szCs w:val="24"/>
          <w:shd w:val="clear" w:color="auto" w:fill="FFFDFE"/>
        </w:rPr>
        <w:t>industry</w:t>
      </w:r>
      <w:proofErr w:type="spellEnd"/>
      <w:r w:rsidR="00F535C1" w:rsidRPr="005F6EB9">
        <w:rPr>
          <w:rFonts w:cs="Times New Roman"/>
          <w:i/>
          <w:color w:val="000000"/>
          <w:sz w:val="24"/>
          <w:szCs w:val="24"/>
          <w:shd w:val="clear" w:color="auto" w:fill="FFFDFE"/>
        </w:rPr>
        <w:t xml:space="preserve">. </w:t>
      </w:r>
      <w:proofErr w:type="spellStart"/>
      <w:r w:rsidR="00F535C1" w:rsidRPr="005F6EB9">
        <w:rPr>
          <w:rFonts w:cs="Times New Roman"/>
          <w:i/>
          <w:color w:val="000000"/>
          <w:sz w:val="24"/>
          <w:szCs w:val="24"/>
          <w:shd w:val="clear" w:color="auto" w:fill="FFFDFE"/>
        </w:rPr>
        <w:t>International</w:t>
      </w:r>
      <w:proofErr w:type="spellEnd"/>
      <w:r w:rsidR="00F535C1" w:rsidRPr="005F6EB9">
        <w:rPr>
          <w:rFonts w:cs="Times New Roman"/>
          <w:i/>
          <w:color w:val="000000"/>
          <w:sz w:val="24"/>
          <w:szCs w:val="24"/>
          <w:shd w:val="clear" w:color="auto" w:fill="FFFDFE"/>
        </w:rPr>
        <w:t xml:space="preserve"> </w:t>
      </w:r>
      <w:proofErr w:type="spellStart"/>
      <w:r w:rsidR="00F535C1" w:rsidRPr="005F6EB9">
        <w:rPr>
          <w:rFonts w:cs="Times New Roman"/>
          <w:i/>
          <w:color w:val="000000"/>
          <w:sz w:val="24"/>
          <w:szCs w:val="24"/>
          <w:shd w:val="clear" w:color="auto" w:fill="FFFDFE"/>
        </w:rPr>
        <w:t>Financial</w:t>
      </w:r>
      <w:proofErr w:type="spellEnd"/>
      <w:r w:rsidR="00F535C1" w:rsidRPr="005F6EB9">
        <w:rPr>
          <w:rFonts w:cs="Times New Roman"/>
          <w:i/>
          <w:color w:val="000000"/>
          <w:sz w:val="24"/>
          <w:szCs w:val="24"/>
          <w:shd w:val="clear" w:color="auto" w:fill="FFFDFE"/>
        </w:rPr>
        <w:t xml:space="preserve"> </w:t>
      </w:r>
      <w:proofErr w:type="spellStart"/>
      <w:r w:rsidR="00F535C1" w:rsidRPr="005F6EB9">
        <w:rPr>
          <w:rFonts w:cs="Times New Roman"/>
          <w:i/>
          <w:color w:val="000000"/>
          <w:sz w:val="24"/>
          <w:szCs w:val="24"/>
          <w:shd w:val="clear" w:color="auto" w:fill="FFFDFE"/>
        </w:rPr>
        <w:t>Reporting</w:t>
      </w:r>
      <w:proofErr w:type="spellEnd"/>
      <w:r w:rsidR="00F535C1" w:rsidRPr="005F6EB9">
        <w:rPr>
          <w:rFonts w:cs="Times New Roman"/>
          <w:i/>
          <w:color w:val="000000"/>
          <w:sz w:val="24"/>
          <w:szCs w:val="24"/>
          <w:shd w:val="clear" w:color="auto" w:fill="FFFDFE"/>
        </w:rPr>
        <w:t xml:space="preserve"> </w:t>
      </w:r>
      <w:proofErr w:type="spellStart"/>
      <w:r w:rsidR="00F535C1" w:rsidRPr="005F6EB9">
        <w:rPr>
          <w:rFonts w:cs="Times New Roman"/>
          <w:i/>
          <w:color w:val="000000"/>
          <w:sz w:val="24"/>
          <w:szCs w:val="24"/>
          <w:shd w:val="clear" w:color="auto" w:fill="FFFDFE"/>
        </w:rPr>
        <w:t>Standards</w:t>
      </w:r>
      <w:proofErr w:type="spellEnd"/>
      <w:r w:rsidR="00F535C1" w:rsidRPr="00D622FB">
        <w:rPr>
          <w:rFonts w:cs="Times New Roman"/>
          <w:color w:val="000000"/>
          <w:sz w:val="24"/>
          <w:szCs w:val="24"/>
          <w:shd w:val="clear" w:color="auto" w:fill="FFFDFE"/>
        </w:rPr>
        <w:t>.</w:t>
      </w:r>
      <w:r w:rsidR="00F535C1" w:rsidRPr="00D622FB">
        <w:rPr>
          <w:rStyle w:val="apple-converted-space"/>
          <w:rFonts w:cs="Times New Roman"/>
          <w:color w:val="000000"/>
          <w:sz w:val="24"/>
          <w:szCs w:val="24"/>
          <w:shd w:val="clear" w:color="auto" w:fill="FFFDFE"/>
        </w:rPr>
        <w:t> </w:t>
      </w:r>
      <w:r w:rsidR="00F535C1">
        <w:rPr>
          <w:rStyle w:val="apple-converted-space"/>
          <w:rFonts w:cs="Times New Roman"/>
          <w:color w:val="000000"/>
          <w:sz w:val="24"/>
          <w:szCs w:val="24"/>
          <w:shd w:val="clear" w:color="auto" w:fill="FFFDFE"/>
        </w:rPr>
        <w:t>[</w:t>
      </w:r>
      <w:proofErr w:type="spellStart"/>
      <w:r w:rsidR="00F535C1">
        <w:rPr>
          <w:rStyle w:val="apple-converted-space"/>
          <w:rFonts w:cs="Times New Roman"/>
          <w:color w:val="000000"/>
          <w:sz w:val="24"/>
          <w:szCs w:val="24"/>
          <w:shd w:val="clear" w:color="auto" w:fill="FFFDFE"/>
        </w:rPr>
        <w:t>online</w:t>
      </w:r>
      <w:proofErr w:type="spellEnd"/>
      <w:r w:rsidR="00F535C1">
        <w:rPr>
          <w:rStyle w:val="apple-converted-space"/>
          <w:rFonts w:cs="Times New Roman"/>
          <w:color w:val="000000"/>
          <w:sz w:val="24"/>
          <w:szCs w:val="24"/>
          <w:shd w:val="clear" w:color="auto" w:fill="FFFDFE"/>
        </w:rPr>
        <w:t>] [cit. 2016-03-03</w:t>
      </w:r>
      <w:r w:rsidR="00F535C1">
        <w:rPr>
          <w:rStyle w:val="apple-converted-space"/>
          <w:rFonts w:cs="Times New Roman"/>
          <w:color w:val="000000"/>
          <w:sz w:val="24"/>
          <w:szCs w:val="24"/>
          <w:shd w:val="clear" w:color="auto" w:fill="FFFDFE"/>
          <w:lang w:val="en-US"/>
        </w:rPr>
        <w:t xml:space="preserve">] </w:t>
      </w:r>
      <w:r w:rsidR="00F535C1">
        <w:rPr>
          <w:rStyle w:val="apple-converted-space"/>
          <w:rFonts w:cs="Times New Roman"/>
          <w:color w:val="000000"/>
          <w:sz w:val="24"/>
          <w:szCs w:val="24"/>
          <w:shd w:val="clear" w:color="auto" w:fill="FFFDFE"/>
        </w:rPr>
        <w:t xml:space="preserve">Dostupné z </w:t>
      </w:r>
      <w:r w:rsidR="00C440FD">
        <w:rPr>
          <w:rStyle w:val="apple-converted-space"/>
          <w:rFonts w:cs="Times New Roman"/>
          <w:color w:val="000000"/>
          <w:sz w:val="24"/>
          <w:szCs w:val="24"/>
          <w:shd w:val="clear" w:color="auto" w:fill="FFFDFE"/>
        </w:rPr>
        <w:t>&lt;</w:t>
      </w:r>
      <w:r w:rsidR="00F535C1" w:rsidRPr="00E97FB5">
        <w:rPr>
          <w:rStyle w:val="apple-converted-space"/>
          <w:rFonts w:cs="Times New Roman"/>
          <w:color w:val="000000"/>
          <w:sz w:val="24"/>
          <w:szCs w:val="24"/>
          <w:shd w:val="clear" w:color="auto" w:fill="FFFDFE"/>
        </w:rPr>
        <w:t>http://www.pwc.com/gx/en/mining/publications/assets/pwc-financial-reporting-in-the-mining-industry-2012.pdf</w:t>
      </w:r>
      <w:r w:rsidR="00C440FD">
        <w:rPr>
          <w:rStyle w:val="apple-converted-space"/>
          <w:rFonts w:cs="Times New Roman"/>
          <w:color w:val="000000"/>
          <w:sz w:val="24"/>
          <w:szCs w:val="24"/>
          <w:shd w:val="clear" w:color="auto" w:fill="FFFDFE"/>
        </w:rPr>
        <w:t>&gt;</w:t>
      </w:r>
    </w:p>
    <w:p w:rsidR="00E97FB5" w:rsidRPr="00E97FB5" w:rsidRDefault="008B5EA8" w:rsidP="00A01CDB">
      <w:pPr>
        <w:rPr>
          <w:szCs w:val="24"/>
        </w:rPr>
      </w:pPr>
      <w:r w:rsidRPr="00E97FB5">
        <w:rPr>
          <w:szCs w:val="24"/>
        </w:rPr>
        <w:t>[21</w:t>
      </w:r>
      <w:r w:rsidR="00F535C1" w:rsidRPr="00E97FB5">
        <w:rPr>
          <w:szCs w:val="24"/>
        </w:rPr>
        <w:t xml:space="preserve">] </w:t>
      </w:r>
      <w:r w:rsidR="00E97FB5" w:rsidRPr="00E97FB5">
        <w:rPr>
          <w:szCs w:val="24"/>
        </w:rPr>
        <w:t xml:space="preserve">PWC: </w:t>
      </w:r>
      <w:r w:rsidR="00E97FB5" w:rsidRPr="00E97FB5">
        <w:rPr>
          <w:i/>
          <w:szCs w:val="24"/>
        </w:rPr>
        <w:t>Dane do vrecka 2015. Praktický sprievodca slovenským daňovým systémom.</w:t>
      </w:r>
      <w:r w:rsidR="00E97FB5" w:rsidRPr="00E97FB5">
        <w:rPr>
          <w:szCs w:val="24"/>
          <w:lang w:val="en-US"/>
        </w:rPr>
        <w:t xml:space="preserve"> [</w:t>
      </w:r>
      <w:proofErr w:type="gramStart"/>
      <w:r w:rsidR="00E97FB5" w:rsidRPr="00E97FB5">
        <w:rPr>
          <w:szCs w:val="24"/>
          <w:lang w:val="en-US"/>
        </w:rPr>
        <w:t>online</w:t>
      </w:r>
      <w:proofErr w:type="gramEnd"/>
      <w:r w:rsidR="00E97FB5" w:rsidRPr="00E97FB5">
        <w:rPr>
          <w:szCs w:val="24"/>
          <w:lang w:val="en-US"/>
        </w:rPr>
        <w:t>] [</w:t>
      </w:r>
      <w:proofErr w:type="gramStart"/>
      <w:r w:rsidR="00E97FB5" w:rsidRPr="00E97FB5">
        <w:rPr>
          <w:szCs w:val="24"/>
          <w:lang w:val="en-US"/>
        </w:rPr>
        <w:t>cit</w:t>
      </w:r>
      <w:proofErr w:type="gramEnd"/>
      <w:r w:rsidR="00E97FB5" w:rsidRPr="00E97FB5">
        <w:rPr>
          <w:szCs w:val="24"/>
          <w:lang w:val="en-US"/>
        </w:rPr>
        <w:t xml:space="preserve">. 2016-01-17] </w:t>
      </w:r>
      <w:proofErr w:type="spellStart"/>
      <w:r w:rsidR="00E97FB5" w:rsidRPr="00E97FB5">
        <w:rPr>
          <w:szCs w:val="24"/>
          <w:lang w:val="en-US"/>
        </w:rPr>
        <w:t>Dostupné</w:t>
      </w:r>
      <w:proofErr w:type="spellEnd"/>
      <w:r w:rsidR="00E97FB5" w:rsidRPr="00E97FB5">
        <w:rPr>
          <w:szCs w:val="24"/>
          <w:lang w:val="en-US"/>
        </w:rPr>
        <w:t xml:space="preserve"> z &lt;http://www.pwc.com/sk/sk/publikacie/dane-do-vrecka.html&gt;</w:t>
      </w:r>
    </w:p>
    <w:p w:rsidR="00F535C1" w:rsidRPr="00E97FB5" w:rsidRDefault="008B5EA8" w:rsidP="00A01CDB">
      <w:pPr>
        <w:pStyle w:val="Textpoznmkypodiarou"/>
        <w:spacing w:line="360" w:lineRule="auto"/>
        <w:rPr>
          <w:sz w:val="24"/>
          <w:szCs w:val="24"/>
        </w:rPr>
      </w:pPr>
      <w:r w:rsidRPr="00E97FB5">
        <w:rPr>
          <w:sz w:val="24"/>
          <w:szCs w:val="24"/>
        </w:rPr>
        <w:t>[22</w:t>
      </w:r>
      <w:r w:rsidR="00F535C1" w:rsidRPr="00E97FB5">
        <w:rPr>
          <w:sz w:val="24"/>
          <w:szCs w:val="24"/>
        </w:rPr>
        <w:t xml:space="preserve">] </w:t>
      </w:r>
      <w:r w:rsidR="00E97FB5" w:rsidRPr="00E97FB5">
        <w:rPr>
          <w:sz w:val="24"/>
          <w:szCs w:val="24"/>
        </w:rPr>
        <w:t xml:space="preserve">SEVEROČESKÉ DOLY, A.S.: </w:t>
      </w:r>
      <w:proofErr w:type="spellStart"/>
      <w:r w:rsidR="00E97FB5" w:rsidRPr="00E97FB5">
        <w:rPr>
          <w:i/>
          <w:sz w:val="24"/>
          <w:szCs w:val="24"/>
        </w:rPr>
        <w:t>Sezona</w:t>
      </w:r>
      <w:proofErr w:type="spellEnd"/>
      <w:r w:rsidR="00E97FB5" w:rsidRPr="00E97FB5">
        <w:rPr>
          <w:i/>
          <w:sz w:val="24"/>
          <w:szCs w:val="24"/>
        </w:rPr>
        <w:t xml:space="preserve"> 2014</w:t>
      </w:r>
      <w:r w:rsidR="00E97FB5" w:rsidRPr="00E97FB5">
        <w:rPr>
          <w:sz w:val="24"/>
          <w:szCs w:val="24"/>
        </w:rPr>
        <w:t>.</w:t>
      </w:r>
      <w:r w:rsidR="00E97FB5" w:rsidRPr="00E97FB5">
        <w:rPr>
          <w:sz w:val="24"/>
          <w:szCs w:val="24"/>
          <w:lang w:val="en-US"/>
        </w:rPr>
        <w:t>[</w:t>
      </w:r>
      <w:proofErr w:type="gramStart"/>
      <w:r w:rsidR="00E97FB5" w:rsidRPr="00E97FB5">
        <w:rPr>
          <w:sz w:val="24"/>
          <w:szCs w:val="24"/>
          <w:lang w:val="en-US"/>
        </w:rPr>
        <w:t>online</w:t>
      </w:r>
      <w:proofErr w:type="gramEnd"/>
      <w:r w:rsidR="00E97FB5" w:rsidRPr="00E97FB5">
        <w:rPr>
          <w:sz w:val="24"/>
          <w:szCs w:val="24"/>
          <w:lang w:val="en-US"/>
        </w:rPr>
        <w:t xml:space="preserve">] [cit. 2016-03-28] </w:t>
      </w:r>
      <w:proofErr w:type="spellStart"/>
      <w:r w:rsidR="00E97FB5" w:rsidRPr="00E97FB5">
        <w:rPr>
          <w:sz w:val="24"/>
          <w:szCs w:val="24"/>
          <w:lang w:val="en-US"/>
        </w:rPr>
        <w:t>Dostupné</w:t>
      </w:r>
      <w:proofErr w:type="spellEnd"/>
      <w:r w:rsidR="00E97FB5" w:rsidRPr="00E97FB5">
        <w:rPr>
          <w:sz w:val="24"/>
          <w:szCs w:val="24"/>
          <w:lang w:val="en-US"/>
        </w:rPr>
        <w:t xml:space="preserve"> z &lt;http://www.sdas.cz/vyrocni-zpravy/SD_VZ_2</w:t>
      </w:r>
      <w:r w:rsidR="00C440FD">
        <w:rPr>
          <w:sz w:val="24"/>
          <w:szCs w:val="24"/>
          <w:lang w:val="en-US"/>
        </w:rPr>
        <w:t>014.pdf</w:t>
      </w:r>
      <w:r w:rsidR="00E97FB5" w:rsidRPr="00E97FB5">
        <w:rPr>
          <w:sz w:val="24"/>
          <w:szCs w:val="24"/>
          <w:lang w:val="en-US"/>
        </w:rPr>
        <w:t>&gt;</w:t>
      </w:r>
    </w:p>
    <w:p w:rsidR="00F535C1" w:rsidRPr="00E97FB5" w:rsidRDefault="008B5EA8" w:rsidP="00A01CDB">
      <w:pPr>
        <w:pStyle w:val="Textpoznmkypodiarou"/>
        <w:spacing w:line="360" w:lineRule="auto"/>
        <w:rPr>
          <w:sz w:val="24"/>
          <w:szCs w:val="24"/>
        </w:rPr>
      </w:pPr>
      <w:r w:rsidRPr="00E97FB5">
        <w:rPr>
          <w:sz w:val="24"/>
          <w:szCs w:val="24"/>
        </w:rPr>
        <w:t>[23</w:t>
      </w:r>
      <w:r w:rsidR="00F535C1" w:rsidRPr="00E97FB5">
        <w:rPr>
          <w:sz w:val="24"/>
          <w:szCs w:val="24"/>
        </w:rPr>
        <w:t>]</w:t>
      </w:r>
      <w:r w:rsidR="00E97FB5" w:rsidRPr="00E97FB5">
        <w:rPr>
          <w:sz w:val="24"/>
          <w:szCs w:val="24"/>
        </w:rPr>
        <w:t xml:space="preserve"> </w:t>
      </w:r>
      <w:proofErr w:type="spellStart"/>
      <w:r w:rsidR="00E97FB5" w:rsidRPr="00E97FB5">
        <w:rPr>
          <w:i/>
          <w:sz w:val="24"/>
          <w:szCs w:val="24"/>
        </w:rPr>
        <w:t>Státní</w:t>
      </w:r>
      <w:proofErr w:type="spellEnd"/>
      <w:r w:rsidR="00E97FB5" w:rsidRPr="00E97FB5">
        <w:rPr>
          <w:i/>
          <w:sz w:val="24"/>
          <w:szCs w:val="24"/>
        </w:rPr>
        <w:t xml:space="preserve"> </w:t>
      </w:r>
      <w:proofErr w:type="spellStart"/>
      <w:r w:rsidR="00E97FB5" w:rsidRPr="00E97FB5">
        <w:rPr>
          <w:i/>
          <w:sz w:val="24"/>
          <w:szCs w:val="24"/>
        </w:rPr>
        <w:t>báňská</w:t>
      </w:r>
      <w:proofErr w:type="spellEnd"/>
      <w:r w:rsidR="00E97FB5" w:rsidRPr="00E97FB5">
        <w:rPr>
          <w:i/>
          <w:sz w:val="24"/>
          <w:szCs w:val="24"/>
        </w:rPr>
        <w:t xml:space="preserve"> správa České republiky: </w:t>
      </w:r>
      <w:proofErr w:type="spellStart"/>
      <w:r w:rsidR="00E97FB5" w:rsidRPr="00E97FB5">
        <w:rPr>
          <w:i/>
          <w:sz w:val="24"/>
          <w:szCs w:val="24"/>
        </w:rPr>
        <w:t>statistiky</w:t>
      </w:r>
      <w:proofErr w:type="spellEnd"/>
      <w:r w:rsidR="00E97FB5" w:rsidRPr="00E97FB5">
        <w:rPr>
          <w:i/>
          <w:sz w:val="24"/>
          <w:szCs w:val="24"/>
        </w:rPr>
        <w:t xml:space="preserve">.  </w:t>
      </w:r>
      <w:r w:rsidR="00E97FB5" w:rsidRPr="00E97FB5">
        <w:rPr>
          <w:sz w:val="24"/>
          <w:szCs w:val="24"/>
          <w:lang w:val="en-US"/>
        </w:rPr>
        <w:t>[</w:t>
      </w:r>
      <w:proofErr w:type="gramStart"/>
      <w:r w:rsidR="00E97FB5" w:rsidRPr="00E97FB5">
        <w:rPr>
          <w:sz w:val="24"/>
          <w:szCs w:val="24"/>
          <w:lang w:val="en-US"/>
        </w:rPr>
        <w:t>online</w:t>
      </w:r>
      <w:proofErr w:type="gramEnd"/>
      <w:r w:rsidR="00E97FB5" w:rsidRPr="00E97FB5">
        <w:rPr>
          <w:sz w:val="24"/>
          <w:szCs w:val="24"/>
          <w:lang w:val="en-US"/>
        </w:rPr>
        <w:t>] [2016-03-21]</w:t>
      </w:r>
      <w:r w:rsidR="00E97FB5" w:rsidRPr="00E97FB5">
        <w:rPr>
          <w:sz w:val="24"/>
          <w:szCs w:val="24"/>
        </w:rPr>
        <w:t xml:space="preserve"> Dostupné z &lt;http://www.cbusbs.cz/index.php/statistika.html&gt;</w:t>
      </w:r>
    </w:p>
    <w:p w:rsidR="00E97FB5" w:rsidRPr="00E97FB5" w:rsidRDefault="00E97FB5" w:rsidP="00A01CDB">
      <w:r w:rsidRPr="00E97FB5">
        <w:rPr>
          <w:szCs w:val="24"/>
        </w:rPr>
        <w:t xml:space="preserve">[24] ŠTATISTICKÝ ÚRAD SR: </w:t>
      </w:r>
      <w:r w:rsidRPr="00E97FB5">
        <w:rPr>
          <w:i/>
          <w:szCs w:val="24"/>
        </w:rPr>
        <w:t xml:space="preserve">Databáza </w:t>
      </w:r>
      <w:proofErr w:type="spellStart"/>
      <w:r w:rsidRPr="00E97FB5">
        <w:rPr>
          <w:i/>
          <w:szCs w:val="24"/>
        </w:rPr>
        <w:t>STATdat</w:t>
      </w:r>
      <w:proofErr w:type="spellEnd"/>
      <w:r w:rsidRPr="00E97FB5">
        <w:rPr>
          <w:szCs w:val="24"/>
        </w:rPr>
        <w:t>. [</w:t>
      </w:r>
      <w:proofErr w:type="spellStart"/>
      <w:r w:rsidRPr="00E97FB5">
        <w:rPr>
          <w:szCs w:val="24"/>
        </w:rPr>
        <w:t>online</w:t>
      </w:r>
      <w:proofErr w:type="spellEnd"/>
      <w:r w:rsidRPr="00E97FB5">
        <w:rPr>
          <w:szCs w:val="24"/>
        </w:rPr>
        <w:t>] [cit. 2016-03-03</w:t>
      </w:r>
      <w:r w:rsidRPr="00E97FB5">
        <w:rPr>
          <w:szCs w:val="24"/>
          <w:lang w:val="en-US"/>
        </w:rPr>
        <w:t xml:space="preserve">] </w:t>
      </w:r>
      <w:proofErr w:type="spellStart"/>
      <w:r w:rsidRPr="00E97FB5">
        <w:rPr>
          <w:szCs w:val="24"/>
          <w:lang w:val="en-US"/>
        </w:rPr>
        <w:t>Dostupné</w:t>
      </w:r>
      <w:proofErr w:type="spellEnd"/>
      <w:r w:rsidRPr="00E97FB5">
        <w:rPr>
          <w:szCs w:val="24"/>
          <w:lang w:val="en-US"/>
        </w:rPr>
        <w:t xml:space="preserve"> z </w:t>
      </w:r>
      <w:r w:rsidR="00C440FD">
        <w:rPr>
          <w:szCs w:val="24"/>
          <w:lang w:val="en-US"/>
        </w:rPr>
        <w:t>&lt;</w:t>
      </w:r>
      <w:r w:rsidRPr="00E97FB5">
        <w:rPr>
          <w:szCs w:val="24"/>
          <w:lang w:val="en-US"/>
        </w:rPr>
        <w:t>http://statdat.statistics.sk/cognosext/cgi-</w:t>
      </w:r>
      <w:r w:rsidRPr="00E41118">
        <w:rPr>
          <w:lang w:val="en-US"/>
        </w:rPr>
        <w:t>bin/cognos.cgi?b_action=xts.run&amp;m=portal/cc.xts&amp;gohome=</w:t>
      </w:r>
      <w:r w:rsidR="00C440FD">
        <w:rPr>
          <w:lang w:val="en-US"/>
        </w:rPr>
        <w:t>&gt;</w:t>
      </w:r>
    </w:p>
    <w:p w:rsidR="00E97FB5" w:rsidRDefault="00E97FB5" w:rsidP="00A01CDB">
      <w:pPr>
        <w:pStyle w:val="Textpoznmkypodiarou"/>
        <w:spacing w:line="360" w:lineRule="auto"/>
        <w:rPr>
          <w:sz w:val="24"/>
          <w:szCs w:val="24"/>
        </w:rPr>
      </w:pPr>
      <w:r>
        <w:rPr>
          <w:sz w:val="24"/>
          <w:szCs w:val="24"/>
        </w:rPr>
        <w:t>[25]</w:t>
      </w:r>
      <w:r w:rsidRPr="00E97FB5">
        <w:rPr>
          <w:sz w:val="24"/>
          <w:szCs w:val="24"/>
        </w:rPr>
        <w:t xml:space="preserve"> </w:t>
      </w:r>
      <w:r w:rsidRPr="00960517">
        <w:rPr>
          <w:sz w:val="24"/>
          <w:szCs w:val="24"/>
        </w:rPr>
        <w:t xml:space="preserve">VANČUROVÁ, A.: </w:t>
      </w:r>
      <w:r w:rsidRPr="00960517">
        <w:rPr>
          <w:i/>
          <w:sz w:val="24"/>
          <w:szCs w:val="24"/>
        </w:rPr>
        <w:t>Daňové reformy v ČR.</w:t>
      </w:r>
      <w:r w:rsidRPr="00960517">
        <w:rPr>
          <w:sz w:val="24"/>
          <w:szCs w:val="24"/>
        </w:rPr>
        <w:t xml:space="preserve"> </w:t>
      </w:r>
      <w:r w:rsidRPr="00960517">
        <w:rPr>
          <w:sz w:val="24"/>
          <w:szCs w:val="24"/>
          <w:lang w:val="en-US"/>
        </w:rPr>
        <w:t>[</w:t>
      </w:r>
      <w:proofErr w:type="gramStart"/>
      <w:r w:rsidRPr="00960517">
        <w:rPr>
          <w:sz w:val="24"/>
          <w:szCs w:val="24"/>
          <w:lang w:val="en-US"/>
        </w:rPr>
        <w:t>online</w:t>
      </w:r>
      <w:proofErr w:type="gramEnd"/>
      <w:r w:rsidRPr="00960517">
        <w:rPr>
          <w:sz w:val="24"/>
          <w:szCs w:val="24"/>
          <w:lang w:val="en-US"/>
        </w:rPr>
        <w:t xml:space="preserve">] [cit.2016-01-24] </w:t>
      </w:r>
      <w:proofErr w:type="spellStart"/>
      <w:r w:rsidRPr="00960517">
        <w:rPr>
          <w:sz w:val="24"/>
          <w:szCs w:val="24"/>
          <w:lang w:val="en-US"/>
        </w:rPr>
        <w:t>Dostupné</w:t>
      </w:r>
      <w:proofErr w:type="spellEnd"/>
      <w:r w:rsidRPr="00960517">
        <w:rPr>
          <w:sz w:val="24"/>
          <w:szCs w:val="24"/>
          <w:lang w:val="en-US"/>
        </w:rPr>
        <w:t xml:space="preserve"> z </w:t>
      </w:r>
      <w:r w:rsidR="00C440FD">
        <w:rPr>
          <w:sz w:val="24"/>
          <w:szCs w:val="24"/>
          <w:lang w:val="en-US"/>
        </w:rPr>
        <w:t>&lt;</w:t>
      </w:r>
      <w:r w:rsidRPr="00960517">
        <w:rPr>
          <w:sz w:val="24"/>
          <w:szCs w:val="24"/>
        </w:rPr>
        <w:t>http://kvf.vse.cz/storage/1218123709_sb_vancurova.pdf</w:t>
      </w:r>
      <w:r w:rsidR="00C440FD">
        <w:rPr>
          <w:sz w:val="24"/>
          <w:szCs w:val="24"/>
        </w:rPr>
        <w:t>&gt;</w:t>
      </w:r>
    </w:p>
    <w:p w:rsidR="00E97FB5" w:rsidRDefault="00E97FB5" w:rsidP="00A01CDB">
      <w:pPr>
        <w:pStyle w:val="Textpoznmkypodiarou"/>
        <w:spacing w:line="360" w:lineRule="auto"/>
        <w:rPr>
          <w:sz w:val="24"/>
          <w:szCs w:val="24"/>
        </w:rPr>
      </w:pPr>
      <w:r>
        <w:rPr>
          <w:sz w:val="24"/>
          <w:szCs w:val="24"/>
        </w:rPr>
        <w:t>[26]</w:t>
      </w:r>
      <w:r w:rsidRPr="00E97FB5">
        <w:rPr>
          <w:i/>
          <w:sz w:val="24"/>
          <w:szCs w:val="24"/>
        </w:rPr>
        <w:t xml:space="preserve"> </w:t>
      </w:r>
      <w:r w:rsidRPr="00931551">
        <w:rPr>
          <w:i/>
          <w:sz w:val="24"/>
          <w:szCs w:val="24"/>
        </w:rPr>
        <w:t>Výsledky dražieb štátnych dlhopisov</w:t>
      </w:r>
      <w:r>
        <w:rPr>
          <w:i/>
          <w:sz w:val="24"/>
          <w:szCs w:val="24"/>
        </w:rPr>
        <w:t>.</w:t>
      </w:r>
      <w:r>
        <w:rPr>
          <w:sz w:val="24"/>
          <w:szCs w:val="24"/>
          <w:lang w:val="en-US"/>
        </w:rPr>
        <w:t xml:space="preserve"> [</w:t>
      </w:r>
      <w:proofErr w:type="gramStart"/>
      <w:r>
        <w:rPr>
          <w:sz w:val="24"/>
          <w:szCs w:val="24"/>
          <w:lang w:val="en-US"/>
        </w:rPr>
        <w:t>online</w:t>
      </w:r>
      <w:proofErr w:type="gramEnd"/>
      <w:r>
        <w:rPr>
          <w:sz w:val="24"/>
          <w:szCs w:val="24"/>
          <w:lang w:val="en-US"/>
        </w:rPr>
        <w:t>] [cit.2016-03-03]</w:t>
      </w:r>
      <w:r>
        <w:rPr>
          <w:i/>
          <w:sz w:val="24"/>
          <w:szCs w:val="24"/>
        </w:rPr>
        <w:t xml:space="preserve"> </w:t>
      </w:r>
      <w:r>
        <w:rPr>
          <w:sz w:val="24"/>
          <w:szCs w:val="24"/>
        </w:rPr>
        <w:t xml:space="preserve">Dostupné z </w:t>
      </w:r>
      <w:r w:rsidR="00C440FD">
        <w:rPr>
          <w:sz w:val="24"/>
          <w:szCs w:val="24"/>
        </w:rPr>
        <w:t>&lt;</w:t>
      </w:r>
      <w:r w:rsidRPr="00931551">
        <w:rPr>
          <w:sz w:val="24"/>
          <w:szCs w:val="24"/>
        </w:rPr>
        <w:t>https://www.ardal.sk/_img/Documents/%C5%A0CP/%C5%A0D/Portf%C3%B3lio%20%C5%A0D/vysledkysd2014.htm</w:t>
      </w:r>
      <w:r w:rsidR="00C440FD">
        <w:rPr>
          <w:sz w:val="24"/>
          <w:szCs w:val="24"/>
        </w:rPr>
        <w:t>&gt;</w:t>
      </w:r>
    </w:p>
    <w:p w:rsidR="00D647EC" w:rsidRDefault="00D647EC" w:rsidP="00A01CDB">
      <w:pPr>
        <w:pStyle w:val="Textpoznmkypodiarou"/>
        <w:spacing w:line="360" w:lineRule="auto"/>
        <w:rPr>
          <w:sz w:val="24"/>
          <w:szCs w:val="24"/>
        </w:rPr>
      </w:pPr>
    </w:p>
    <w:p w:rsidR="00F535C1" w:rsidRDefault="00F535C1" w:rsidP="00A01CDB">
      <w:pPr>
        <w:pStyle w:val="Textpoznmkypodiarou"/>
        <w:spacing w:line="360" w:lineRule="auto"/>
        <w:rPr>
          <w:sz w:val="24"/>
          <w:szCs w:val="24"/>
        </w:rPr>
      </w:pPr>
      <w:r>
        <w:rPr>
          <w:sz w:val="24"/>
          <w:szCs w:val="24"/>
        </w:rPr>
        <w:t>Zdroje obrázkov:</w:t>
      </w:r>
    </w:p>
    <w:p w:rsidR="006C1337" w:rsidRDefault="00D647EC" w:rsidP="00A01CDB">
      <w:pPr>
        <w:pStyle w:val="Textpoznmkypodiarou"/>
        <w:spacing w:line="360" w:lineRule="auto"/>
        <w:rPr>
          <w:sz w:val="24"/>
          <w:szCs w:val="24"/>
        </w:rPr>
      </w:pPr>
      <w:r>
        <w:rPr>
          <w:sz w:val="24"/>
          <w:szCs w:val="24"/>
        </w:rPr>
        <w:t>[27</w:t>
      </w:r>
      <w:r w:rsidR="00F535C1">
        <w:rPr>
          <w:sz w:val="24"/>
          <w:szCs w:val="24"/>
        </w:rPr>
        <w:t>]</w:t>
      </w:r>
      <w:r w:rsidR="00C440FD">
        <w:rPr>
          <w:sz w:val="24"/>
          <w:szCs w:val="24"/>
        </w:rPr>
        <w:t>&lt;</w:t>
      </w:r>
      <w:r w:rsidR="006C1337" w:rsidRPr="006C1337">
        <w:rPr>
          <w:sz w:val="24"/>
          <w:szCs w:val="24"/>
        </w:rPr>
        <w:t>http://img.nehnutelnosti.sk/stories/Magazin/Rekreacne_domy/region_0008_horna_nitra.jpg</w:t>
      </w:r>
      <w:r w:rsidR="00C440FD">
        <w:rPr>
          <w:sz w:val="24"/>
          <w:szCs w:val="24"/>
        </w:rPr>
        <w:t>&gt;</w:t>
      </w:r>
    </w:p>
    <w:p w:rsidR="00D647EC" w:rsidRDefault="00D647EC" w:rsidP="00A01CDB">
      <w:pPr>
        <w:pStyle w:val="Textpoznmkypodiarou"/>
        <w:spacing w:line="360" w:lineRule="auto"/>
        <w:rPr>
          <w:sz w:val="24"/>
          <w:szCs w:val="24"/>
        </w:rPr>
      </w:pPr>
      <w:r>
        <w:rPr>
          <w:sz w:val="24"/>
          <w:szCs w:val="24"/>
        </w:rPr>
        <w:t>[28</w:t>
      </w:r>
      <w:r w:rsidR="00F535C1">
        <w:rPr>
          <w:sz w:val="24"/>
          <w:szCs w:val="24"/>
        </w:rPr>
        <w:t xml:space="preserve">] </w:t>
      </w:r>
      <w:r w:rsidR="00C440FD">
        <w:rPr>
          <w:sz w:val="24"/>
          <w:szCs w:val="24"/>
        </w:rPr>
        <w:t>&lt;</w:t>
      </w:r>
      <w:r w:rsidR="00F535C1" w:rsidRPr="00D622FB">
        <w:rPr>
          <w:sz w:val="24"/>
          <w:szCs w:val="24"/>
        </w:rPr>
        <w:t>http://www.rkcpd.sk/rok-2011/medzinarodny-den-biodiverzity.html?page_id=2214</w:t>
      </w:r>
      <w:r w:rsidR="00C440FD">
        <w:rPr>
          <w:sz w:val="24"/>
          <w:szCs w:val="24"/>
        </w:rPr>
        <w:t>&gt;</w:t>
      </w:r>
    </w:p>
    <w:p w:rsidR="00D647EC" w:rsidRPr="00351EB8" w:rsidRDefault="00D647EC" w:rsidP="00A01CDB">
      <w:r>
        <w:rPr>
          <w:szCs w:val="24"/>
          <w:lang w:val="en-US"/>
        </w:rPr>
        <w:t>[</w:t>
      </w:r>
      <w:r w:rsidR="00351EB8">
        <w:rPr>
          <w:szCs w:val="24"/>
          <w:lang w:val="en-US"/>
        </w:rPr>
        <w:t>29</w:t>
      </w:r>
      <w:r>
        <w:rPr>
          <w:szCs w:val="24"/>
          <w:lang w:val="en-US"/>
        </w:rPr>
        <w:t>]</w:t>
      </w:r>
      <w:r w:rsidR="00351EB8" w:rsidRPr="00A16AD9">
        <w:rPr>
          <w:i/>
          <w:szCs w:val="24"/>
        </w:rPr>
        <w:t xml:space="preserve"> </w:t>
      </w:r>
      <w:r w:rsidR="00C440FD">
        <w:rPr>
          <w:i/>
          <w:szCs w:val="24"/>
        </w:rPr>
        <w:t>&lt;</w:t>
      </w:r>
      <w:r w:rsidR="00351EB8" w:rsidRPr="00A16AD9">
        <w:rPr>
          <w:szCs w:val="24"/>
        </w:rPr>
        <w:t>http://www.sev-en.cz/cz/uhli/tezba.html</w:t>
      </w:r>
      <w:r w:rsidR="00C440FD">
        <w:rPr>
          <w:szCs w:val="24"/>
        </w:rPr>
        <w:t>&gt;</w:t>
      </w:r>
    </w:p>
    <w:p w:rsidR="00164C36" w:rsidRDefault="00164C36" w:rsidP="00A01CDB">
      <w:pPr>
        <w:spacing w:after="200" w:line="276" w:lineRule="auto"/>
      </w:pPr>
    </w:p>
    <w:p w:rsidR="00164C36" w:rsidRDefault="00164C36" w:rsidP="00A01CDB">
      <w:pPr>
        <w:pStyle w:val="Nadpis1"/>
        <w:numPr>
          <w:ilvl w:val="0"/>
          <w:numId w:val="0"/>
        </w:numPr>
        <w:ind w:left="431"/>
      </w:pPr>
      <w:bookmarkStart w:id="44" w:name="_Toc447622283"/>
      <w:r>
        <w:lastRenderedPageBreak/>
        <w:t>Zoznam tabuliek, obrázkov a grafov</w:t>
      </w:r>
      <w:bookmarkEnd w:id="44"/>
    </w:p>
    <w:p w:rsidR="00164C36" w:rsidRDefault="00164C36" w:rsidP="00A01CDB">
      <w:pPr>
        <w:tabs>
          <w:tab w:val="left" w:pos="8647"/>
        </w:tabs>
        <w:rPr>
          <w:b/>
        </w:rPr>
      </w:pPr>
      <w:r w:rsidRPr="00164C36">
        <w:rPr>
          <w:b/>
        </w:rPr>
        <w:t>Tabuľky:</w:t>
      </w:r>
    </w:p>
    <w:p w:rsidR="00164C36" w:rsidRDefault="00164C36" w:rsidP="00A01CDB">
      <w:pPr>
        <w:tabs>
          <w:tab w:val="left" w:leader="dot" w:pos="8647"/>
        </w:tabs>
      </w:pPr>
      <w:r>
        <w:t>Tabuľka č.1</w:t>
      </w:r>
      <w:r w:rsidR="008757F6">
        <w:t>: Druhy záväzkov</w:t>
      </w:r>
      <w:r w:rsidR="008757F6">
        <w:tab/>
      </w:r>
      <w:r w:rsidR="006D3F0B">
        <w:t>16</w:t>
      </w:r>
    </w:p>
    <w:p w:rsidR="00164C36" w:rsidRDefault="00164C36" w:rsidP="00A01CDB">
      <w:pPr>
        <w:tabs>
          <w:tab w:val="left" w:leader="dot" w:pos="8647"/>
        </w:tabs>
      </w:pPr>
      <w:r>
        <w:t>Tabuľka č.2</w:t>
      </w:r>
      <w:r w:rsidR="005B658E">
        <w:t>: Účtovanie reze</w:t>
      </w:r>
      <w:r w:rsidR="006D3F0B">
        <w:t>rv na nevyfakturované dodávky</w:t>
      </w:r>
      <w:r w:rsidR="006D3F0B">
        <w:tab/>
        <w:t>24</w:t>
      </w:r>
    </w:p>
    <w:p w:rsidR="00164C36" w:rsidRDefault="00164C36" w:rsidP="00A01CDB">
      <w:pPr>
        <w:tabs>
          <w:tab w:val="left" w:leader="dot" w:pos="8647"/>
        </w:tabs>
      </w:pPr>
      <w:r>
        <w:t>Tabuľka č.3</w:t>
      </w:r>
      <w:r w:rsidR="005B658E">
        <w:t>: Účtovanie re</w:t>
      </w:r>
      <w:r w:rsidR="006D3F0B">
        <w:t>zerv na nevyčerpané dovolenky</w:t>
      </w:r>
      <w:r w:rsidR="006D3F0B">
        <w:tab/>
        <w:t>24</w:t>
      </w:r>
    </w:p>
    <w:p w:rsidR="005B658E" w:rsidRDefault="00164C36" w:rsidP="00A01CDB">
      <w:pPr>
        <w:tabs>
          <w:tab w:val="left" w:leader="dot" w:pos="8647"/>
        </w:tabs>
      </w:pPr>
      <w:r>
        <w:t>Tabuľka č.4</w:t>
      </w:r>
      <w:r w:rsidR="006D3F0B">
        <w:t>: Analýza tvorby podľa IFRS</w:t>
      </w:r>
      <w:r w:rsidR="006D3F0B">
        <w:tab/>
        <w:t>41</w:t>
      </w:r>
    </w:p>
    <w:p w:rsidR="00164C36" w:rsidRDefault="00164C36" w:rsidP="00A01CDB">
      <w:pPr>
        <w:tabs>
          <w:tab w:val="left" w:leader="dot" w:pos="8647"/>
        </w:tabs>
      </w:pPr>
      <w:r>
        <w:t>Tabuľka č.5</w:t>
      </w:r>
      <w:r w:rsidR="005B658E">
        <w:t>: Výpočet r</w:t>
      </w:r>
      <w:r w:rsidR="006D3F0B">
        <w:t>ezerv podľa slovenskej úpravy</w:t>
      </w:r>
      <w:r w:rsidR="006D3F0B">
        <w:tab/>
        <w:t>43</w:t>
      </w:r>
    </w:p>
    <w:p w:rsidR="00164C36" w:rsidRDefault="00164C36" w:rsidP="00A01CDB">
      <w:pPr>
        <w:tabs>
          <w:tab w:val="left" w:leader="dot" w:pos="8647"/>
        </w:tabs>
      </w:pPr>
      <w:r>
        <w:t>Tabuľka č.6</w:t>
      </w:r>
      <w:r w:rsidR="005B658E">
        <w:t>: Tvorba</w:t>
      </w:r>
      <w:r w:rsidR="006D3F0B">
        <w:t xml:space="preserve"> daňových rezerv pre rok 2014</w:t>
      </w:r>
      <w:r w:rsidR="006D3F0B">
        <w:tab/>
        <w:t>44</w:t>
      </w:r>
    </w:p>
    <w:p w:rsidR="00164C36" w:rsidRDefault="00164C36" w:rsidP="00A01CDB">
      <w:pPr>
        <w:tabs>
          <w:tab w:val="left" w:leader="dot" w:pos="8647"/>
        </w:tabs>
      </w:pPr>
      <w:r>
        <w:t>Tabuľka č.7</w:t>
      </w:r>
      <w:r w:rsidR="005B658E">
        <w:t>: Tvorba daňových rezerv pre rok 2015</w:t>
      </w:r>
      <w:r w:rsidR="005B658E">
        <w:tab/>
      </w:r>
      <w:r w:rsidR="006D3F0B">
        <w:t>44</w:t>
      </w:r>
    </w:p>
    <w:p w:rsidR="00164C36" w:rsidRDefault="00164C36" w:rsidP="00A01CDB">
      <w:pPr>
        <w:tabs>
          <w:tab w:val="left" w:leader="dot" w:pos="8647"/>
        </w:tabs>
      </w:pPr>
      <w:r>
        <w:t>Tabuľka č.8</w:t>
      </w:r>
      <w:r w:rsidR="006D3F0B">
        <w:t>: Predpoklad pre rok 2016</w:t>
      </w:r>
      <w:r w:rsidR="006D3F0B">
        <w:tab/>
        <w:t>45</w:t>
      </w:r>
    </w:p>
    <w:p w:rsidR="00164C36" w:rsidRDefault="00164C36" w:rsidP="00A01CDB">
      <w:pPr>
        <w:tabs>
          <w:tab w:val="left" w:leader="dot" w:pos="8647"/>
        </w:tabs>
      </w:pPr>
      <w:r>
        <w:t>Tabuľka č.9</w:t>
      </w:r>
      <w:r w:rsidR="00C715E9">
        <w:t>: 7. ťažobn</w:t>
      </w:r>
      <w:r w:rsidR="006D3F0B">
        <w:t>é pole - čerpanie v roku 2015</w:t>
      </w:r>
      <w:r w:rsidR="006D3F0B">
        <w:tab/>
        <w:t>46</w:t>
      </w:r>
    </w:p>
    <w:p w:rsidR="00164C36" w:rsidRDefault="00164C36" w:rsidP="00A01CDB">
      <w:pPr>
        <w:tabs>
          <w:tab w:val="left" w:leader="dot" w:pos="8647"/>
        </w:tabs>
      </w:pPr>
      <w:r>
        <w:t>Tabuľka č.10</w:t>
      </w:r>
      <w:r w:rsidR="006D3F0B">
        <w:t>: Zoznam banských diel</w:t>
      </w:r>
      <w:r w:rsidR="006D3F0B">
        <w:tab/>
        <w:t>47</w:t>
      </w:r>
      <w:r w:rsidR="00C715E9">
        <w:t xml:space="preserve"> </w:t>
      </w:r>
    </w:p>
    <w:p w:rsidR="00164C36" w:rsidRDefault="00164C36" w:rsidP="00A01CDB">
      <w:pPr>
        <w:tabs>
          <w:tab w:val="left" w:leader="dot" w:pos="8647"/>
        </w:tabs>
      </w:pPr>
      <w:r>
        <w:t>Tabuľka č.11</w:t>
      </w:r>
      <w:r w:rsidR="00C715E9">
        <w:t>: Prepočet sú</w:t>
      </w:r>
      <w:r w:rsidR="006D3F0B">
        <w:t>časnej hodnoty vybraných diel</w:t>
      </w:r>
      <w:r w:rsidR="006D3F0B">
        <w:tab/>
        <w:t>48</w:t>
      </w:r>
    </w:p>
    <w:p w:rsidR="00C715E9" w:rsidRDefault="00164C36" w:rsidP="00A01CDB">
      <w:pPr>
        <w:tabs>
          <w:tab w:val="left" w:leader="dot" w:pos="8647"/>
        </w:tabs>
      </w:pPr>
      <w:r>
        <w:t>Tabuľka č.12</w:t>
      </w:r>
      <w:r w:rsidR="00C715E9">
        <w:t>: Súčasná hod</w:t>
      </w:r>
      <w:r w:rsidR="006D3F0B">
        <w:t>nota počas jednotlivých rokov</w:t>
      </w:r>
      <w:r w:rsidR="006D3F0B">
        <w:tab/>
        <w:t>49</w:t>
      </w:r>
    </w:p>
    <w:p w:rsidR="00F82895" w:rsidRDefault="00C715E9" w:rsidP="00A01CDB">
      <w:pPr>
        <w:tabs>
          <w:tab w:val="left" w:leader="dot" w:pos="8647"/>
        </w:tabs>
      </w:pPr>
      <w:r>
        <w:t>Tabuľka č.13: Rezerv</w:t>
      </w:r>
      <w:r w:rsidR="006D3F0B">
        <w:t>y na likvidáciu banských diel</w:t>
      </w:r>
      <w:r w:rsidR="006D3F0B">
        <w:tab/>
        <w:t>50</w:t>
      </w:r>
    </w:p>
    <w:p w:rsidR="00F82895" w:rsidRDefault="00F82895" w:rsidP="00A01CDB">
      <w:pPr>
        <w:tabs>
          <w:tab w:val="left" w:leader="dot" w:pos="8647"/>
        </w:tabs>
      </w:pPr>
    </w:p>
    <w:p w:rsidR="00F82895" w:rsidRDefault="00F82895" w:rsidP="00A01CDB">
      <w:pPr>
        <w:tabs>
          <w:tab w:val="left" w:leader="dot" w:pos="8647"/>
        </w:tabs>
      </w:pPr>
      <w:r w:rsidRPr="00931B24">
        <w:rPr>
          <w:b/>
        </w:rPr>
        <w:t>Obrázky</w:t>
      </w:r>
      <w:r>
        <w:t>:</w:t>
      </w:r>
    </w:p>
    <w:p w:rsidR="00F82895" w:rsidRDefault="00F82895" w:rsidP="00A01CDB">
      <w:pPr>
        <w:tabs>
          <w:tab w:val="left" w:leader="dot" w:pos="8647"/>
        </w:tabs>
      </w:pPr>
      <w:r>
        <w:t>Obrázok č.1: Mapa Slovenska</w:t>
      </w:r>
      <w:r w:rsidR="0086705C">
        <w:t xml:space="preserve"> s vyznačením lokalizácie podniku</w:t>
      </w:r>
      <w:r w:rsidR="006D3F0B">
        <w:tab/>
        <w:t>24</w:t>
      </w:r>
    </w:p>
    <w:p w:rsidR="00F82895" w:rsidRDefault="006D3F0B" w:rsidP="00A01CDB">
      <w:pPr>
        <w:tabs>
          <w:tab w:val="left" w:leader="dot" w:pos="8647"/>
        </w:tabs>
      </w:pPr>
      <w:r>
        <w:t>Obrázok č.2: Mokrade</w:t>
      </w:r>
      <w:r>
        <w:tab/>
        <w:t>38</w:t>
      </w:r>
    </w:p>
    <w:p w:rsidR="00F82895" w:rsidRDefault="00F82895" w:rsidP="00A01CDB">
      <w:pPr>
        <w:tabs>
          <w:tab w:val="left" w:leader="dot" w:pos="8647"/>
        </w:tabs>
      </w:pPr>
      <w:r>
        <w:t>Ob</w:t>
      </w:r>
      <w:r w:rsidR="006D3F0B">
        <w:t xml:space="preserve">rázok č.3: </w:t>
      </w:r>
      <w:proofErr w:type="spellStart"/>
      <w:r w:rsidR="006D3F0B">
        <w:t>Poddolované</w:t>
      </w:r>
      <w:proofErr w:type="spellEnd"/>
      <w:r w:rsidR="006D3F0B">
        <w:t xml:space="preserve"> územie</w:t>
      </w:r>
      <w:r w:rsidR="006D3F0B">
        <w:tab/>
        <w:t>38</w:t>
      </w:r>
    </w:p>
    <w:p w:rsidR="00F82895" w:rsidRDefault="00F82895" w:rsidP="00A01CDB">
      <w:pPr>
        <w:tabs>
          <w:tab w:val="left" w:leader="dot" w:pos="8647"/>
        </w:tabs>
      </w:pPr>
      <w:r>
        <w:t>Obráz</w:t>
      </w:r>
      <w:r w:rsidR="006D3F0B">
        <w:t>ok č.4: Povrchová ťažba uhlia</w:t>
      </w:r>
      <w:r w:rsidR="006D3F0B">
        <w:tab/>
        <w:t>52</w:t>
      </w:r>
    </w:p>
    <w:p w:rsidR="00F82895" w:rsidRDefault="00F82895" w:rsidP="00A01CDB">
      <w:pPr>
        <w:tabs>
          <w:tab w:val="left" w:leader="dot" w:pos="8647"/>
        </w:tabs>
      </w:pPr>
    </w:p>
    <w:p w:rsidR="00F82895" w:rsidRDefault="00F82895" w:rsidP="00A01CDB">
      <w:pPr>
        <w:tabs>
          <w:tab w:val="left" w:leader="dot" w:pos="8647"/>
        </w:tabs>
      </w:pPr>
      <w:r w:rsidRPr="00931B24">
        <w:rPr>
          <w:b/>
        </w:rPr>
        <w:t>Grafy</w:t>
      </w:r>
      <w:r>
        <w:t xml:space="preserve">: </w:t>
      </w:r>
    </w:p>
    <w:p w:rsidR="00F82895" w:rsidRDefault="00F82895" w:rsidP="00A01CDB">
      <w:pPr>
        <w:tabs>
          <w:tab w:val="left" w:leader="dot" w:pos="8647"/>
        </w:tabs>
      </w:pPr>
      <w:r>
        <w:t>Graf č.1</w:t>
      </w:r>
      <w:r w:rsidR="006D3F0B">
        <w:t>: Severočeské doly, a.s.</w:t>
      </w:r>
      <w:r w:rsidR="006D3F0B">
        <w:tab/>
        <w:t>54</w:t>
      </w:r>
    </w:p>
    <w:p w:rsidR="00F82895" w:rsidRDefault="00F82895" w:rsidP="00A01CDB">
      <w:pPr>
        <w:tabs>
          <w:tab w:val="left" w:leader="dot" w:pos="8647"/>
        </w:tabs>
      </w:pPr>
      <w:r>
        <w:t>Graf č.2</w:t>
      </w:r>
      <w:r w:rsidR="006D3F0B">
        <w:t>: HBP, a.s.</w:t>
      </w:r>
      <w:r w:rsidR="006D3F0B">
        <w:tab/>
        <w:t>54</w:t>
      </w:r>
    </w:p>
    <w:p w:rsidR="00164C36" w:rsidRPr="00164C36" w:rsidRDefault="00F82895" w:rsidP="00A01CDB">
      <w:pPr>
        <w:tabs>
          <w:tab w:val="left" w:leader="dot" w:pos="8647"/>
        </w:tabs>
        <w:rPr>
          <w:rFonts w:eastAsiaTheme="majorEastAsia" w:cstheme="majorBidi"/>
          <w:b/>
          <w:color w:val="000000" w:themeColor="text1"/>
          <w:sz w:val="32"/>
          <w:szCs w:val="28"/>
        </w:rPr>
      </w:pPr>
      <w:r>
        <w:t>Graf č.3</w:t>
      </w:r>
      <w:r w:rsidR="006D3F0B">
        <w:t>: Severní energetická, a.s.</w:t>
      </w:r>
      <w:r w:rsidR="006D3F0B">
        <w:tab/>
        <w:t>54</w:t>
      </w:r>
      <w:r w:rsidR="00164C36" w:rsidRPr="00164C36">
        <w:rPr>
          <w:b/>
        </w:rPr>
        <w:br w:type="page"/>
      </w:r>
    </w:p>
    <w:p w:rsidR="00F535C1" w:rsidRDefault="00164C36" w:rsidP="00A01CDB">
      <w:pPr>
        <w:pStyle w:val="Nadpis1"/>
        <w:numPr>
          <w:ilvl w:val="0"/>
          <w:numId w:val="0"/>
        </w:numPr>
        <w:ind w:left="431"/>
      </w:pPr>
      <w:bookmarkStart w:id="45" w:name="_Toc447622284"/>
      <w:r>
        <w:lastRenderedPageBreak/>
        <w:t>Zoznam použitých skratiek</w:t>
      </w:r>
      <w:bookmarkEnd w:id="45"/>
    </w:p>
    <w:p w:rsidR="00A360DF" w:rsidRDefault="00A360DF" w:rsidP="00A01CDB">
      <w:r>
        <w:t xml:space="preserve">a pod. </w:t>
      </w:r>
      <w:r>
        <w:tab/>
      </w:r>
      <w:r>
        <w:tab/>
        <w:t>a podobne</w:t>
      </w:r>
    </w:p>
    <w:p w:rsidR="00164C36" w:rsidRDefault="00A360DF" w:rsidP="00A01CDB">
      <w:r>
        <w:t xml:space="preserve">a.s. </w:t>
      </w:r>
      <w:r>
        <w:tab/>
      </w:r>
      <w:r>
        <w:tab/>
      </w:r>
      <w:r w:rsidR="00D35D77">
        <w:t>akciová spoločnosť</w:t>
      </w:r>
    </w:p>
    <w:p w:rsidR="00A360DF" w:rsidRDefault="00A360DF" w:rsidP="00A01CDB">
      <w:r>
        <w:t>atď.</w:t>
      </w:r>
      <w:r>
        <w:tab/>
      </w:r>
      <w:r>
        <w:tab/>
        <w:t>a tak ďalej</w:t>
      </w:r>
    </w:p>
    <w:p w:rsidR="00D35D77" w:rsidRDefault="00A360DF" w:rsidP="00A01CDB">
      <w:r>
        <w:t>č.</w:t>
      </w:r>
      <w:r>
        <w:tab/>
      </w:r>
      <w:r>
        <w:tab/>
        <w:t>číslo</w:t>
      </w:r>
    </w:p>
    <w:p w:rsidR="00A360DF" w:rsidRDefault="00A360DF" w:rsidP="00A01CDB">
      <w:r>
        <w:t>ČSFR</w:t>
      </w:r>
      <w:r>
        <w:tab/>
      </w:r>
      <w:r>
        <w:tab/>
        <w:t>Česká a Slovenská federatívna republika</w:t>
      </w:r>
    </w:p>
    <w:p w:rsidR="00E82859" w:rsidRDefault="00E82859" w:rsidP="00A01CDB">
      <w:r>
        <w:t>ČSSR</w:t>
      </w:r>
      <w:r>
        <w:tab/>
      </w:r>
      <w:r>
        <w:tab/>
        <w:t>Československá socialistická republika</w:t>
      </w:r>
    </w:p>
    <w:p w:rsidR="00A360DF" w:rsidRPr="00A360DF" w:rsidRDefault="00A360DF" w:rsidP="00A01CDB">
      <w:r>
        <w:t>ha</w:t>
      </w:r>
      <w:r>
        <w:tab/>
      </w:r>
      <w:r>
        <w:tab/>
        <w:t>hektár (10 000 m</w:t>
      </w:r>
      <w:r>
        <w:rPr>
          <w:vertAlign w:val="superscript"/>
        </w:rPr>
        <w:t>2</w:t>
      </w:r>
      <w:r>
        <w:t>)</w:t>
      </w:r>
    </w:p>
    <w:p w:rsidR="00A360DF" w:rsidRDefault="00A360DF" w:rsidP="00A01CDB">
      <w:r>
        <w:t>HBP, a.s.</w:t>
      </w:r>
      <w:r>
        <w:tab/>
        <w:t>Hornonitrianske bane Prievidza, akciová spoločnosť</w:t>
      </w:r>
    </w:p>
    <w:p w:rsidR="00A360DF" w:rsidRDefault="00A360DF" w:rsidP="00A01CDB">
      <w:r>
        <w:t>IAS</w:t>
      </w:r>
      <w:r>
        <w:tab/>
      </w:r>
      <w:r>
        <w:tab/>
      </w:r>
      <w:proofErr w:type="spellStart"/>
      <w:r>
        <w:t>International</w:t>
      </w:r>
      <w:proofErr w:type="spellEnd"/>
      <w:r>
        <w:t xml:space="preserve"> </w:t>
      </w:r>
      <w:proofErr w:type="spellStart"/>
      <w:r>
        <w:t>accounting</w:t>
      </w:r>
      <w:proofErr w:type="spellEnd"/>
      <w:r>
        <w:t xml:space="preserve"> </w:t>
      </w:r>
      <w:proofErr w:type="spellStart"/>
      <w:r>
        <w:t>standards</w:t>
      </w:r>
      <w:proofErr w:type="spellEnd"/>
    </w:p>
    <w:p w:rsidR="00A360DF" w:rsidRDefault="00A360DF" w:rsidP="00A01CDB">
      <w:r>
        <w:t>IASB</w:t>
      </w:r>
      <w:r>
        <w:tab/>
      </w:r>
      <w:r>
        <w:tab/>
      </w:r>
      <w:proofErr w:type="spellStart"/>
      <w:r>
        <w:t>International</w:t>
      </w:r>
      <w:proofErr w:type="spellEnd"/>
      <w:r>
        <w:t xml:space="preserve"> </w:t>
      </w:r>
      <w:proofErr w:type="spellStart"/>
      <w:r>
        <w:t>Acoounting</w:t>
      </w:r>
      <w:proofErr w:type="spellEnd"/>
      <w:r>
        <w:t xml:space="preserve"> </w:t>
      </w:r>
      <w:proofErr w:type="spellStart"/>
      <w:r>
        <w:t>Standards</w:t>
      </w:r>
      <w:proofErr w:type="spellEnd"/>
      <w:r>
        <w:t xml:space="preserve"> </w:t>
      </w:r>
      <w:proofErr w:type="spellStart"/>
      <w:r>
        <w:t>Board</w:t>
      </w:r>
      <w:proofErr w:type="spellEnd"/>
    </w:p>
    <w:p w:rsidR="00A360DF" w:rsidRDefault="00A360DF" w:rsidP="00A01CDB">
      <w:r>
        <w:t>IASC</w:t>
      </w:r>
      <w:r>
        <w:tab/>
      </w:r>
      <w:r>
        <w:tab/>
      </w:r>
      <w:proofErr w:type="spellStart"/>
      <w:r>
        <w:t>International</w:t>
      </w:r>
      <w:proofErr w:type="spellEnd"/>
      <w:r>
        <w:t xml:space="preserve"> </w:t>
      </w:r>
      <w:proofErr w:type="spellStart"/>
      <w:r>
        <w:t>Accounting</w:t>
      </w:r>
      <w:proofErr w:type="spellEnd"/>
      <w:r>
        <w:t xml:space="preserve"> </w:t>
      </w:r>
      <w:proofErr w:type="spellStart"/>
      <w:r>
        <w:t>Standards</w:t>
      </w:r>
      <w:proofErr w:type="spellEnd"/>
      <w:r>
        <w:t xml:space="preserve"> </w:t>
      </w:r>
      <w:proofErr w:type="spellStart"/>
      <w:r>
        <w:t>Committee</w:t>
      </w:r>
      <w:proofErr w:type="spellEnd"/>
    </w:p>
    <w:p w:rsidR="00772DD2" w:rsidRDefault="00772DD2" w:rsidP="00A01CDB">
      <w:r>
        <w:t>IČO</w:t>
      </w:r>
      <w:r>
        <w:tab/>
      </w:r>
      <w:r>
        <w:tab/>
        <w:t>identifikačné číslo osoby</w:t>
      </w:r>
    </w:p>
    <w:p w:rsidR="00A360DF" w:rsidRDefault="00A360DF" w:rsidP="00A01CDB">
      <w:r>
        <w:t>IFRS</w:t>
      </w:r>
      <w:r>
        <w:tab/>
      </w:r>
      <w:r>
        <w:tab/>
      </w:r>
      <w:proofErr w:type="spellStart"/>
      <w:r>
        <w:t>International</w:t>
      </w:r>
      <w:proofErr w:type="spellEnd"/>
      <w:r>
        <w:t xml:space="preserve"> </w:t>
      </w:r>
      <w:proofErr w:type="spellStart"/>
      <w:r>
        <w:t>Financial</w:t>
      </w:r>
      <w:proofErr w:type="spellEnd"/>
      <w:r>
        <w:t xml:space="preserve"> </w:t>
      </w:r>
      <w:proofErr w:type="spellStart"/>
      <w:r>
        <w:t>Reposrting</w:t>
      </w:r>
      <w:proofErr w:type="spellEnd"/>
      <w:r>
        <w:t xml:space="preserve"> </w:t>
      </w:r>
      <w:proofErr w:type="spellStart"/>
      <w:r>
        <w:t>Standards</w:t>
      </w:r>
      <w:proofErr w:type="spellEnd"/>
    </w:p>
    <w:p w:rsidR="00772DD2" w:rsidRDefault="00772DD2" w:rsidP="00A01CDB">
      <w:r>
        <w:t>ods.</w:t>
      </w:r>
      <w:r>
        <w:tab/>
      </w:r>
      <w:r>
        <w:tab/>
        <w:t>odsek</w:t>
      </w:r>
    </w:p>
    <w:p w:rsidR="00772DD2" w:rsidRDefault="00772DD2" w:rsidP="00A01CDB">
      <w:r>
        <w:t>OKD, a.s.</w:t>
      </w:r>
      <w:r>
        <w:tab/>
        <w:t>Ostravsko-karvinské doly, akciová spoločnosť</w:t>
      </w:r>
    </w:p>
    <w:p w:rsidR="00772DD2" w:rsidRDefault="00772DD2" w:rsidP="00A01CDB">
      <w:proofErr w:type="spellStart"/>
      <w:r>
        <w:t>p.a</w:t>
      </w:r>
      <w:proofErr w:type="spellEnd"/>
      <w:r>
        <w:t>.</w:t>
      </w:r>
      <w:r>
        <w:tab/>
      </w:r>
      <w:r>
        <w:tab/>
        <w:t xml:space="preserve">per </w:t>
      </w:r>
      <w:proofErr w:type="spellStart"/>
      <w:r>
        <w:t>annum</w:t>
      </w:r>
      <w:proofErr w:type="spellEnd"/>
    </w:p>
    <w:p w:rsidR="00772DD2" w:rsidRDefault="00772DD2" w:rsidP="00A01CDB">
      <w:r>
        <w:t>resp.</w:t>
      </w:r>
      <w:r>
        <w:tab/>
      </w:r>
      <w:r>
        <w:tab/>
        <w:t>respektíve</w:t>
      </w:r>
    </w:p>
    <w:p w:rsidR="00772DD2" w:rsidRDefault="00772DD2" w:rsidP="00A01CDB">
      <w:r>
        <w:t>SH</w:t>
      </w:r>
      <w:r>
        <w:tab/>
      </w:r>
      <w:r>
        <w:tab/>
        <w:t>súčasná hodnota</w:t>
      </w:r>
    </w:p>
    <w:p w:rsidR="00772DD2" w:rsidRDefault="00772DD2" w:rsidP="00A01CDB">
      <w:r>
        <w:t>SO</w:t>
      </w:r>
      <w:r>
        <w:tab/>
        <w:t xml:space="preserve">  </w:t>
      </w:r>
      <w:r>
        <w:tab/>
        <w:t>stavebný objekt</w:t>
      </w:r>
    </w:p>
    <w:p w:rsidR="00772DD2" w:rsidRDefault="00772DD2" w:rsidP="00A01CDB">
      <w:r>
        <w:t>Š a R</w:t>
      </w:r>
      <w:r>
        <w:tab/>
      </w:r>
      <w:r>
        <w:tab/>
        <w:t>škody a rekultivácie</w:t>
      </w:r>
    </w:p>
    <w:p w:rsidR="00772DD2" w:rsidRDefault="00772DD2" w:rsidP="00A01CDB">
      <w:r>
        <w:t>ŤP</w:t>
      </w:r>
      <w:r>
        <w:tab/>
        <w:t xml:space="preserve"> </w:t>
      </w:r>
      <w:r>
        <w:tab/>
        <w:t>ťažobné pole</w:t>
      </w:r>
    </w:p>
    <w:p w:rsidR="00772DD2" w:rsidRDefault="00772DD2" w:rsidP="00A01CDB">
      <w:r>
        <w:t>US GAAP</w:t>
      </w:r>
      <w:r>
        <w:tab/>
      </w:r>
      <w:proofErr w:type="spellStart"/>
      <w:r>
        <w:t>United</w:t>
      </w:r>
      <w:proofErr w:type="spellEnd"/>
      <w:r>
        <w:t xml:space="preserve"> </w:t>
      </w:r>
      <w:proofErr w:type="spellStart"/>
      <w:r>
        <w:t>States</w:t>
      </w:r>
      <w:proofErr w:type="spellEnd"/>
      <w:r>
        <w:t xml:space="preserve"> </w:t>
      </w:r>
      <w:proofErr w:type="spellStart"/>
      <w:r>
        <w:t>Generally</w:t>
      </w:r>
      <w:proofErr w:type="spellEnd"/>
      <w:r>
        <w:t xml:space="preserve"> </w:t>
      </w:r>
      <w:proofErr w:type="spellStart"/>
      <w:r>
        <w:t>Accepted</w:t>
      </w:r>
      <w:proofErr w:type="spellEnd"/>
      <w:r>
        <w:t xml:space="preserve"> </w:t>
      </w:r>
      <w:proofErr w:type="spellStart"/>
      <w:r>
        <w:t>Accounting</w:t>
      </w:r>
      <w:proofErr w:type="spellEnd"/>
      <w:r>
        <w:t xml:space="preserve"> </w:t>
      </w:r>
      <w:proofErr w:type="spellStart"/>
      <w:r>
        <w:t>Principles</w:t>
      </w:r>
      <w:proofErr w:type="spellEnd"/>
    </w:p>
    <w:p w:rsidR="00772DD2" w:rsidRDefault="00772DD2" w:rsidP="00A01CDB">
      <w:r>
        <w:t>Zb.</w:t>
      </w:r>
      <w:r>
        <w:tab/>
      </w:r>
      <w:r>
        <w:tab/>
        <w:t>zbierka</w:t>
      </w:r>
    </w:p>
    <w:p w:rsidR="00772DD2" w:rsidRDefault="00772DD2" w:rsidP="00A01CDB">
      <w:r>
        <w:t>Z. z.</w:t>
      </w:r>
      <w:r>
        <w:tab/>
      </w:r>
      <w:r>
        <w:tab/>
        <w:t>zbierky zákonov</w:t>
      </w:r>
    </w:p>
    <w:p w:rsidR="00772DD2" w:rsidRDefault="00772DD2" w:rsidP="00A01CDB"/>
    <w:p w:rsidR="00772DD2" w:rsidRDefault="00772DD2" w:rsidP="00A01CDB"/>
    <w:p w:rsidR="00A360DF" w:rsidRDefault="00A360DF" w:rsidP="00A01CDB"/>
    <w:p w:rsidR="00164C36" w:rsidRDefault="00164C36" w:rsidP="00A01CDB">
      <w:pPr>
        <w:spacing w:after="200" w:line="276" w:lineRule="auto"/>
      </w:pPr>
      <w:r>
        <w:br w:type="page"/>
      </w:r>
    </w:p>
    <w:p w:rsidR="001B39BA" w:rsidRDefault="00164C36" w:rsidP="001B39BA">
      <w:pPr>
        <w:pStyle w:val="Nadpis1"/>
        <w:numPr>
          <w:ilvl w:val="0"/>
          <w:numId w:val="0"/>
        </w:numPr>
        <w:ind w:left="431"/>
      </w:pPr>
      <w:bookmarkStart w:id="46" w:name="_Toc447622285"/>
      <w:r>
        <w:lastRenderedPageBreak/>
        <w:t>Zoznam príloh</w:t>
      </w:r>
      <w:bookmarkEnd w:id="46"/>
    </w:p>
    <w:p w:rsidR="00931B24" w:rsidRDefault="00D6237E" w:rsidP="00D6237E">
      <w:r>
        <w:t>Príloha A: Výkaz zisku a straty za rok 2014</w:t>
      </w:r>
      <w:r w:rsidR="00931B24">
        <w:t>, HBP, a.s.</w:t>
      </w:r>
    </w:p>
    <w:p w:rsidR="00D6237E" w:rsidRDefault="00D6237E" w:rsidP="00D6237E">
      <w:r>
        <w:t>Príloha B: Rozvaha za rok 2014</w:t>
      </w:r>
      <w:r w:rsidR="00931B24">
        <w:t>, HBP, a.s.</w:t>
      </w:r>
    </w:p>
    <w:p w:rsidR="00D86224" w:rsidRPr="00D6237E" w:rsidRDefault="00D86224" w:rsidP="00D6237E"/>
    <w:p w:rsidR="00164C36" w:rsidRDefault="001B39BA" w:rsidP="00A01CDB">
      <w:pPr>
        <w:rPr>
          <w:b/>
        </w:rPr>
      </w:pPr>
      <w:r w:rsidRPr="001B39BA">
        <w:rPr>
          <w:b/>
        </w:rPr>
        <w:t>Príloha A: Výkaz zisku a straty</w:t>
      </w:r>
    </w:p>
    <w:tbl>
      <w:tblPr>
        <w:tblW w:w="9246" w:type="dxa"/>
        <w:tblInd w:w="53" w:type="dxa"/>
        <w:tblCellMar>
          <w:left w:w="70" w:type="dxa"/>
          <w:right w:w="70" w:type="dxa"/>
        </w:tblCellMar>
        <w:tblLook w:val="04A0"/>
      </w:tblPr>
      <w:tblGrid>
        <w:gridCol w:w="4460"/>
        <w:gridCol w:w="1535"/>
        <w:gridCol w:w="1535"/>
        <w:gridCol w:w="181"/>
        <w:gridCol w:w="1535"/>
      </w:tblGrid>
      <w:tr w:rsidR="001B39BA" w:rsidRPr="001B39BA" w:rsidTr="001B39BA">
        <w:trPr>
          <w:trHeight w:val="315"/>
        </w:trPr>
        <w:tc>
          <w:tcPr>
            <w:tcW w:w="4460" w:type="dxa"/>
            <w:tcBorders>
              <w:top w:val="single" w:sz="4" w:space="0" w:color="auto"/>
              <w:left w:val="single" w:sz="4" w:space="0" w:color="auto"/>
              <w:bottom w:val="single" w:sz="4" w:space="0" w:color="auto"/>
              <w:right w:val="nil"/>
            </w:tcBorders>
            <w:shd w:val="clear" w:color="auto" w:fill="auto"/>
            <w:noWrap/>
            <w:vAlign w:val="center"/>
            <w:hideMark/>
          </w:tcPr>
          <w:p w:rsidR="001B39BA" w:rsidRPr="001B39BA" w:rsidRDefault="001B39BA" w:rsidP="001B39BA">
            <w:pPr>
              <w:spacing w:line="240" w:lineRule="auto"/>
              <w:jc w:val="left"/>
              <w:rPr>
                <w:rFonts w:ascii="Arial" w:eastAsia="Times New Roman" w:hAnsi="Arial" w:cs="Arial"/>
                <w:b/>
                <w:bCs/>
                <w:sz w:val="16"/>
                <w:szCs w:val="16"/>
                <w:lang w:eastAsia="sk-SK"/>
              </w:rPr>
            </w:pPr>
            <w:r w:rsidRPr="001B39BA">
              <w:rPr>
                <w:rFonts w:ascii="Arial" w:eastAsia="Times New Roman" w:hAnsi="Arial" w:cs="Arial"/>
                <w:b/>
                <w:bCs/>
                <w:sz w:val="16"/>
                <w:szCs w:val="16"/>
                <w:lang w:eastAsia="sk-SK"/>
              </w:rPr>
              <w:t>Za obdobie od do:</w:t>
            </w:r>
          </w:p>
        </w:tc>
        <w:tc>
          <w:tcPr>
            <w:tcW w:w="478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1B39BA" w:rsidRPr="001B39BA" w:rsidRDefault="001B39BA" w:rsidP="001B39BA">
            <w:pPr>
              <w:spacing w:line="240" w:lineRule="auto"/>
              <w:jc w:val="left"/>
              <w:rPr>
                <w:rFonts w:ascii="Arial" w:eastAsia="Times New Roman" w:hAnsi="Arial" w:cs="Arial"/>
                <w:b/>
                <w:bCs/>
                <w:szCs w:val="24"/>
                <w:lang w:eastAsia="sk-SK"/>
              </w:rPr>
            </w:pPr>
            <w:r w:rsidRPr="001B39BA">
              <w:rPr>
                <w:rFonts w:ascii="Arial" w:eastAsia="Times New Roman" w:hAnsi="Arial" w:cs="Arial"/>
                <w:b/>
                <w:bCs/>
                <w:szCs w:val="24"/>
                <w:lang w:eastAsia="sk-SK"/>
              </w:rPr>
              <w:t>1.1.2014 - 31.12.2014</w:t>
            </w:r>
          </w:p>
        </w:tc>
      </w:tr>
      <w:tr w:rsidR="001B39BA" w:rsidRPr="001B39BA" w:rsidTr="001B39BA">
        <w:trPr>
          <w:trHeight w:val="315"/>
        </w:trPr>
        <w:tc>
          <w:tcPr>
            <w:tcW w:w="4460" w:type="dxa"/>
            <w:tcBorders>
              <w:top w:val="nil"/>
              <w:left w:val="single" w:sz="4" w:space="0" w:color="auto"/>
              <w:bottom w:val="single" w:sz="4" w:space="0" w:color="auto"/>
              <w:right w:val="nil"/>
            </w:tcBorders>
            <w:shd w:val="clear" w:color="auto" w:fill="auto"/>
            <w:noWrap/>
            <w:vAlign w:val="center"/>
            <w:hideMark/>
          </w:tcPr>
          <w:p w:rsidR="001B39BA" w:rsidRPr="001B39BA" w:rsidRDefault="001B39BA" w:rsidP="001B39BA">
            <w:pPr>
              <w:spacing w:line="240" w:lineRule="auto"/>
              <w:jc w:val="left"/>
              <w:rPr>
                <w:rFonts w:ascii="Arial" w:eastAsia="Times New Roman" w:hAnsi="Arial" w:cs="Arial"/>
                <w:b/>
                <w:bCs/>
                <w:sz w:val="16"/>
                <w:szCs w:val="16"/>
                <w:lang w:eastAsia="sk-SK"/>
              </w:rPr>
            </w:pPr>
            <w:r w:rsidRPr="001B39BA">
              <w:rPr>
                <w:rFonts w:ascii="Arial" w:eastAsia="Times New Roman" w:hAnsi="Arial" w:cs="Arial"/>
                <w:b/>
                <w:bCs/>
                <w:sz w:val="16"/>
                <w:szCs w:val="16"/>
                <w:lang w:eastAsia="sk-SK"/>
              </w:rPr>
              <w:t>Bezprostredne predchádzajúce obdobie od do:</w:t>
            </w:r>
          </w:p>
        </w:tc>
        <w:tc>
          <w:tcPr>
            <w:tcW w:w="478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1B39BA" w:rsidRPr="001B39BA" w:rsidRDefault="001B39BA" w:rsidP="001B39BA">
            <w:pPr>
              <w:spacing w:line="240" w:lineRule="auto"/>
              <w:jc w:val="left"/>
              <w:rPr>
                <w:rFonts w:ascii="Arial" w:eastAsia="Times New Roman" w:hAnsi="Arial" w:cs="Arial"/>
                <w:b/>
                <w:bCs/>
                <w:szCs w:val="24"/>
                <w:lang w:eastAsia="sk-SK"/>
              </w:rPr>
            </w:pPr>
            <w:r w:rsidRPr="001B39BA">
              <w:rPr>
                <w:rFonts w:ascii="Arial" w:eastAsia="Times New Roman" w:hAnsi="Arial" w:cs="Arial"/>
                <w:b/>
                <w:bCs/>
                <w:szCs w:val="24"/>
                <w:lang w:eastAsia="sk-SK"/>
              </w:rPr>
              <w:t>1.1.2013 - 31.12.2013</w:t>
            </w:r>
          </w:p>
        </w:tc>
      </w:tr>
      <w:tr w:rsidR="001B39BA" w:rsidRPr="001B39BA" w:rsidTr="001B39BA">
        <w:trPr>
          <w:trHeight w:val="240"/>
        </w:trPr>
        <w:tc>
          <w:tcPr>
            <w:tcW w:w="4460" w:type="dxa"/>
            <w:tcBorders>
              <w:top w:val="nil"/>
              <w:left w:val="single" w:sz="4" w:space="0" w:color="auto"/>
              <w:bottom w:val="single" w:sz="4" w:space="0" w:color="auto"/>
              <w:right w:val="nil"/>
            </w:tcBorders>
            <w:shd w:val="clear" w:color="auto" w:fill="auto"/>
            <w:noWrap/>
            <w:vAlign w:val="center"/>
            <w:hideMark/>
          </w:tcPr>
          <w:p w:rsidR="001B39BA" w:rsidRPr="001B39BA" w:rsidRDefault="001B39BA" w:rsidP="001B39BA">
            <w:pPr>
              <w:spacing w:line="240" w:lineRule="auto"/>
              <w:jc w:val="left"/>
              <w:rPr>
                <w:rFonts w:ascii="Arial" w:eastAsia="Times New Roman" w:hAnsi="Arial" w:cs="Arial"/>
                <w:b/>
                <w:bCs/>
                <w:sz w:val="16"/>
                <w:szCs w:val="16"/>
                <w:lang w:eastAsia="sk-SK"/>
              </w:rPr>
            </w:pPr>
            <w:r w:rsidRPr="001B39BA">
              <w:rPr>
                <w:rFonts w:ascii="Arial" w:eastAsia="Times New Roman" w:hAnsi="Arial" w:cs="Arial"/>
                <w:b/>
                <w:bCs/>
                <w:sz w:val="16"/>
                <w:szCs w:val="16"/>
                <w:lang w:eastAsia="sk-SK"/>
              </w:rPr>
              <w:t>Názov účtovnej jednotky:</w:t>
            </w:r>
          </w:p>
        </w:tc>
        <w:tc>
          <w:tcPr>
            <w:tcW w:w="478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1B39BA" w:rsidRPr="001B39BA" w:rsidRDefault="001B39BA" w:rsidP="001B39BA">
            <w:pPr>
              <w:spacing w:line="240" w:lineRule="auto"/>
              <w:jc w:val="left"/>
              <w:rPr>
                <w:rFonts w:ascii="Arial" w:eastAsia="Times New Roman" w:hAnsi="Arial" w:cs="Arial"/>
                <w:b/>
                <w:bCs/>
                <w:sz w:val="18"/>
                <w:szCs w:val="18"/>
                <w:lang w:eastAsia="sk-SK"/>
              </w:rPr>
            </w:pPr>
            <w:r w:rsidRPr="001B39BA">
              <w:rPr>
                <w:rFonts w:ascii="Arial" w:eastAsia="Times New Roman" w:hAnsi="Arial" w:cs="Arial"/>
                <w:b/>
                <w:bCs/>
                <w:sz w:val="18"/>
                <w:szCs w:val="18"/>
                <w:lang w:eastAsia="sk-SK"/>
              </w:rPr>
              <w:t>Hornonitrianske bane Prievidza, a.s. v skratke HBP, a.s.</w:t>
            </w:r>
          </w:p>
        </w:tc>
      </w:tr>
      <w:tr w:rsidR="001B39BA" w:rsidRPr="001B39BA" w:rsidTr="001B39BA">
        <w:trPr>
          <w:trHeight w:val="315"/>
        </w:trPr>
        <w:tc>
          <w:tcPr>
            <w:tcW w:w="4460" w:type="dxa"/>
            <w:tcBorders>
              <w:top w:val="nil"/>
              <w:left w:val="single" w:sz="4" w:space="0" w:color="auto"/>
              <w:bottom w:val="single" w:sz="4" w:space="0" w:color="auto"/>
              <w:right w:val="nil"/>
            </w:tcBorders>
            <w:shd w:val="clear" w:color="auto" w:fill="auto"/>
            <w:noWrap/>
            <w:vAlign w:val="center"/>
            <w:hideMark/>
          </w:tcPr>
          <w:p w:rsidR="001B39BA" w:rsidRPr="001B39BA" w:rsidRDefault="001B39BA" w:rsidP="001B39BA">
            <w:pPr>
              <w:spacing w:line="240" w:lineRule="auto"/>
              <w:jc w:val="left"/>
              <w:rPr>
                <w:rFonts w:ascii="Arial" w:eastAsia="Times New Roman" w:hAnsi="Arial" w:cs="Arial"/>
                <w:b/>
                <w:bCs/>
                <w:sz w:val="16"/>
                <w:szCs w:val="16"/>
                <w:lang w:eastAsia="sk-SK"/>
              </w:rPr>
            </w:pPr>
            <w:r w:rsidRPr="001B39BA">
              <w:rPr>
                <w:rFonts w:ascii="Arial" w:eastAsia="Times New Roman" w:hAnsi="Arial" w:cs="Arial"/>
                <w:b/>
                <w:bCs/>
                <w:sz w:val="16"/>
                <w:szCs w:val="16"/>
                <w:lang w:eastAsia="sk-SK"/>
              </w:rPr>
              <w:t>IČO:</w:t>
            </w:r>
          </w:p>
        </w:tc>
        <w:tc>
          <w:tcPr>
            <w:tcW w:w="478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1B39BA" w:rsidRPr="001B39BA" w:rsidRDefault="001B39BA" w:rsidP="001B39BA">
            <w:pPr>
              <w:spacing w:line="240" w:lineRule="auto"/>
              <w:jc w:val="left"/>
              <w:rPr>
                <w:rFonts w:ascii="Arial" w:eastAsia="Times New Roman" w:hAnsi="Arial" w:cs="Arial"/>
                <w:b/>
                <w:bCs/>
                <w:szCs w:val="24"/>
                <w:lang w:eastAsia="sk-SK"/>
              </w:rPr>
            </w:pPr>
            <w:r w:rsidRPr="001B39BA">
              <w:rPr>
                <w:rFonts w:ascii="Arial" w:eastAsia="Times New Roman" w:hAnsi="Arial" w:cs="Arial"/>
                <w:b/>
                <w:bCs/>
                <w:szCs w:val="24"/>
                <w:lang w:eastAsia="sk-SK"/>
              </w:rPr>
              <w:t>36 005 622</w:t>
            </w:r>
          </w:p>
        </w:tc>
      </w:tr>
      <w:tr w:rsidR="001B39BA" w:rsidRPr="001B39BA" w:rsidTr="001B39BA">
        <w:trPr>
          <w:trHeight w:val="225"/>
        </w:trPr>
        <w:tc>
          <w:tcPr>
            <w:tcW w:w="4460" w:type="dxa"/>
            <w:tcBorders>
              <w:top w:val="nil"/>
              <w:left w:val="nil"/>
              <w:bottom w:val="nil"/>
              <w:right w:val="nil"/>
            </w:tcBorders>
            <w:shd w:val="clear" w:color="auto" w:fill="auto"/>
            <w:noWrap/>
            <w:vAlign w:val="center"/>
            <w:hideMark/>
          </w:tcPr>
          <w:p w:rsidR="001B39BA" w:rsidRPr="001B39BA" w:rsidRDefault="001B39BA" w:rsidP="001B39BA">
            <w:pPr>
              <w:spacing w:line="240" w:lineRule="auto"/>
              <w:jc w:val="left"/>
              <w:rPr>
                <w:rFonts w:ascii="Arial" w:eastAsia="Times New Roman" w:hAnsi="Arial" w:cs="Arial"/>
                <w:sz w:val="14"/>
                <w:szCs w:val="14"/>
                <w:lang w:eastAsia="sk-SK"/>
              </w:rPr>
            </w:pPr>
          </w:p>
        </w:tc>
        <w:tc>
          <w:tcPr>
            <w:tcW w:w="1535" w:type="dxa"/>
            <w:tcBorders>
              <w:top w:val="nil"/>
              <w:left w:val="nil"/>
              <w:bottom w:val="nil"/>
              <w:right w:val="nil"/>
            </w:tcBorders>
            <w:shd w:val="clear" w:color="auto" w:fill="auto"/>
            <w:noWrap/>
            <w:vAlign w:val="center"/>
            <w:hideMark/>
          </w:tcPr>
          <w:p w:rsidR="001B39BA" w:rsidRPr="001B39BA" w:rsidRDefault="001B39BA" w:rsidP="001B39BA">
            <w:pPr>
              <w:spacing w:line="240" w:lineRule="auto"/>
              <w:jc w:val="left"/>
              <w:rPr>
                <w:rFonts w:ascii="Arial" w:eastAsia="Times New Roman" w:hAnsi="Arial" w:cs="Arial"/>
                <w:sz w:val="14"/>
                <w:szCs w:val="14"/>
                <w:lang w:eastAsia="sk-SK"/>
              </w:rPr>
            </w:pPr>
          </w:p>
        </w:tc>
        <w:tc>
          <w:tcPr>
            <w:tcW w:w="1535" w:type="dxa"/>
            <w:tcBorders>
              <w:top w:val="nil"/>
              <w:left w:val="nil"/>
              <w:bottom w:val="nil"/>
              <w:right w:val="nil"/>
            </w:tcBorders>
            <w:shd w:val="clear" w:color="auto" w:fill="auto"/>
            <w:noWrap/>
            <w:vAlign w:val="center"/>
            <w:hideMark/>
          </w:tcPr>
          <w:p w:rsidR="001B39BA" w:rsidRPr="001B39BA" w:rsidRDefault="001B39BA" w:rsidP="001B39BA">
            <w:pPr>
              <w:spacing w:line="240" w:lineRule="auto"/>
              <w:jc w:val="left"/>
              <w:rPr>
                <w:rFonts w:ascii="Arial" w:eastAsia="Times New Roman" w:hAnsi="Arial" w:cs="Arial"/>
                <w:sz w:val="14"/>
                <w:szCs w:val="14"/>
                <w:lang w:eastAsia="sk-SK"/>
              </w:rPr>
            </w:pPr>
          </w:p>
        </w:tc>
        <w:tc>
          <w:tcPr>
            <w:tcW w:w="181" w:type="dxa"/>
            <w:tcBorders>
              <w:top w:val="nil"/>
              <w:left w:val="nil"/>
              <w:bottom w:val="nil"/>
              <w:right w:val="nil"/>
            </w:tcBorders>
            <w:shd w:val="clear" w:color="auto" w:fill="auto"/>
            <w:noWrap/>
            <w:vAlign w:val="center"/>
            <w:hideMark/>
          </w:tcPr>
          <w:p w:rsidR="001B39BA" w:rsidRPr="001B39BA" w:rsidRDefault="001B39BA" w:rsidP="001B39BA">
            <w:pPr>
              <w:spacing w:line="240" w:lineRule="auto"/>
              <w:jc w:val="left"/>
              <w:rPr>
                <w:rFonts w:ascii="Arial" w:eastAsia="Times New Roman" w:hAnsi="Arial" w:cs="Arial"/>
                <w:sz w:val="14"/>
                <w:szCs w:val="14"/>
                <w:lang w:eastAsia="sk-SK"/>
              </w:rPr>
            </w:pPr>
          </w:p>
        </w:tc>
        <w:tc>
          <w:tcPr>
            <w:tcW w:w="1535" w:type="dxa"/>
            <w:tcBorders>
              <w:top w:val="nil"/>
              <w:left w:val="nil"/>
              <w:bottom w:val="nil"/>
              <w:right w:val="nil"/>
            </w:tcBorders>
            <w:shd w:val="clear" w:color="auto" w:fill="auto"/>
            <w:noWrap/>
            <w:vAlign w:val="center"/>
            <w:hideMark/>
          </w:tcPr>
          <w:p w:rsidR="001B39BA" w:rsidRPr="001B39BA" w:rsidRDefault="001B39BA" w:rsidP="001B39BA">
            <w:pPr>
              <w:spacing w:line="240" w:lineRule="auto"/>
              <w:jc w:val="left"/>
              <w:rPr>
                <w:rFonts w:ascii="Arial" w:eastAsia="Times New Roman" w:hAnsi="Arial" w:cs="Arial"/>
                <w:sz w:val="14"/>
                <w:szCs w:val="14"/>
                <w:lang w:eastAsia="sk-SK"/>
              </w:rPr>
            </w:pPr>
          </w:p>
        </w:tc>
      </w:tr>
      <w:tr w:rsidR="001B39BA" w:rsidRPr="001B39BA" w:rsidTr="001B39BA">
        <w:trPr>
          <w:trHeight w:val="195"/>
        </w:trPr>
        <w:tc>
          <w:tcPr>
            <w:tcW w:w="4460" w:type="dxa"/>
            <w:vMerge w:val="restart"/>
            <w:tcBorders>
              <w:top w:val="single" w:sz="4" w:space="0" w:color="auto"/>
              <w:left w:val="single" w:sz="4" w:space="0" w:color="auto"/>
              <w:bottom w:val="single" w:sz="4" w:space="0" w:color="000000"/>
              <w:right w:val="nil"/>
            </w:tcBorders>
            <w:shd w:val="clear" w:color="auto" w:fill="auto"/>
            <w:vAlign w:val="center"/>
            <w:hideMark/>
          </w:tcPr>
          <w:p w:rsidR="001B39BA" w:rsidRPr="001B39BA" w:rsidRDefault="001B39BA" w:rsidP="001B39BA">
            <w:pPr>
              <w:spacing w:line="240" w:lineRule="auto"/>
              <w:jc w:val="center"/>
              <w:rPr>
                <w:rFonts w:ascii="Arial" w:eastAsia="Times New Roman" w:hAnsi="Arial" w:cs="Arial"/>
                <w:b/>
                <w:sz w:val="16"/>
                <w:szCs w:val="16"/>
                <w:lang w:eastAsia="sk-SK"/>
              </w:rPr>
            </w:pPr>
            <w:r w:rsidRPr="001B39BA">
              <w:rPr>
                <w:rFonts w:ascii="Arial" w:eastAsia="Times New Roman" w:hAnsi="Arial" w:cs="Arial"/>
                <w:b/>
                <w:sz w:val="16"/>
                <w:szCs w:val="16"/>
                <w:lang w:eastAsia="sk-SK"/>
              </w:rPr>
              <w:t>Názov položky</w:t>
            </w:r>
          </w:p>
        </w:tc>
        <w:tc>
          <w:tcPr>
            <w:tcW w:w="15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B39BA" w:rsidRPr="001B39BA" w:rsidRDefault="001B39BA" w:rsidP="001B39BA">
            <w:pPr>
              <w:spacing w:line="240" w:lineRule="auto"/>
              <w:jc w:val="center"/>
              <w:rPr>
                <w:rFonts w:ascii="Arial" w:eastAsia="Times New Roman" w:hAnsi="Arial" w:cs="Arial"/>
                <w:b/>
                <w:bCs/>
                <w:sz w:val="16"/>
                <w:szCs w:val="16"/>
                <w:lang w:eastAsia="sk-SK"/>
              </w:rPr>
            </w:pPr>
            <w:r w:rsidRPr="001B39BA">
              <w:rPr>
                <w:rFonts w:ascii="Arial" w:eastAsia="Times New Roman" w:hAnsi="Arial" w:cs="Arial"/>
                <w:b/>
                <w:bCs/>
                <w:sz w:val="16"/>
                <w:szCs w:val="16"/>
                <w:lang w:eastAsia="sk-SK"/>
              </w:rPr>
              <w:t>Vykazované  obdobie</w:t>
            </w:r>
          </w:p>
        </w:tc>
        <w:tc>
          <w:tcPr>
            <w:tcW w:w="15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B39BA" w:rsidRPr="001B39BA" w:rsidRDefault="001B39BA" w:rsidP="001B39BA">
            <w:pPr>
              <w:spacing w:line="240" w:lineRule="auto"/>
              <w:jc w:val="center"/>
              <w:rPr>
                <w:rFonts w:ascii="Arial" w:eastAsia="Times New Roman" w:hAnsi="Arial" w:cs="Arial"/>
                <w:b/>
                <w:bCs/>
                <w:sz w:val="16"/>
                <w:szCs w:val="16"/>
                <w:lang w:eastAsia="sk-SK"/>
              </w:rPr>
            </w:pPr>
            <w:r w:rsidRPr="001B39BA">
              <w:rPr>
                <w:rFonts w:ascii="Arial" w:eastAsia="Times New Roman" w:hAnsi="Arial" w:cs="Arial"/>
                <w:b/>
                <w:bCs/>
                <w:sz w:val="16"/>
                <w:szCs w:val="16"/>
                <w:lang w:eastAsia="sk-SK"/>
              </w:rPr>
              <w:t>Bezprostredne predchádzajúce účtovné obdobie</w:t>
            </w:r>
          </w:p>
        </w:tc>
        <w:tc>
          <w:tcPr>
            <w:tcW w:w="181" w:type="dxa"/>
            <w:tcBorders>
              <w:top w:val="nil"/>
              <w:left w:val="nil"/>
              <w:bottom w:val="nil"/>
              <w:right w:val="nil"/>
            </w:tcBorders>
            <w:shd w:val="clear" w:color="auto" w:fill="auto"/>
            <w:vAlign w:val="center"/>
            <w:hideMark/>
          </w:tcPr>
          <w:p w:rsidR="001B39BA" w:rsidRPr="001B39BA" w:rsidRDefault="001B39BA" w:rsidP="001B39BA">
            <w:pPr>
              <w:spacing w:line="240" w:lineRule="auto"/>
              <w:jc w:val="center"/>
              <w:rPr>
                <w:rFonts w:ascii="Arial" w:eastAsia="Times New Roman" w:hAnsi="Arial" w:cs="Arial"/>
                <w:sz w:val="16"/>
                <w:szCs w:val="16"/>
                <w:lang w:eastAsia="sk-SK"/>
              </w:rPr>
            </w:pPr>
          </w:p>
        </w:tc>
        <w:tc>
          <w:tcPr>
            <w:tcW w:w="15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B39BA" w:rsidRPr="001B39BA" w:rsidRDefault="001B39BA" w:rsidP="001B39BA">
            <w:pPr>
              <w:spacing w:line="240" w:lineRule="auto"/>
              <w:jc w:val="center"/>
              <w:rPr>
                <w:rFonts w:ascii="Arial" w:eastAsia="Times New Roman" w:hAnsi="Arial" w:cs="Arial"/>
                <w:b/>
                <w:bCs/>
                <w:sz w:val="16"/>
                <w:szCs w:val="16"/>
                <w:lang w:eastAsia="sk-SK"/>
              </w:rPr>
            </w:pPr>
            <w:r w:rsidRPr="001B39BA">
              <w:rPr>
                <w:rFonts w:ascii="Arial" w:eastAsia="Times New Roman" w:hAnsi="Arial" w:cs="Arial"/>
                <w:b/>
                <w:bCs/>
                <w:sz w:val="16"/>
                <w:szCs w:val="16"/>
                <w:lang w:eastAsia="sk-SK"/>
              </w:rPr>
              <w:t>Bezprostredne nasledujúce účtovné obdobie (predpoklad)</w:t>
            </w:r>
          </w:p>
        </w:tc>
      </w:tr>
      <w:tr w:rsidR="001B39BA" w:rsidRPr="001B39BA" w:rsidTr="001B39BA">
        <w:trPr>
          <w:trHeight w:val="705"/>
        </w:trPr>
        <w:tc>
          <w:tcPr>
            <w:tcW w:w="4460" w:type="dxa"/>
            <w:vMerge/>
            <w:tcBorders>
              <w:top w:val="single" w:sz="4" w:space="0" w:color="auto"/>
              <w:left w:val="single" w:sz="4" w:space="0" w:color="auto"/>
              <w:bottom w:val="single" w:sz="4" w:space="0" w:color="000000"/>
              <w:right w:val="nil"/>
            </w:tcBorders>
            <w:vAlign w:val="center"/>
            <w:hideMark/>
          </w:tcPr>
          <w:p w:rsidR="001B39BA" w:rsidRPr="001B39BA" w:rsidRDefault="001B39BA" w:rsidP="001B39BA">
            <w:pPr>
              <w:spacing w:line="240" w:lineRule="auto"/>
              <w:jc w:val="left"/>
              <w:rPr>
                <w:rFonts w:ascii="Arial" w:eastAsia="Times New Roman" w:hAnsi="Arial" w:cs="Arial"/>
                <w:sz w:val="14"/>
                <w:szCs w:val="14"/>
                <w:lang w:eastAsia="sk-SK"/>
              </w:rPr>
            </w:pPr>
          </w:p>
        </w:tc>
        <w:tc>
          <w:tcPr>
            <w:tcW w:w="1535" w:type="dxa"/>
            <w:vMerge/>
            <w:tcBorders>
              <w:top w:val="single" w:sz="4" w:space="0" w:color="auto"/>
              <w:left w:val="single" w:sz="4" w:space="0" w:color="auto"/>
              <w:bottom w:val="single" w:sz="4" w:space="0" w:color="000000"/>
              <w:right w:val="single" w:sz="4" w:space="0" w:color="auto"/>
            </w:tcBorders>
            <w:vAlign w:val="center"/>
            <w:hideMark/>
          </w:tcPr>
          <w:p w:rsidR="001B39BA" w:rsidRPr="001B39BA" w:rsidRDefault="001B39BA" w:rsidP="001B39BA">
            <w:pPr>
              <w:spacing w:line="240" w:lineRule="auto"/>
              <w:jc w:val="left"/>
              <w:rPr>
                <w:rFonts w:ascii="Arial" w:eastAsia="Times New Roman" w:hAnsi="Arial" w:cs="Arial"/>
                <w:b/>
                <w:bCs/>
                <w:sz w:val="14"/>
                <w:szCs w:val="14"/>
                <w:lang w:eastAsia="sk-SK"/>
              </w:rPr>
            </w:pPr>
          </w:p>
        </w:tc>
        <w:tc>
          <w:tcPr>
            <w:tcW w:w="1535" w:type="dxa"/>
            <w:vMerge/>
            <w:tcBorders>
              <w:top w:val="single" w:sz="4" w:space="0" w:color="auto"/>
              <w:left w:val="single" w:sz="4" w:space="0" w:color="auto"/>
              <w:bottom w:val="single" w:sz="4" w:space="0" w:color="000000"/>
              <w:right w:val="single" w:sz="4" w:space="0" w:color="auto"/>
            </w:tcBorders>
            <w:vAlign w:val="center"/>
            <w:hideMark/>
          </w:tcPr>
          <w:p w:rsidR="001B39BA" w:rsidRPr="001B39BA" w:rsidRDefault="001B39BA" w:rsidP="001B39BA">
            <w:pPr>
              <w:spacing w:line="240" w:lineRule="auto"/>
              <w:jc w:val="left"/>
              <w:rPr>
                <w:rFonts w:ascii="Arial" w:eastAsia="Times New Roman" w:hAnsi="Arial" w:cs="Arial"/>
                <w:b/>
                <w:bCs/>
                <w:sz w:val="14"/>
                <w:szCs w:val="14"/>
                <w:lang w:eastAsia="sk-SK"/>
              </w:rPr>
            </w:pPr>
          </w:p>
        </w:tc>
        <w:tc>
          <w:tcPr>
            <w:tcW w:w="181" w:type="dxa"/>
            <w:tcBorders>
              <w:top w:val="nil"/>
              <w:left w:val="nil"/>
              <w:bottom w:val="nil"/>
              <w:right w:val="nil"/>
            </w:tcBorders>
            <w:shd w:val="clear" w:color="auto" w:fill="auto"/>
            <w:vAlign w:val="center"/>
            <w:hideMark/>
          </w:tcPr>
          <w:p w:rsidR="001B39BA" w:rsidRPr="001B39BA" w:rsidRDefault="001B39BA" w:rsidP="001B39BA">
            <w:pPr>
              <w:spacing w:line="240" w:lineRule="auto"/>
              <w:jc w:val="center"/>
              <w:rPr>
                <w:rFonts w:ascii="Arial" w:eastAsia="Times New Roman" w:hAnsi="Arial" w:cs="Arial"/>
                <w:sz w:val="14"/>
                <w:szCs w:val="14"/>
                <w:lang w:eastAsia="sk-SK"/>
              </w:rPr>
            </w:pPr>
          </w:p>
        </w:tc>
        <w:tc>
          <w:tcPr>
            <w:tcW w:w="1535" w:type="dxa"/>
            <w:vMerge/>
            <w:tcBorders>
              <w:top w:val="single" w:sz="4" w:space="0" w:color="auto"/>
              <w:left w:val="single" w:sz="4" w:space="0" w:color="auto"/>
              <w:bottom w:val="single" w:sz="4" w:space="0" w:color="000000"/>
              <w:right w:val="single" w:sz="4" w:space="0" w:color="auto"/>
            </w:tcBorders>
            <w:vAlign w:val="center"/>
            <w:hideMark/>
          </w:tcPr>
          <w:p w:rsidR="001B39BA" w:rsidRPr="001B39BA" w:rsidRDefault="001B39BA" w:rsidP="001B39BA">
            <w:pPr>
              <w:spacing w:line="240" w:lineRule="auto"/>
              <w:jc w:val="left"/>
              <w:rPr>
                <w:rFonts w:ascii="Arial" w:eastAsia="Times New Roman" w:hAnsi="Arial" w:cs="Arial"/>
                <w:b/>
                <w:bCs/>
                <w:sz w:val="14"/>
                <w:szCs w:val="14"/>
                <w:lang w:eastAsia="sk-SK"/>
              </w:rPr>
            </w:pPr>
          </w:p>
        </w:tc>
      </w:tr>
      <w:tr w:rsidR="001B39BA" w:rsidRPr="001B39BA" w:rsidTr="006A2210">
        <w:trPr>
          <w:trHeight w:val="300"/>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b/>
                <w:bCs/>
                <w:sz w:val="20"/>
                <w:szCs w:val="20"/>
                <w:lang w:eastAsia="sk-SK"/>
              </w:rPr>
            </w:pPr>
            <w:r w:rsidRPr="001B39BA">
              <w:rPr>
                <w:rFonts w:ascii="Arial" w:eastAsia="Times New Roman" w:hAnsi="Arial" w:cs="Arial"/>
                <w:b/>
                <w:bCs/>
                <w:sz w:val="20"/>
                <w:szCs w:val="20"/>
                <w:lang w:eastAsia="sk-SK"/>
              </w:rPr>
              <w:t>Výnosy</w:t>
            </w:r>
          </w:p>
        </w:tc>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xml:space="preserve">  119 067 196 </w:t>
            </w:r>
          </w:p>
        </w:tc>
        <w:tc>
          <w:tcPr>
            <w:tcW w:w="1535" w:type="dxa"/>
            <w:tcBorders>
              <w:top w:val="nil"/>
              <w:left w:val="nil"/>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xml:space="preserve">  126 523 684 </w:t>
            </w:r>
          </w:p>
        </w:tc>
        <w:tc>
          <w:tcPr>
            <w:tcW w:w="181" w:type="dxa"/>
            <w:tcBorders>
              <w:top w:val="nil"/>
              <w:left w:val="nil"/>
              <w:bottom w:val="nil"/>
              <w:right w:val="nil"/>
            </w:tcBorders>
            <w:shd w:val="clear" w:color="auto" w:fill="auto"/>
            <w:noWrap/>
            <w:vAlign w:val="center"/>
            <w:hideMark/>
          </w:tcPr>
          <w:p w:rsidR="001B39BA" w:rsidRPr="001B39BA" w:rsidRDefault="001B39BA" w:rsidP="001B39BA">
            <w:pPr>
              <w:spacing w:line="240" w:lineRule="auto"/>
              <w:jc w:val="right"/>
              <w:rPr>
                <w:rFonts w:ascii="Arial" w:eastAsia="Times New Roman" w:hAnsi="Arial" w:cs="Arial"/>
                <w:b/>
                <w:bCs/>
                <w:color w:val="000080"/>
                <w:sz w:val="14"/>
                <w:szCs w:val="14"/>
                <w:lang w:eastAsia="sk-SK"/>
              </w:rPr>
            </w:pPr>
          </w:p>
        </w:tc>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xml:space="preserve">  119 166 900 </w:t>
            </w:r>
          </w:p>
        </w:tc>
      </w:tr>
      <w:tr w:rsidR="001B39BA" w:rsidRPr="001B39BA" w:rsidTr="006A2210">
        <w:trPr>
          <w:trHeight w:val="300"/>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w:t>
            </w:r>
          </w:p>
        </w:tc>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w:t>
            </w:r>
          </w:p>
        </w:tc>
        <w:tc>
          <w:tcPr>
            <w:tcW w:w="1535" w:type="dxa"/>
            <w:tcBorders>
              <w:top w:val="nil"/>
              <w:left w:val="nil"/>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w:t>
            </w:r>
          </w:p>
        </w:tc>
        <w:tc>
          <w:tcPr>
            <w:tcW w:w="181" w:type="dxa"/>
            <w:tcBorders>
              <w:top w:val="nil"/>
              <w:left w:val="nil"/>
              <w:bottom w:val="nil"/>
              <w:right w:val="nil"/>
            </w:tcBorders>
            <w:shd w:val="clear" w:color="auto" w:fill="auto"/>
            <w:noWrap/>
            <w:vAlign w:val="center"/>
            <w:hideMark/>
          </w:tcPr>
          <w:p w:rsidR="001B39BA" w:rsidRPr="001B39BA" w:rsidRDefault="001B39BA" w:rsidP="001B39BA">
            <w:pPr>
              <w:spacing w:line="240" w:lineRule="auto"/>
              <w:jc w:val="right"/>
              <w:rPr>
                <w:rFonts w:ascii="Arial" w:eastAsia="Times New Roman" w:hAnsi="Arial" w:cs="Arial"/>
                <w:sz w:val="14"/>
                <w:szCs w:val="14"/>
                <w:lang w:eastAsia="sk-SK"/>
              </w:rPr>
            </w:pPr>
          </w:p>
        </w:tc>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w:t>
            </w:r>
          </w:p>
        </w:tc>
      </w:tr>
      <w:tr w:rsidR="001B39BA" w:rsidRPr="001B39BA" w:rsidTr="006A2210">
        <w:trPr>
          <w:trHeight w:val="300"/>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Ostatné prevádzkové výnosy</w:t>
            </w:r>
          </w:p>
        </w:tc>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xml:space="preserve">      1 285 382 </w:t>
            </w:r>
          </w:p>
        </w:tc>
        <w:tc>
          <w:tcPr>
            <w:tcW w:w="1535" w:type="dxa"/>
            <w:tcBorders>
              <w:top w:val="nil"/>
              <w:left w:val="nil"/>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xml:space="preserve">      3 806 829 </w:t>
            </w:r>
          </w:p>
        </w:tc>
        <w:tc>
          <w:tcPr>
            <w:tcW w:w="181" w:type="dxa"/>
            <w:tcBorders>
              <w:top w:val="nil"/>
              <w:left w:val="nil"/>
              <w:bottom w:val="nil"/>
              <w:right w:val="nil"/>
            </w:tcBorders>
            <w:shd w:val="clear" w:color="auto" w:fill="auto"/>
            <w:noWrap/>
            <w:vAlign w:val="center"/>
            <w:hideMark/>
          </w:tcPr>
          <w:p w:rsidR="001B39BA" w:rsidRPr="001B39BA" w:rsidRDefault="001B39BA" w:rsidP="001B39BA">
            <w:pPr>
              <w:spacing w:line="240" w:lineRule="auto"/>
              <w:jc w:val="right"/>
              <w:rPr>
                <w:rFonts w:ascii="Arial" w:eastAsia="Times New Roman" w:hAnsi="Arial" w:cs="Arial"/>
                <w:b/>
                <w:bCs/>
                <w:color w:val="000080"/>
                <w:sz w:val="14"/>
                <w:szCs w:val="14"/>
                <w:lang w:eastAsia="sk-SK"/>
              </w:rPr>
            </w:pPr>
          </w:p>
        </w:tc>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xml:space="preserve">            2 100 </w:t>
            </w:r>
          </w:p>
        </w:tc>
      </w:tr>
      <w:tr w:rsidR="001B39BA" w:rsidRPr="001B39BA" w:rsidTr="006A2210">
        <w:trPr>
          <w:trHeight w:val="300"/>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Zmeny stavu zásob a aktivované vlastné výkony</w:t>
            </w:r>
          </w:p>
        </w:tc>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xml:space="preserve">      4 436 174 </w:t>
            </w:r>
          </w:p>
        </w:tc>
        <w:tc>
          <w:tcPr>
            <w:tcW w:w="1535" w:type="dxa"/>
            <w:tcBorders>
              <w:top w:val="nil"/>
              <w:left w:val="nil"/>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xml:space="preserve">      9 502 175 </w:t>
            </w:r>
          </w:p>
        </w:tc>
        <w:tc>
          <w:tcPr>
            <w:tcW w:w="181" w:type="dxa"/>
            <w:tcBorders>
              <w:top w:val="nil"/>
              <w:left w:val="nil"/>
              <w:bottom w:val="nil"/>
              <w:right w:val="nil"/>
            </w:tcBorders>
            <w:shd w:val="clear" w:color="auto" w:fill="auto"/>
            <w:noWrap/>
            <w:vAlign w:val="center"/>
            <w:hideMark/>
          </w:tcPr>
          <w:p w:rsidR="001B39BA" w:rsidRPr="001B39BA" w:rsidRDefault="001B39BA" w:rsidP="001B39BA">
            <w:pPr>
              <w:spacing w:line="240" w:lineRule="auto"/>
              <w:jc w:val="right"/>
              <w:rPr>
                <w:rFonts w:ascii="Arial" w:eastAsia="Times New Roman" w:hAnsi="Arial" w:cs="Arial"/>
                <w:b/>
                <w:bCs/>
                <w:color w:val="000080"/>
                <w:sz w:val="14"/>
                <w:szCs w:val="14"/>
                <w:lang w:eastAsia="sk-SK"/>
              </w:rPr>
            </w:pPr>
          </w:p>
        </w:tc>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xml:space="preserve">      3 449 200 </w:t>
            </w:r>
          </w:p>
        </w:tc>
      </w:tr>
      <w:tr w:rsidR="001B39BA" w:rsidRPr="001B39BA" w:rsidTr="006A2210">
        <w:trPr>
          <w:trHeight w:val="300"/>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xml:space="preserve">Spotreba surovín, materiálu a služieb </w:t>
            </w:r>
          </w:p>
        </w:tc>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xml:space="preserve">   (55 305 559)</w:t>
            </w:r>
          </w:p>
        </w:tc>
        <w:tc>
          <w:tcPr>
            <w:tcW w:w="1535" w:type="dxa"/>
            <w:tcBorders>
              <w:top w:val="nil"/>
              <w:left w:val="nil"/>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xml:space="preserve">   (62 068 089)</w:t>
            </w:r>
          </w:p>
        </w:tc>
        <w:tc>
          <w:tcPr>
            <w:tcW w:w="181" w:type="dxa"/>
            <w:tcBorders>
              <w:top w:val="nil"/>
              <w:left w:val="nil"/>
              <w:bottom w:val="nil"/>
              <w:right w:val="nil"/>
            </w:tcBorders>
            <w:shd w:val="clear" w:color="auto" w:fill="auto"/>
            <w:noWrap/>
            <w:vAlign w:val="center"/>
            <w:hideMark/>
          </w:tcPr>
          <w:p w:rsidR="001B39BA" w:rsidRPr="001B39BA" w:rsidRDefault="001B39BA" w:rsidP="001B39BA">
            <w:pPr>
              <w:spacing w:line="240" w:lineRule="auto"/>
              <w:jc w:val="right"/>
              <w:rPr>
                <w:rFonts w:ascii="Arial" w:eastAsia="Times New Roman" w:hAnsi="Arial" w:cs="Arial"/>
                <w:sz w:val="14"/>
                <w:szCs w:val="14"/>
                <w:lang w:eastAsia="sk-SK"/>
              </w:rPr>
            </w:pPr>
          </w:p>
        </w:tc>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xml:space="preserve">   (56 362 800)</w:t>
            </w:r>
          </w:p>
        </w:tc>
      </w:tr>
      <w:tr w:rsidR="001B39BA" w:rsidRPr="001B39BA" w:rsidTr="006A2210">
        <w:trPr>
          <w:trHeight w:val="300"/>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Náklady na zamestnanecké požitky</w:t>
            </w:r>
          </w:p>
        </w:tc>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xml:space="preserve">   (55 481 246)</w:t>
            </w:r>
          </w:p>
        </w:tc>
        <w:tc>
          <w:tcPr>
            <w:tcW w:w="1535" w:type="dxa"/>
            <w:tcBorders>
              <w:top w:val="nil"/>
              <w:left w:val="nil"/>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xml:space="preserve">   (58 001 390)</w:t>
            </w:r>
          </w:p>
        </w:tc>
        <w:tc>
          <w:tcPr>
            <w:tcW w:w="181" w:type="dxa"/>
            <w:tcBorders>
              <w:top w:val="nil"/>
              <w:left w:val="nil"/>
              <w:bottom w:val="nil"/>
              <w:right w:val="nil"/>
            </w:tcBorders>
            <w:shd w:val="clear" w:color="auto" w:fill="auto"/>
            <w:noWrap/>
            <w:vAlign w:val="center"/>
            <w:hideMark/>
          </w:tcPr>
          <w:p w:rsidR="001B39BA" w:rsidRPr="001B39BA" w:rsidRDefault="001B39BA" w:rsidP="001B39BA">
            <w:pPr>
              <w:spacing w:line="240" w:lineRule="auto"/>
              <w:jc w:val="right"/>
              <w:rPr>
                <w:rFonts w:ascii="Arial" w:eastAsia="Times New Roman" w:hAnsi="Arial" w:cs="Arial"/>
                <w:sz w:val="14"/>
                <w:szCs w:val="14"/>
                <w:lang w:eastAsia="sk-SK"/>
              </w:rPr>
            </w:pPr>
          </w:p>
        </w:tc>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xml:space="preserve">   (54 857 900)</w:t>
            </w:r>
          </w:p>
        </w:tc>
      </w:tr>
      <w:tr w:rsidR="001B39BA" w:rsidRPr="001B39BA" w:rsidTr="006A2210">
        <w:trPr>
          <w:trHeight w:val="300"/>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xml:space="preserve">Odpisy  </w:t>
            </w:r>
          </w:p>
        </w:tc>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xml:space="preserve">   (10 127 768)</w:t>
            </w:r>
          </w:p>
        </w:tc>
        <w:tc>
          <w:tcPr>
            <w:tcW w:w="1535" w:type="dxa"/>
            <w:tcBorders>
              <w:top w:val="nil"/>
              <w:left w:val="nil"/>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xml:space="preserve">   (15 551 277)</w:t>
            </w:r>
          </w:p>
        </w:tc>
        <w:tc>
          <w:tcPr>
            <w:tcW w:w="181" w:type="dxa"/>
            <w:tcBorders>
              <w:top w:val="nil"/>
              <w:left w:val="nil"/>
              <w:bottom w:val="nil"/>
              <w:right w:val="nil"/>
            </w:tcBorders>
            <w:shd w:val="clear" w:color="auto" w:fill="auto"/>
            <w:noWrap/>
            <w:vAlign w:val="center"/>
            <w:hideMark/>
          </w:tcPr>
          <w:p w:rsidR="001B39BA" w:rsidRPr="001B39BA" w:rsidRDefault="001B39BA" w:rsidP="001B39BA">
            <w:pPr>
              <w:spacing w:line="240" w:lineRule="auto"/>
              <w:jc w:val="right"/>
              <w:rPr>
                <w:rFonts w:ascii="Arial" w:eastAsia="Times New Roman" w:hAnsi="Arial" w:cs="Arial"/>
                <w:sz w:val="14"/>
                <w:szCs w:val="14"/>
                <w:lang w:eastAsia="sk-SK"/>
              </w:rPr>
            </w:pPr>
          </w:p>
        </w:tc>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xml:space="preserve">     (7 446 900)</w:t>
            </w:r>
          </w:p>
        </w:tc>
      </w:tr>
      <w:tr w:rsidR="001B39BA" w:rsidRPr="001B39BA" w:rsidTr="006A2210">
        <w:trPr>
          <w:trHeight w:val="300"/>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Zmena poklesu hodnoty neobežného majetku</w:t>
            </w:r>
          </w:p>
        </w:tc>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xml:space="preserve">        381 089 </w:t>
            </w:r>
          </w:p>
        </w:tc>
        <w:tc>
          <w:tcPr>
            <w:tcW w:w="1535" w:type="dxa"/>
            <w:tcBorders>
              <w:top w:val="nil"/>
              <w:left w:val="nil"/>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xml:space="preserve">        922 043 </w:t>
            </w:r>
          </w:p>
        </w:tc>
        <w:tc>
          <w:tcPr>
            <w:tcW w:w="181" w:type="dxa"/>
            <w:tcBorders>
              <w:top w:val="nil"/>
              <w:left w:val="nil"/>
              <w:bottom w:val="nil"/>
              <w:right w:val="nil"/>
            </w:tcBorders>
            <w:shd w:val="clear" w:color="auto" w:fill="auto"/>
            <w:noWrap/>
            <w:vAlign w:val="center"/>
            <w:hideMark/>
          </w:tcPr>
          <w:p w:rsidR="001B39BA" w:rsidRPr="001B39BA" w:rsidRDefault="001B39BA" w:rsidP="001B39BA">
            <w:pPr>
              <w:spacing w:line="240" w:lineRule="auto"/>
              <w:jc w:val="right"/>
              <w:rPr>
                <w:rFonts w:ascii="Arial" w:eastAsia="Times New Roman" w:hAnsi="Arial" w:cs="Arial"/>
                <w:sz w:val="14"/>
                <w:szCs w:val="14"/>
                <w:lang w:eastAsia="sk-SK"/>
              </w:rPr>
            </w:pPr>
          </w:p>
        </w:tc>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xml:space="preserve">                  0 </w:t>
            </w:r>
          </w:p>
        </w:tc>
      </w:tr>
      <w:tr w:rsidR="001B39BA" w:rsidRPr="001B39BA" w:rsidTr="006A2210">
        <w:trPr>
          <w:trHeight w:val="300"/>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Ostatné prevádzkové náklady</w:t>
            </w:r>
          </w:p>
        </w:tc>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xml:space="preserve">     (2 674 624)</w:t>
            </w:r>
          </w:p>
        </w:tc>
        <w:tc>
          <w:tcPr>
            <w:tcW w:w="1535" w:type="dxa"/>
            <w:tcBorders>
              <w:top w:val="nil"/>
              <w:left w:val="nil"/>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xml:space="preserve">     (1 662 020)</w:t>
            </w:r>
          </w:p>
        </w:tc>
        <w:tc>
          <w:tcPr>
            <w:tcW w:w="181" w:type="dxa"/>
            <w:tcBorders>
              <w:top w:val="nil"/>
              <w:left w:val="nil"/>
              <w:bottom w:val="nil"/>
              <w:right w:val="nil"/>
            </w:tcBorders>
            <w:shd w:val="clear" w:color="auto" w:fill="auto"/>
            <w:noWrap/>
            <w:vAlign w:val="center"/>
            <w:hideMark/>
          </w:tcPr>
          <w:p w:rsidR="001B39BA" w:rsidRPr="001B39BA" w:rsidRDefault="001B39BA" w:rsidP="001B39BA">
            <w:pPr>
              <w:spacing w:line="240" w:lineRule="auto"/>
              <w:jc w:val="right"/>
              <w:rPr>
                <w:rFonts w:ascii="Arial" w:eastAsia="Times New Roman" w:hAnsi="Arial" w:cs="Arial"/>
                <w:sz w:val="14"/>
                <w:szCs w:val="14"/>
                <w:lang w:eastAsia="sk-SK"/>
              </w:rPr>
            </w:pPr>
          </w:p>
        </w:tc>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xml:space="preserve">     (2 743 800)</w:t>
            </w:r>
          </w:p>
        </w:tc>
      </w:tr>
      <w:tr w:rsidR="001B39BA" w:rsidRPr="001B39BA" w:rsidTr="006A2210">
        <w:trPr>
          <w:trHeight w:val="300"/>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Prevádzkový zisk/(strata)</w:t>
            </w:r>
          </w:p>
        </w:tc>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xml:space="preserve">      1 580 644 </w:t>
            </w:r>
          </w:p>
        </w:tc>
        <w:tc>
          <w:tcPr>
            <w:tcW w:w="1535" w:type="dxa"/>
            <w:tcBorders>
              <w:top w:val="nil"/>
              <w:left w:val="nil"/>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xml:space="preserve">      3 471 955 </w:t>
            </w:r>
          </w:p>
        </w:tc>
        <w:tc>
          <w:tcPr>
            <w:tcW w:w="181" w:type="dxa"/>
            <w:tcBorders>
              <w:top w:val="nil"/>
              <w:left w:val="nil"/>
              <w:bottom w:val="nil"/>
              <w:right w:val="nil"/>
            </w:tcBorders>
            <w:shd w:val="clear" w:color="auto" w:fill="auto"/>
            <w:noWrap/>
            <w:vAlign w:val="center"/>
            <w:hideMark/>
          </w:tcPr>
          <w:p w:rsidR="001B39BA" w:rsidRPr="001B39BA" w:rsidRDefault="001B39BA" w:rsidP="001B39BA">
            <w:pPr>
              <w:spacing w:line="240" w:lineRule="auto"/>
              <w:jc w:val="right"/>
              <w:rPr>
                <w:rFonts w:ascii="Arial" w:eastAsia="Times New Roman" w:hAnsi="Arial" w:cs="Arial"/>
                <w:sz w:val="14"/>
                <w:szCs w:val="14"/>
                <w:lang w:eastAsia="sk-SK"/>
              </w:rPr>
            </w:pPr>
          </w:p>
        </w:tc>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xml:space="preserve">      1 206 800 </w:t>
            </w:r>
          </w:p>
        </w:tc>
      </w:tr>
      <w:tr w:rsidR="001B39BA" w:rsidRPr="001B39BA" w:rsidTr="006A2210">
        <w:trPr>
          <w:trHeight w:val="300"/>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xml:space="preserve">Finančné výnosy </w:t>
            </w:r>
          </w:p>
        </w:tc>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xml:space="preserve">        540 495 </w:t>
            </w:r>
          </w:p>
        </w:tc>
        <w:tc>
          <w:tcPr>
            <w:tcW w:w="1535" w:type="dxa"/>
            <w:tcBorders>
              <w:top w:val="nil"/>
              <w:left w:val="nil"/>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xml:space="preserve">        295 862 </w:t>
            </w:r>
          </w:p>
        </w:tc>
        <w:tc>
          <w:tcPr>
            <w:tcW w:w="181" w:type="dxa"/>
            <w:tcBorders>
              <w:top w:val="nil"/>
              <w:left w:val="nil"/>
              <w:bottom w:val="nil"/>
              <w:right w:val="nil"/>
            </w:tcBorders>
            <w:shd w:val="clear" w:color="auto" w:fill="auto"/>
            <w:noWrap/>
            <w:vAlign w:val="center"/>
            <w:hideMark/>
          </w:tcPr>
          <w:p w:rsidR="001B39BA" w:rsidRPr="001B39BA" w:rsidRDefault="001B39BA" w:rsidP="001B39BA">
            <w:pPr>
              <w:spacing w:line="240" w:lineRule="auto"/>
              <w:jc w:val="right"/>
              <w:rPr>
                <w:rFonts w:ascii="Arial" w:eastAsia="Times New Roman" w:hAnsi="Arial" w:cs="Arial"/>
                <w:sz w:val="14"/>
                <w:szCs w:val="14"/>
                <w:lang w:eastAsia="sk-SK"/>
              </w:rPr>
            </w:pPr>
          </w:p>
        </w:tc>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xml:space="preserve">            2 600 </w:t>
            </w:r>
          </w:p>
        </w:tc>
      </w:tr>
      <w:tr w:rsidR="001B39BA" w:rsidRPr="001B39BA" w:rsidTr="006A2210">
        <w:trPr>
          <w:trHeight w:val="300"/>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xml:space="preserve">Finančné náklady </w:t>
            </w:r>
          </w:p>
        </w:tc>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xml:space="preserve">     (1 153 173)</w:t>
            </w:r>
          </w:p>
        </w:tc>
        <w:tc>
          <w:tcPr>
            <w:tcW w:w="1535" w:type="dxa"/>
            <w:tcBorders>
              <w:top w:val="nil"/>
              <w:left w:val="nil"/>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xml:space="preserve">     (1 314 301)</w:t>
            </w:r>
          </w:p>
        </w:tc>
        <w:tc>
          <w:tcPr>
            <w:tcW w:w="181" w:type="dxa"/>
            <w:tcBorders>
              <w:top w:val="nil"/>
              <w:left w:val="nil"/>
              <w:bottom w:val="nil"/>
              <w:right w:val="nil"/>
            </w:tcBorders>
            <w:shd w:val="clear" w:color="auto" w:fill="auto"/>
            <w:noWrap/>
            <w:vAlign w:val="center"/>
            <w:hideMark/>
          </w:tcPr>
          <w:p w:rsidR="001B39BA" w:rsidRPr="001B39BA" w:rsidRDefault="001B39BA" w:rsidP="001B39BA">
            <w:pPr>
              <w:spacing w:line="240" w:lineRule="auto"/>
              <w:jc w:val="right"/>
              <w:rPr>
                <w:rFonts w:ascii="Arial" w:eastAsia="Times New Roman" w:hAnsi="Arial" w:cs="Arial"/>
                <w:sz w:val="14"/>
                <w:szCs w:val="14"/>
                <w:lang w:eastAsia="sk-SK"/>
              </w:rPr>
            </w:pPr>
          </w:p>
        </w:tc>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xml:space="preserve">       (339 400)</w:t>
            </w:r>
          </w:p>
        </w:tc>
      </w:tr>
      <w:tr w:rsidR="001B39BA" w:rsidRPr="001B39BA" w:rsidTr="006A2210">
        <w:trPr>
          <w:trHeight w:val="300"/>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xml:space="preserve">Finančné výnosy/(náklady) netto </w:t>
            </w:r>
          </w:p>
        </w:tc>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xml:space="preserve">       (612 678)</w:t>
            </w:r>
          </w:p>
        </w:tc>
        <w:tc>
          <w:tcPr>
            <w:tcW w:w="1535" w:type="dxa"/>
            <w:tcBorders>
              <w:top w:val="nil"/>
              <w:left w:val="nil"/>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xml:space="preserve">     (1 018 439)</w:t>
            </w:r>
          </w:p>
        </w:tc>
        <w:tc>
          <w:tcPr>
            <w:tcW w:w="181" w:type="dxa"/>
            <w:tcBorders>
              <w:top w:val="nil"/>
              <w:left w:val="nil"/>
              <w:bottom w:val="nil"/>
              <w:right w:val="nil"/>
            </w:tcBorders>
            <w:shd w:val="clear" w:color="auto" w:fill="auto"/>
            <w:noWrap/>
            <w:vAlign w:val="center"/>
            <w:hideMark/>
          </w:tcPr>
          <w:p w:rsidR="001B39BA" w:rsidRPr="001B39BA" w:rsidRDefault="001B39BA" w:rsidP="001B39BA">
            <w:pPr>
              <w:spacing w:line="240" w:lineRule="auto"/>
              <w:jc w:val="right"/>
              <w:rPr>
                <w:rFonts w:ascii="Arial" w:eastAsia="Times New Roman" w:hAnsi="Arial" w:cs="Arial"/>
                <w:b/>
                <w:bCs/>
                <w:color w:val="000080"/>
                <w:sz w:val="14"/>
                <w:szCs w:val="14"/>
                <w:lang w:eastAsia="sk-SK"/>
              </w:rPr>
            </w:pPr>
          </w:p>
        </w:tc>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xml:space="preserve">       (336 800)</w:t>
            </w:r>
          </w:p>
        </w:tc>
      </w:tr>
      <w:tr w:rsidR="001B39BA" w:rsidRPr="001B39BA" w:rsidTr="006A2210">
        <w:trPr>
          <w:trHeight w:val="285"/>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xml:space="preserve">Zisk pred zdanením </w:t>
            </w:r>
          </w:p>
        </w:tc>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xml:space="preserve">        967 966 </w:t>
            </w:r>
          </w:p>
        </w:tc>
        <w:tc>
          <w:tcPr>
            <w:tcW w:w="1535" w:type="dxa"/>
            <w:tcBorders>
              <w:top w:val="nil"/>
              <w:left w:val="nil"/>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xml:space="preserve">      2 453 516 </w:t>
            </w:r>
          </w:p>
        </w:tc>
        <w:tc>
          <w:tcPr>
            <w:tcW w:w="181" w:type="dxa"/>
            <w:tcBorders>
              <w:top w:val="nil"/>
              <w:left w:val="nil"/>
              <w:bottom w:val="nil"/>
              <w:right w:val="nil"/>
            </w:tcBorders>
            <w:shd w:val="clear" w:color="auto" w:fill="auto"/>
            <w:noWrap/>
            <w:vAlign w:val="center"/>
            <w:hideMark/>
          </w:tcPr>
          <w:p w:rsidR="001B39BA" w:rsidRPr="001B39BA" w:rsidRDefault="001B39BA" w:rsidP="001B39BA">
            <w:pPr>
              <w:spacing w:line="240" w:lineRule="auto"/>
              <w:jc w:val="right"/>
              <w:rPr>
                <w:rFonts w:ascii="Arial" w:eastAsia="Times New Roman" w:hAnsi="Arial" w:cs="Arial"/>
                <w:sz w:val="14"/>
                <w:szCs w:val="14"/>
                <w:lang w:eastAsia="sk-SK"/>
              </w:rPr>
            </w:pPr>
          </w:p>
        </w:tc>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xml:space="preserve">        870 000 </w:t>
            </w:r>
          </w:p>
        </w:tc>
      </w:tr>
      <w:tr w:rsidR="001B39BA" w:rsidRPr="001B39BA" w:rsidTr="006A2210">
        <w:trPr>
          <w:trHeight w:val="300"/>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Daň z príjmov</w:t>
            </w:r>
          </w:p>
        </w:tc>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xml:space="preserve">           (3 600)</w:t>
            </w:r>
          </w:p>
        </w:tc>
        <w:tc>
          <w:tcPr>
            <w:tcW w:w="1535" w:type="dxa"/>
            <w:tcBorders>
              <w:top w:val="nil"/>
              <w:left w:val="nil"/>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xml:space="preserve">           (6 427)</w:t>
            </w:r>
          </w:p>
        </w:tc>
        <w:tc>
          <w:tcPr>
            <w:tcW w:w="181" w:type="dxa"/>
            <w:tcBorders>
              <w:top w:val="nil"/>
              <w:left w:val="nil"/>
              <w:bottom w:val="nil"/>
              <w:right w:val="nil"/>
            </w:tcBorders>
            <w:shd w:val="clear" w:color="auto" w:fill="auto"/>
            <w:noWrap/>
            <w:vAlign w:val="center"/>
            <w:hideMark/>
          </w:tcPr>
          <w:p w:rsidR="001B39BA" w:rsidRPr="001B39BA" w:rsidRDefault="001B39BA" w:rsidP="001B39BA">
            <w:pPr>
              <w:spacing w:line="240" w:lineRule="auto"/>
              <w:jc w:val="right"/>
              <w:rPr>
                <w:rFonts w:ascii="Arial" w:eastAsia="Times New Roman" w:hAnsi="Arial" w:cs="Arial"/>
                <w:sz w:val="14"/>
                <w:szCs w:val="14"/>
                <w:lang w:eastAsia="sk-SK"/>
              </w:rPr>
            </w:pPr>
          </w:p>
        </w:tc>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xml:space="preserve">                  0 </w:t>
            </w:r>
          </w:p>
        </w:tc>
      </w:tr>
      <w:tr w:rsidR="001B39BA" w:rsidRPr="001B39BA" w:rsidTr="006A2210">
        <w:trPr>
          <w:trHeight w:val="285"/>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b/>
                <w:bCs/>
                <w:sz w:val="20"/>
                <w:szCs w:val="20"/>
                <w:lang w:eastAsia="sk-SK"/>
              </w:rPr>
            </w:pPr>
            <w:r w:rsidRPr="001B39BA">
              <w:rPr>
                <w:rFonts w:ascii="Arial" w:eastAsia="Times New Roman" w:hAnsi="Arial" w:cs="Arial"/>
                <w:b/>
                <w:bCs/>
                <w:sz w:val="20"/>
                <w:szCs w:val="20"/>
                <w:lang w:eastAsia="sk-SK"/>
              </w:rPr>
              <w:t>Zisk za obdobie</w:t>
            </w:r>
          </w:p>
        </w:tc>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xml:space="preserve">        964 366 </w:t>
            </w:r>
          </w:p>
        </w:tc>
        <w:tc>
          <w:tcPr>
            <w:tcW w:w="1535" w:type="dxa"/>
            <w:tcBorders>
              <w:top w:val="nil"/>
              <w:left w:val="nil"/>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xml:space="preserve">      2 447 089 </w:t>
            </w:r>
          </w:p>
        </w:tc>
        <w:tc>
          <w:tcPr>
            <w:tcW w:w="181" w:type="dxa"/>
            <w:tcBorders>
              <w:top w:val="nil"/>
              <w:left w:val="nil"/>
              <w:bottom w:val="nil"/>
              <w:right w:val="nil"/>
            </w:tcBorders>
            <w:shd w:val="clear" w:color="auto" w:fill="auto"/>
            <w:noWrap/>
            <w:vAlign w:val="center"/>
            <w:hideMark/>
          </w:tcPr>
          <w:p w:rsidR="001B39BA" w:rsidRPr="001B39BA" w:rsidRDefault="001B39BA" w:rsidP="001B39BA">
            <w:pPr>
              <w:spacing w:line="240" w:lineRule="auto"/>
              <w:jc w:val="right"/>
              <w:rPr>
                <w:rFonts w:ascii="Arial" w:eastAsia="Times New Roman" w:hAnsi="Arial" w:cs="Arial"/>
                <w:sz w:val="14"/>
                <w:szCs w:val="14"/>
                <w:lang w:eastAsia="sk-SK"/>
              </w:rPr>
            </w:pPr>
          </w:p>
        </w:tc>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xml:space="preserve">        870 000 </w:t>
            </w:r>
          </w:p>
        </w:tc>
      </w:tr>
      <w:tr w:rsidR="001B39BA" w:rsidRPr="001B39BA" w:rsidTr="006A2210">
        <w:trPr>
          <w:trHeight w:val="300"/>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b/>
                <w:bCs/>
                <w:sz w:val="20"/>
                <w:szCs w:val="20"/>
                <w:lang w:eastAsia="sk-SK"/>
              </w:rPr>
            </w:pPr>
            <w:r w:rsidRPr="001B39BA">
              <w:rPr>
                <w:rFonts w:ascii="Arial" w:eastAsia="Times New Roman" w:hAnsi="Arial" w:cs="Arial"/>
                <w:b/>
                <w:bCs/>
                <w:sz w:val="20"/>
                <w:szCs w:val="20"/>
                <w:lang w:eastAsia="sk-SK"/>
              </w:rPr>
              <w:t> </w:t>
            </w:r>
          </w:p>
        </w:tc>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w:t>
            </w:r>
          </w:p>
        </w:tc>
        <w:tc>
          <w:tcPr>
            <w:tcW w:w="1535" w:type="dxa"/>
            <w:tcBorders>
              <w:top w:val="nil"/>
              <w:left w:val="nil"/>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w:t>
            </w:r>
          </w:p>
        </w:tc>
        <w:tc>
          <w:tcPr>
            <w:tcW w:w="181" w:type="dxa"/>
            <w:tcBorders>
              <w:top w:val="nil"/>
              <w:left w:val="nil"/>
              <w:bottom w:val="nil"/>
              <w:right w:val="nil"/>
            </w:tcBorders>
            <w:shd w:val="clear" w:color="auto" w:fill="auto"/>
            <w:noWrap/>
            <w:vAlign w:val="center"/>
            <w:hideMark/>
          </w:tcPr>
          <w:p w:rsidR="001B39BA" w:rsidRPr="001B39BA" w:rsidRDefault="001B39BA" w:rsidP="001B39BA">
            <w:pPr>
              <w:spacing w:line="240" w:lineRule="auto"/>
              <w:jc w:val="right"/>
              <w:rPr>
                <w:rFonts w:ascii="Arial" w:eastAsia="Times New Roman" w:hAnsi="Arial" w:cs="Arial"/>
                <w:sz w:val="14"/>
                <w:szCs w:val="14"/>
                <w:lang w:eastAsia="sk-SK"/>
              </w:rPr>
            </w:pPr>
          </w:p>
        </w:tc>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w:t>
            </w:r>
          </w:p>
        </w:tc>
      </w:tr>
      <w:tr w:rsidR="001B39BA" w:rsidRPr="001B39BA" w:rsidTr="006A2210">
        <w:trPr>
          <w:trHeight w:val="300"/>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b/>
                <w:bCs/>
                <w:sz w:val="20"/>
                <w:szCs w:val="20"/>
                <w:lang w:eastAsia="sk-SK"/>
              </w:rPr>
            </w:pPr>
            <w:r w:rsidRPr="001B39BA">
              <w:rPr>
                <w:rFonts w:ascii="Arial" w:eastAsia="Times New Roman" w:hAnsi="Arial" w:cs="Arial"/>
                <w:b/>
                <w:bCs/>
                <w:sz w:val="20"/>
                <w:szCs w:val="20"/>
                <w:lang w:eastAsia="sk-SK"/>
              </w:rPr>
              <w:t>Celkový komplexný výsledok za obdobie</w:t>
            </w:r>
          </w:p>
        </w:tc>
        <w:tc>
          <w:tcPr>
            <w:tcW w:w="1535" w:type="dxa"/>
            <w:tcBorders>
              <w:top w:val="nil"/>
              <w:left w:val="single" w:sz="4" w:space="0" w:color="auto"/>
              <w:bottom w:val="double" w:sz="6"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xml:space="preserve">        964 366 </w:t>
            </w:r>
          </w:p>
        </w:tc>
        <w:tc>
          <w:tcPr>
            <w:tcW w:w="1535" w:type="dxa"/>
            <w:tcBorders>
              <w:top w:val="nil"/>
              <w:left w:val="nil"/>
              <w:bottom w:val="double" w:sz="6"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xml:space="preserve">      2 447 089 </w:t>
            </w:r>
          </w:p>
        </w:tc>
        <w:tc>
          <w:tcPr>
            <w:tcW w:w="181" w:type="dxa"/>
            <w:tcBorders>
              <w:top w:val="nil"/>
              <w:left w:val="nil"/>
              <w:bottom w:val="nil"/>
              <w:right w:val="nil"/>
            </w:tcBorders>
            <w:shd w:val="clear" w:color="auto" w:fill="auto"/>
            <w:noWrap/>
            <w:vAlign w:val="center"/>
            <w:hideMark/>
          </w:tcPr>
          <w:p w:rsidR="001B39BA" w:rsidRPr="001B39BA" w:rsidRDefault="001B39BA" w:rsidP="001B39BA">
            <w:pPr>
              <w:spacing w:line="240" w:lineRule="auto"/>
              <w:jc w:val="right"/>
              <w:rPr>
                <w:rFonts w:ascii="Arial" w:eastAsia="Times New Roman" w:hAnsi="Arial" w:cs="Arial"/>
                <w:sz w:val="14"/>
                <w:szCs w:val="14"/>
                <w:lang w:eastAsia="sk-SK"/>
              </w:rPr>
            </w:pPr>
          </w:p>
        </w:tc>
        <w:tc>
          <w:tcPr>
            <w:tcW w:w="1535" w:type="dxa"/>
            <w:tcBorders>
              <w:top w:val="nil"/>
              <w:left w:val="single" w:sz="4" w:space="0" w:color="auto"/>
              <w:bottom w:val="double" w:sz="6"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xml:space="preserve">        870 000 </w:t>
            </w:r>
          </w:p>
        </w:tc>
      </w:tr>
      <w:tr w:rsidR="001B39BA" w:rsidRPr="001B39BA" w:rsidTr="001B39BA">
        <w:trPr>
          <w:trHeight w:val="300"/>
        </w:trPr>
        <w:tc>
          <w:tcPr>
            <w:tcW w:w="4460" w:type="dxa"/>
            <w:tcBorders>
              <w:top w:val="nil"/>
              <w:left w:val="single" w:sz="4" w:space="0" w:color="auto"/>
              <w:bottom w:val="single" w:sz="4" w:space="0" w:color="auto"/>
              <w:right w:val="nil"/>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w:t>
            </w:r>
          </w:p>
        </w:tc>
        <w:tc>
          <w:tcPr>
            <w:tcW w:w="1535" w:type="dxa"/>
            <w:tcBorders>
              <w:top w:val="nil"/>
              <w:left w:val="nil"/>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w:t>
            </w:r>
          </w:p>
        </w:tc>
        <w:tc>
          <w:tcPr>
            <w:tcW w:w="1535" w:type="dxa"/>
            <w:tcBorders>
              <w:top w:val="nil"/>
              <w:left w:val="nil"/>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w:t>
            </w:r>
          </w:p>
        </w:tc>
        <w:tc>
          <w:tcPr>
            <w:tcW w:w="181" w:type="dxa"/>
            <w:tcBorders>
              <w:top w:val="nil"/>
              <w:left w:val="nil"/>
              <w:bottom w:val="nil"/>
              <w:right w:val="nil"/>
            </w:tcBorders>
            <w:shd w:val="clear" w:color="auto" w:fill="auto"/>
            <w:noWrap/>
            <w:vAlign w:val="center"/>
            <w:hideMark/>
          </w:tcPr>
          <w:p w:rsidR="001B39BA" w:rsidRPr="001B39BA" w:rsidRDefault="001B39BA" w:rsidP="001B39BA">
            <w:pPr>
              <w:spacing w:line="240" w:lineRule="auto"/>
              <w:jc w:val="right"/>
              <w:rPr>
                <w:rFonts w:ascii="Arial" w:eastAsia="Times New Roman" w:hAnsi="Arial" w:cs="Arial"/>
                <w:sz w:val="14"/>
                <w:szCs w:val="14"/>
                <w:lang w:eastAsia="sk-SK"/>
              </w:rPr>
            </w:pPr>
          </w:p>
        </w:tc>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w:t>
            </w:r>
          </w:p>
        </w:tc>
      </w:tr>
      <w:tr w:rsidR="001B39BA" w:rsidRPr="001B39BA" w:rsidTr="001B39BA">
        <w:trPr>
          <w:trHeight w:val="300"/>
        </w:trPr>
        <w:tc>
          <w:tcPr>
            <w:tcW w:w="4460" w:type="dxa"/>
            <w:tcBorders>
              <w:top w:val="nil"/>
              <w:left w:val="single" w:sz="4" w:space="0" w:color="auto"/>
              <w:bottom w:val="single" w:sz="4" w:space="0" w:color="auto"/>
              <w:right w:val="nil"/>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b/>
                <w:bCs/>
                <w:sz w:val="20"/>
                <w:szCs w:val="20"/>
                <w:lang w:eastAsia="sk-SK"/>
              </w:rPr>
            </w:pPr>
            <w:r w:rsidRPr="001B39BA">
              <w:rPr>
                <w:rFonts w:ascii="Arial" w:eastAsia="Times New Roman" w:hAnsi="Arial" w:cs="Arial"/>
                <w:b/>
                <w:bCs/>
                <w:sz w:val="20"/>
                <w:szCs w:val="20"/>
                <w:lang w:eastAsia="sk-SK"/>
              </w:rPr>
              <w:t>Zisk na akciu</w:t>
            </w:r>
          </w:p>
        </w:tc>
        <w:tc>
          <w:tcPr>
            <w:tcW w:w="1535" w:type="dxa"/>
            <w:tcBorders>
              <w:top w:val="nil"/>
              <w:left w:val="nil"/>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w:t>
            </w:r>
          </w:p>
        </w:tc>
        <w:tc>
          <w:tcPr>
            <w:tcW w:w="1535" w:type="dxa"/>
            <w:tcBorders>
              <w:top w:val="nil"/>
              <w:left w:val="nil"/>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w:t>
            </w:r>
          </w:p>
        </w:tc>
        <w:tc>
          <w:tcPr>
            <w:tcW w:w="181" w:type="dxa"/>
            <w:tcBorders>
              <w:top w:val="nil"/>
              <w:left w:val="nil"/>
              <w:bottom w:val="nil"/>
              <w:right w:val="nil"/>
            </w:tcBorders>
            <w:shd w:val="clear" w:color="auto" w:fill="auto"/>
            <w:noWrap/>
            <w:vAlign w:val="center"/>
            <w:hideMark/>
          </w:tcPr>
          <w:p w:rsidR="001B39BA" w:rsidRPr="001B39BA" w:rsidRDefault="001B39BA" w:rsidP="001B39BA">
            <w:pPr>
              <w:spacing w:line="240" w:lineRule="auto"/>
              <w:jc w:val="right"/>
              <w:rPr>
                <w:rFonts w:ascii="Arial" w:eastAsia="Times New Roman" w:hAnsi="Arial" w:cs="Arial"/>
                <w:sz w:val="14"/>
                <w:szCs w:val="14"/>
                <w:lang w:eastAsia="sk-SK"/>
              </w:rPr>
            </w:pPr>
          </w:p>
        </w:tc>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w:t>
            </w:r>
          </w:p>
        </w:tc>
      </w:tr>
      <w:tr w:rsidR="001B39BA" w:rsidRPr="001B39BA" w:rsidTr="001B39BA">
        <w:trPr>
          <w:trHeight w:val="300"/>
        </w:trPr>
        <w:tc>
          <w:tcPr>
            <w:tcW w:w="4460" w:type="dxa"/>
            <w:tcBorders>
              <w:top w:val="nil"/>
              <w:left w:val="single" w:sz="4" w:space="0" w:color="auto"/>
              <w:bottom w:val="single" w:sz="4" w:space="0" w:color="auto"/>
              <w:right w:val="nil"/>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w:t>
            </w:r>
          </w:p>
        </w:tc>
        <w:tc>
          <w:tcPr>
            <w:tcW w:w="1535" w:type="dxa"/>
            <w:tcBorders>
              <w:top w:val="nil"/>
              <w:left w:val="nil"/>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w:t>
            </w:r>
          </w:p>
        </w:tc>
        <w:tc>
          <w:tcPr>
            <w:tcW w:w="1535" w:type="dxa"/>
            <w:tcBorders>
              <w:top w:val="nil"/>
              <w:left w:val="nil"/>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w:t>
            </w:r>
          </w:p>
        </w:tc>
        <w:tc>
          <w:tcPr>
            <w:tcW w:w="181" w:type="dxa"/>
            <w:tcBorders>
              <w:top w:val="nil"/>
              <w:left w:val="nil"/>
              <w:bottom w:val="nil"/>
              <w:right w:val="nil"/>
            </w:tcBorders>
            <w:shd w:val="clear" w:color="auto" w:fill="auto"/>
            <w:noWrap/>
            <w:vAlign w:val="center"/>
            <w:hideMark/>
          </w:tcPr>
          <w:p w:rsidR="001B39BA" w:rsidRPr="001B39BA" w:rsidRDefault="001B39BA" w:rsidP="001B39BA">
            <w:pPr>
              <w:spacing w:line="240" w:lineRule="auto"/>
              <w:jc w:val="right"/>
              <w:rPr>
                <w:rFonts w:ascii="Arial" w:eastAsia="Times New Roman" w:hAnsi="Arial" w:cs="Arial"/>
                <w:sz w:val="14"/>
                <w:szCs w:val="14"/>
                <w:lang w:eastAsia="sk-SK"/>
              </w:rPr>
            </w:pPr>
          </w:p>
        </w:tc>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w:t>
            </w:r>
          </w:p>
        </w:tc>
      </w:tr>
      <w:tr w:rsidR="001B39BA" w:rsidRPr="001B39BA" w:rsidTr="001B39BA">
        <w:trPr>
          <w:trHeight w:val="300"/>
        </w:trPr>
        <w:tc>
          <w:tcPr>
            <w:tcW w:w="4460" w:type="dxa"/>
            <w:tcBorders>
              <w:top w:val="nil"/>
              <w:left w:val="single" w:sz="4" w:space="0" w:color="auto"/>
              <w:bottom w:val="single" w:sz="4" w:space="0" w:color="auto"/>
              <w:right w:val="nil"/>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Základný</w:t>
            </w:r>
          </w:p>
        </w:tc>
        <w:tc>
          <w:tcPr>
            <w:tcW w:w="1535" w:type="dxa"/>
            <w:tcBorders>
              <w:top w:val="nil"/>
              <w:left w:val="nil"/>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right"/>
              <w:rPr>
                <w:rFonts w:ascii="Arial" w:eastAsia="Times New Roman" w:hAnsi="Arial" w:cs="Arial"/>
                <w:sz w:val="20"/>
                <w:szCs w:val="20"/>
                <w:lang w:eastAsia="sk-SK"/>
              </w:rPr>
            </w:pPr>
            <w:r w:rsidRPr="001B39BA">
              <w:rPr>
                <w:rFonts w:ascii="Arial" w:eastAsia="Times New Roman" w:hAnsi="Arial" w:cs="Arial"/>
                <w:sz w:val="20"/>
                <w:szCs w:val="20"/>
                <w:lang w:eastAsia="sk-SK"/>
              </w:rPr>
              <w:t>0,321</w:t>
            </w:r>
          </w:p>
        </w:tc>
        <w:tc>
          <w:tcPr>
            <w:tcW w:w="1535" w:type="dxa"/>
            <w:tcBorders>
              <w:top w:val="nil"/>
              <w:left w:val="nil"/>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right"/>
              <w:rPr>
                <w:rFonts w:ascii="Arial" w:eastAsia="Times New Roman" w:hAnsi="Arial" w:cs="Arial"/>
                <w:sz w:val="20"/>
                <w:szCs w:val="20"/>
                <w:lang w:eastAsia="sk-SK"/>
              </w:rPr>
            </w:pPr>
            <w:r w:rsidRPr="001B39BA">
              <w:rPr>
                <w:rFonts w:ascii="Arial" w:eastAsia="Times New Roman" w:hAnsi="Arial" w:cs="Arial"/>
                <w:sz w:val="20"/>
                <w:szCs w:val="20"/>
                <w:lang w:eastAsia="sk-SK"/>
              </w:rPr>
              <w:t>0,815</w:t>
            </w:r>
          </w:p>
        </w:tc>
        <w:tc>
          <w:tcPr>
            <w:tcW w:w="181" w:type="dxa"/>
            <w:tcBorders>
              <w:top w:val="nil"/>
              <w:left w:val="nil"/>
              <w:bottom w:val="nil"/>
              <w:right w:val="nil"/>
            </w:tcBorders>
            <w:shd w:val="clear" w:color="auto" w:fill="auto"/>
            <w:noWrap/>
            <w:vAlign w:val="center"/>
            <w:hideMark/>
          </w:tcPr>
          <w:p w:rsidR="001B39BA" w:rsidRPr="001B39BA" w:rsidRDefault="001B39BA" w:rsidP="001B39BA">
            <w:pPr>
              <w:spacing w:line="240" w:lineRule="auto"/>
              <w:jc w:val="right"/>
              <w:rPr>
                <w:rFonts w:ascii="Arial" w:eastAsia="Times New Roman" w:hAnsi="Arial" w:cs="Arial"/>
                <w:b/>
                <w:bCs/>
                <w:color w:val="000080"/>
                <w:sz w:val="14"/>
                <w:szCs w:val="14"/>
                <w:lang w:eastAsia="sk-SK"/>
              </w:rPr>
            </w:pPr>
          </w:p>
        </w:tc>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w:t>
            </w:r>
          </w:p>
        </w:tc>
      </w:tr>
      <w:tr w:rsidR="001B39BA" w:rsidRPr="001B39BA" w:rsidTr="001B39BA">
        <w:trPr>
          <w:trHeight w:val="300"/>
        </w:trPr>
        <w:tc>
          <w:tcPr>
            <w:tcW w:w="4460" w:type="dxa"/>
            <w:tcBorders>
              <w:top w:val="nil"/>
              <w:left w:val="single" w:sz="4" w:space="0" w:color="auto"/>
              <w:bottom w:val="single" w:sz="4" w:space="0" w:color="auto"/>
              <w:right w:val="nil"/>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Redukovaný</w:t>
            </w:r>
          </w:p>
        </w:tc>
        <w:tc>
          <w:tcPr>
            <w:tcW w:w="1535" w:type="dxa"/>
            <w:tcBorders>
              <w:top w:val="nil"/>
              <w:left w:val="nil"/>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right"/>
              <w:rPr>
                <w:rFonts w:ascii="Arial" w:eastAsia="Times New Roman" w:hAnsi="Arial" w:cs="Arial"/>
                <w:sz w:val="20"/>
                <w:szCs w:val="20"/>
                <w:lang w:eastAsia="sk-SK"/>
              </w:rPr>
            </w:pPr>
            <w:r w:rsidRPr="001B39BA">
              <w:rPr>
                <w:rFonts w:ascii="Arial" w:eastAsia="Times New Roman" w:hAnsi="Arial" w:cs="Arial"/>
                <w:sz w:val="20"/>
                <w:szCs w:val="20"/>
                <w:lang w:eastAsia="sk-SK"/>
              </w:rPr>
              <w:t>0,321</w:t>
            </w:r>
          </w:p>
        </w:tc>
        <w:tc>
          <w:tcPr>
            <w:tcW w:w="1535" w:type="dxa"/>
            <w:tcBorders>
              <w:top w:val="nil"/>
              <w:left w:val="nil"/>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right"/>
              <w:rPr>
                <w:rFonts w:ascii="Arial" w:eastAsia="Times New Roman" w:hAnsi="Arial" w:cs="Arial"/>
                <w:sz w:val="20"/>
                <w:szCs w:val="20"/>
                <w:lang w:eastAsia="sk-SK"/>
              </w:rPr>
            </w:pPr>
            <w:r w:rsidRPr="001B39BA">
              <w:rPr>
                <w:rFonts w:ascii="Arial" w:eastAsia="Times New Roman" w:hAnsi="Arial" w:cs="Arial"/>
                <w:sz w:val="20"/>
                <w:szCs w:val="20"/>
                <w:lang w:eastAsia="sk-SK"/>
              </w:rPr>
              <w:t>0,815</w:t>
            </w:r>
          </w:p>
        </w:tc>
        <w:tc>
          <w:tcPr>
            <w:tcW w:w="181" w:type="dxa"/>
            <w:tcBorders>
              <w:top w:val="nil"/>
              <w:left w:val="nil"/>
              <w:bottom w:val="single" w:sz="4" w:space="0" w:color="auto"/>
              <w:right w:val="nil"/>
            </w:tcBorders>
            <w:shd w:val="clear" w:color="auto" w:fill="auto"/>
            <w:noWrap/>
            <w:vAlign w:val="center"/>
            <w:hideMark/>
          </w:tcPr>
          <w:p w:rsidR="001B39BA" w:rsidRPr="001B39BA" w:rsidRDefault="001B39BA" w:rsidP="001B39BA">
            <w:pPr>
              <w:spacing w:line="240" w:lineRule="auto"/>
              <w:jc w:val="right"/>
              <w:rPr>
                <w:rFonts w:ascii="Arial" w:eastAsia="Times New Roman" w:hAnsi="Arial" w:cs="Arial"/>
                <w:sz w:val="14"/>
                <w:szCs w:val="14"/>
                <w:lang w:eastAsia="sk-SK"/>
              </w:rPr>
            </w:pPr>
            <w:r w:rsidRPr="001B39BA">
              <w:rPr>
                <w:rFonts w:ascii="Arial" w:eastAsia="Times New Roman" w:hAnsi="Arial" w:cs="Arial"/>
                <w:sz w:val="14"/>
                <w:szCs w:val="14"/>
                <w:lang w:eastAsia="sk-SK"/>
              </w:rPr>
              <w:t> </w:t>
            </w:r>
          </w:p>
        </w:tc>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1B39BA" w:rsidRPr="001B39BA" w:rsidRDefault="001B39BA" w:rsidP="001B39BA">
            <w:pPr>
              <w:spacing w:line="240" w:lineRule="auto"/>
              <w:jc w:val="left"/>
              <w:rPr>
                <w:rFonts w:ascii="Arial" w:eastAsia="Times New Roman" w:hAnsi="Arial" w:cs="Arial"/>
                <w:sz w:val="20"/>
                <w:szCs w:val="20"/>
                <w:lang w:eastAsia="sk-SK"/>
              </w:rPr>
            </w:pPr>
            <w:r w:rsidRPr="001B39BA">
              <w:rPr>
                <w:rFonts w:ascii="Arial" w:eastAsia="Times New Roman" w:hAnsi="Arial" w:cs="Arial"/>
                <w:sz w:val="20"/>
                <w:szCs w:val="20"/>
                <w:lang w:eastAsia="sk-SK"/>
              </w:rPr>
              <w:t> </w:t>
            </w:r>
          </w:p>
        </w:tc>
      </w:tr>
    </w:tbl>
    <w:p w:rsidR="001B39BA" w:rsidRPr="001B39BA" w:rsidRDefault="001B39BA" w:rsidP="00A01CDB">
      <w:pPr>
        <w:rPr>
          <w:b/>
        </w:rPr>
      </w:pPr>
    </w:p>
    <w:p w:rsidR="001B39BA" w:rsidRDefault="001B39BA" w:rsidP="00A01CDB"/>
    <w:p w:rsidR="00D86224" w:rsidRDefault="00D86224" w:rsidP="00A01CDB"/>
    <w:p w:rsidR="00D86224" w:rsidRDefault="00D86224" w:rsidP="00A01CDB"/>
    <w:p w:rsidR="00D86224" w:rsidRDefault="00D86224" w:rsidP="00A01CDB"/>
    <w:p w:rsidR="00D6237E" w:rsidRDefault="00D6237E" w:rsidP="00A01CDB">
      <w:pPr>
        <w:rPr>
          <w:b/>
        </w:rPr>
      </w:pPr>
      <w:r w:rsidRPr="00FA795D">
        <w:rPr>
          <w:b/>
        </w:rPr>
        <w:lastRenderedPageBreak/>
        <w:t>Príloha B: Rozvaha</w:t>
      </w:r>
    </w:p>
    <w:tbl>
      <w:tblPr>
        <w:tblW w:w="9440" w:type="dxa"/>
        <w:tblInd w:w="53" w:type="dxa"/>
        <w:tblCellMar>
          <w:left w:w="70" w:type="dxa"/>
          <w:right w:w="70" w:type="dxa"/>
        </w:tblCellMar>
        <w:tblLook w:val="04A0"/>
      </w:tblPr>
      <w:tblGrid>
        <w:gridCol w:w="3871"/>
        <w:gridCol w:w="2118"/>
        <w:gridCol w:w="2118"/>
        <w:gridCol w:w="1333"/>
      </w:tblGrid>
      <w:tr w:rsidR="00FA795D" w:rsidRPr="00FA795D" w:rsidTr="00FA795D">
        <w:trPr>
          <w:trHeight w:val="240"/>
        </w:trPr>
        <w:tc>
          <w:tcPr>
            <w:tcW w:w="8107" w:type="dxa"/>
            <w:gridSpan w:val="3"/>
            <w:tcBorders>
              <w:top w:val="nil"/>
              <w:left w:val="nil"/>
              <w:bottom w:val="single" w:sz="8" w:space="0" w:color="auto"/>
              <w:right w:val="nil"/>
            </w:tcBorders>
            <w:shd w:val="clear" w:color="auto" w:fill="auto"/>
            <w:noWrap/>
            <w:vAlign w:val="center"/>
            <w:hideMark/>
          </w:tcPr>
          <w:p w:rsidR="00FA795D" w:rsidRPr="00FA795D" w:rsidRDefault="00FA795D" w:rsidP="00FA795D">
            <w:pPr>
              <w:spacing w:line="240" w:lineRule="auto"/>
              <w:jc w:val="center"/>
              <w:rPr>
                <w:rFonts w:ascii="Arial" w:eastAsia="Times New Roman" w:hAnsi="Arial" w:cs="Arial"/>
                <w:b/>
                <w:bCs/>
                <w:sz w:val="16"/>
                <w:szCs w:val="16"/>
                <w:lang w:eastAsia="sk-SK"/>
              </w:rPr>
            </w:pPr>
            <w:r w:rsidRPr="00FA795D">
              <w:rPr>
                <w:rFonts w:ascii="Arial" w:eastAsia="Times New Roman" w:hAnsi="Arial" w:cs="Arial"/>
                <w:b/>
                <w:bCs/>
                <w:sz w:val="16"/>
                <w:szCs w:val="16"/>
                <w:lang w:eastAsia="sk-SK"/>
              </w:rPr>
              <w:t>Súvaha (v  EUR)</w:t>
            </w:r>
          </w:p>
        </w:tc>
        <w:tc>
          <w:tcPr>
            <w:tcW w:w="1333" w:type="dxa"/>
            <w:tcBorders>
              <w:top w:val="nil"/>
              <w:left w:val="nil"/>
              <w:bottom w:val="nil"/>
              <w:right w:val="nil"/>
            </w:tcBorders>
            <w:shd w:val="clear" w:color="auto" w:fill="auto"/>
            <w:noWrap/>
            <w:vAlign w:val="bottom"/>
            <w:hideMark/>
          </w:tcPr>
          <w:p w:rsidR="00FA795D" w:rsidRPr="00FA795D" w:rsidRDefault="00FA795D" w:rsidP="00FA795D">
            <w:pPr>
              <w:spacing w:line="240" w:lineRule="auto"/>
              <w:jc w:val="left"/>
              <w:rPr>
                <w:rFonts w:ascii="Arial" w:eastAsia="Times New Roman" w:hAnsi="Arial" w:cs="Arial"/>
                <w:sz w:val="16"/>
                <w:szCs w:val="16"/>
                <w:lang w:eastAsia="sk-SK"/>
              </w:rPr>
            </w:pPr>
          </w:p>
        </w:tc>
      </w:tr>
      <w:tr w:rsidR="00FA795D" w:rsidRPr="00FA795D" w:rsidTr="00FA795D">
        <w:trPr>
          <w:trHeight w:val="315"/>
        </w:trPr>
        <w:tc>
          <w:tcPr>
            <w:tcW w:w="3871" w:type="dxa"/>
            <w:tcBorders>
              <w:top w:val="single" w:sz="4" w:space="0" w:color="auto"/>
              <w:left w:val="single" w:sz="4" w:space="0" w:color="auto"/>
              <w:bottom w:val="single" w:sz="4" w:space="0" w:color="auto"/>
              <w:right w:val="nil"/>
            </w:tcBorders>
            <w:shd w:val="clear" w:color="auto" w:fill="auto"/>
            <w:noWrap/>
            <w:vAlign w:val="center"/>
            <w:hideMark/>
          </w:tcPr>
          <w:p w:rsidR="00FA795D" w:rsidRPr="00FA795D" w:rsidRDefault="00FA795D" w:rsidP="00FA795D">
            <w:pPr>
              <w:spacing w:line="240" w:lineRule="auto"/>
              <w:jc w:val="left"/>
              <w:rPr>
                <w:rFonts w:ascii="Arial" w:eastAsia="Times New Roman" w:hAnsi="Arial" w:cs="Arial"/>
                <w:b/>
                <w:bCs/>
                <w:sz w:val="16"/>
                <w:szCs w:val="16"/>
                <w:lang w:eastAsia="sk-SK"/>
              </w:rPr>
            </w:pPr>
            <w:r w:rsidRPr="00FA795D">
              <w:rPr>
                <w:rFonts w:ascii="Arial" w:eastAsia="Times New Roman" w:hAnsi="Arial" w:cs="Arial"/>
                <w:b/>
                <w:bCs/>
                <w:sz w:val="16"/>
                <w:szCs w:val="16"/>
                <w:lang w:eastAsia="sk-SK"/>
              </w:rPr>
              <w:t>Za obdobie od do:</w:t>
            </w:r>
          </w:p>
        </w:tc>
        <w:tc>
          <w:tcPr>
            <w:tcW w:w="4236" w:type="dxa"/>
            <w:gridSpan w:val="2"/>
            <w:tcBorders>
              <w:top w:val="single" w:sz="4" w:space="0" w:color="auto"/>
              <w:left w:val="single" w:sz="4" w:space="0" w:color="auto"/>
              <w:bottom w:val="single" w:sz="4" w:space="0" w:color="auto"/>
              <w:right w:val="nil"/>
            </w:tcBorders>
            <w:shd w:val="clear" w:color="auto" w:fill="auto"/>
            <w:noWrap/>
            <w:vAlign w:val="center"/>
            <w:hideMark/>
          </w:tcPr>
          <w:p w:rsidR="00FA795D" w:rsidRPr="00FA795D" w:rsidRDefault="00FA795D" w:rsidP="00FA795D">
            <w:pPr>
              <w:spacing w:line="240" w:lineRule="auto"/>
              <w:jc w:val="left"/>
              <w:rPr>
                <w:rFonts w:ascii="Arial" w:eastAsia="Times New Roman" w:hAnsi="Arial" w:cs="Arial"/>
                <w:b/>
                <w:bCs/>
                <w:szCs w:val="24"/>
                <w:lang w:eastAsia="sk-SK"/>
              </w:rPr>
            </w:pPr>
            <w:r w:rsidRPr="00FA795D">
              <w:rPr>
                <w:rFonts w:ascii="Arial" w:eastAsia="Times New Roman" w:hAnsi="Arial" w:cs="Arial"/>
                <w:b/>
                <w:bCs/>
                <w:szCs w:val="24"/>
                <w:lang w:eastAsia="sk-SK"/>
              </w:rPr>
              <w:t>1.1.2014 - 31.12.2014</w:t>
            </w:r>
          </w:p>
        </w:tc>
        <w:tc>
          <w:tcPr>
            <w:tcW w:w="1333" w:type="dxa"/>
            <w:tcBorders>
              <w:top w:val="single" w:sz="8" w:space="0" w:color="auto"/>
              <w:left w:val="nil"/>
              <w:bottom w:val="single" w:sz="4" w:space="0" w:color="auto"/>
              <w:right w:val="single" w:sz="4" w:space="0" w:color="auto"/>
            </w:tcBorders>
            <w:shd w:val="clear" w:color="auto" w:fill="auto"/>
            <w:noWrap/>
            <w:vAlign w:val="bottom"/>
            <w:hideMark/>
          </w:tcPr>
          <w:p w:rsidR="00FA795D" w:rsidRPr="00FA795D" w:rsidRDefault="00FA795D" w:rsidP="00FA795D">
            <w:pPr>
              <w:spacing w:line="240" w:lineRule="auto"/>
              <w:jc w:val="left"/>
              <w:rPr>
                <w:rFonts w:ascii="Arial" w:eastAsia="Times New Roman" w:hAnsi="Arial" w:cs="Arial"/>
                <w:sz w:val="16"/>
                <w:szCs w:val="16"/>
                <w:lang w:eastAsia="sk-SK"/>
              </w:rPr>
            </w:pPr>
            <w:r w:rsidRPr="00FA795D">
              <w:rPr>
                <w:rFonts w:ascii="Arial" w:eastAsia="Times New Roman" w:hAnsi="Arial" w:cs="Arial"/>
                <w:sz w:val="16"/>
                <w:szCs w:val="16"/>
                <w:lang w:eastAsia="sk-SK"/>
              </w:rPr>
              <w:t> </w:t>
            </w:r>
          </w:p>
        </w:tc>
      </w:tr>
      <w:tr w:rsidR="00FA795D" w:rsidRPr="00FA795D" w:rsidTr="00FA795D">
        <w:trPr>
          <w:trHeight w:val="315"/>
        </w:trPr>
        <w:tc>
          <w:tcPr>
            <w:tcW w:w="3871" w:type="dxa"/>
            <w:tcBorders>
              <w:top w:val="nil"/>
              <w:left w:val="single" w:sz="4" w:space="0" w:color="auto"/>
              <w:bottom w:val="single" w:sz="4" w:space="0" w:color="auto"/>
              <w:right w:val="nil"/>
            </w:tcBorders>
            <w:shd w:val="clear" w:color="auto" w:fill="auto"/>
            <w:noWrap/>
            <w:vAlign w:val="center"/>
            <w:hideMark/>
          </w:tcPr>
          <w:p w:rsidR="00FA795D" w:rsidRPr="00FA795D" w:rsidRDefault="00FA795D" w:rsidP="00FA795D">
            <w:pPr>
              <w:spacing w:line="240" w:lineRule="auto"/>
              <w:jc w:val="left"/>
              <w:rPr>
                <w:rFonts w:ascii="Arial" w:eastAsia="Times New Roman" w:hAnsi="Arial" w:cs="Arial"/>
                <w:b/>
                <w:bCs/>
                <w:sz w:val="16"/>
                <w:szCs w:val="16"/>
                <w:lang w:eastAsia="sk-SK"/>
              </w:rPr>
            </w:pPr>
            <w:r w:rsidRPr="00FA795D">
              <w:rPr>
                <w:rFonts w:ascii="Arial" w:eastAsia="Times New Roman" w:hAnsi="Arial" w:cs="Arial"/>
                <w:b/>
                <w:bCs/>
                <w:sz w:val="16"/>
                <w:szCs w:val="16"/>
                <w:lang w:eastAsia="sk-SK"/>
              </w:rPr>
              <w:t>Bezprostredne predchádzajúce obdobie od do:</w:t>
            </w:r>
          </w:p>
        </w:tc>
        <w:tc>
          <w:tcPr>
            <w:tcW w:w="4236" w:type="dxa"/>
            <w:gridSpan w:val="2"/>
            <w:tcBorders>
              <w:top w:val="single" w:sz="4" w:space="0" w:color="auto"/>
              <w:left w:val="single" w:sz="4" w:space="0" w:color="auto"/>
              <w:bottom w:val="single" w:sz="4" w:space="0" w:color="auto"/>
              <w:right w:val="nil"/>
            </w:tcBorders>
            <w:shd w:val="clear" w:color="auto" w:fill="auto"/>
            <w:noWrap/>
            <w:vAlign w:val="center"/>
            <w:hideMark/>
          </w:tcPr>
          <w:p w:rsidR="00FA795D" w:rsidRPr="00FA795D" w:rsidRDefault="00FA795D" w:rsidP="00FA795D">
            <w:pPr>
              <w:spacing w:line="240" w:lineRule="auto"/>
              <w:jc w:val="left"/>
              <w:rPr>
                <w:rFonts w:ascii="Arial" w:eastAsia="Times New Roman" w:hAnsi="Arial" w:cs="Arial"/>
                <w:b/>
                <w:bCs/>
                <w:szCs w:val="24"/>
                <w:lang w:eastAsia="sk-SK"/>
              </w:rPr>
            </w:pPr>
            <w:r w:rsidRPr="00FA795D">
              <w:rPr>
                <w:rFonts w:ascii="Arial" w:eastAsia="Times New Roman" w:hAnsi="Arial" w:cs="Arial"/>
                <w:b/>
                <w:bCs/>
                <w:szCs w:val="24"/>
                <w:lang w:eastAsia="sk-SK"/>
              </w:rPr>
              <w:t>1.1.2013 - 31.12.2013</w:t>
            </w:r>
          </w:p>
        </w:tc>
        <w:tc>
          <w:tcPr>
            <w:tcW w:w="1333" w:type="dxa"/>
            <w:tcBorders>
              <w:top w:val="nil"/>
              <w:left w:val="nil"/>
              <w:bottom w:val="single" w:sz="4" w:space="0" w:color="auto"/>
              <w:right w:val="single" w:sz="4" w:space="0" w:color="auto"/>
            </w:tcBorders>
            <w:shd w:val="clear" w:color="auto" w:fill="auto"/>
            <w:noWrap/>
            <w:vAlign w:val="bottom"/>
            <w:hideMark/>
          </w:tcPr>
          <w:p w:rsidR="00FA795D" w:rsidRPr="00FA795D" w:rsidRDefault="00FA795D" w:rsidP="00FA795D">
            <w:pPr>
              <w:spacing w:line="240" w:lineRule="auto"/>
              <w:jc w:val="left"/>
              <w:rPr>
                <w:rFonts w:ascii="Arial" w:eastAsia="Times New Roman" w:hAnsi="Arial" w:cs="Arial"/>
                <w:sz w:val="14"/>
                <w:szCs w:val="14"/>
                <w:lang w:eastAsia="sk-SK"/>
              </w:rPr>
            </w:pPr>
            <w:r w:rsidRPr="00FA795D">
              <w:rPr>
                <w:rFonts w:ascii="Arial" w:eastAsia="Times New Roman" w:hAnsi="Arial" w:cs="Arial"/>
                <w:sz w:val="14"/>
                <w:szCs w:val="14"/>
                <w:lang w:eastAsia="sk-SK"/>
              </w:rPr>
              <w:t> </w:t>
            </w:r>
          </w:p>
        </w:tc>
      </w:tr>
      <w:tr w:rsidR="00FA795D" w:rsidRPr="00FA795D" w:rsidTr="00FA795D">
        <w:trPr>
          <w:trHeight w:val="225"/>
        </w:trPr>
        <w:tc>
          <w:tcPr>
            <w:tcW w:w="3871" w:type="dxa"/>
            <w:tcBorders>
              <w:top w:val="nil"/>
              <w:left w:val="single" w:sz="4" w:space="0" w:color="auto"/>
              <w:bottom w:val="single" w:sz="4" w:space="0" w:color="auto"/>
              <w:right w:val="nil"/>
            </w:tcBorders>
            <w:shd w:val="clear" w:color="auto" w:fill="auto"/>
            <w:noWrap/>
            <w:vAlign w:val="center"/>
            <w:hideMark/>
          </w:tcPr>
          <w:p w:rsidR="00FA795D" w:rsidRPr="00FA795D" w:rsidRDefault="00FA795D" w:rsidP="00FA795D">
            <w:pPr>
              <w:spacing w:line="240" w:lineRule="auto"/>
              <w:jc w:val="left"/>
              <w:rPr>
                <w:rFonts w:ascii="Arial" w:eastAsia="Times New Roman" w:hAnsi="Arial" w:cs="Arial"/>
                <w:b/>
                <w:bCs/>
                <w:sz w:val="16"/>
                <w:szCs w:val="16"/>
                <w:lang w:eastAsia="sk-SK"/>
              </w:rPr>
            </w:pPr>
            <w:r w:rsidRPr="00FA795D">
              <w:rPr>
                <w:rFonts w:ascii="Arial" w:eastAsia="Times New Roman" w:hAnsi="Arial" w:cs="Arial"/>
                <w:b/>
                <w:bCs/>
                <w:sz w:val="16"/>
                <w:szCs w:val="16"/>
                <w:lang w:eastAsia="sk-SK"/>
              </w:rPr>
              <w:t>Názov účtovnej jednotky:</w:t>
            </w:r>
          </w:p>
        </w:tc>
        <w:tc>
          <w:tcPr>
            <w:tcW w:w="4236" w:type="dxa"/>
            <w:gridSpan w:val="2"/>
            <w:tcBorders>
              <w:top w:val="single" w:sz="4" w:space="0" w:color="auto"/>
              <w:left w:val="single" w:sz="4" w:space="0" w:color="auto"/>
              <w:bottom w:val="single" w:sz="4" w:space="0" w:color="auto"/>
              <w:right w:val="nil"/>
            </w:tcBorders>
            <w:shd w:val="clear" w:color="auto" w:fill="auto"/>
            <w:noWrap/>
            <w:vAlign w:val="center"/>
            <w:hideMark/>
          </w:tcPr>
          <w:p w:rsidR="00FA795D" w:rsidRPr="00FA795D" w:rsidRDefault="00FA795D" w:rsidP="00FA795D">
            <w:pPr>
              <w:spacing w:line="240" w:lineRule="auto"/>
              <w:jc w:val="left"/>
              <w:rPr>
                <w:rFonts w:ascii="Arial" w:eastAsia="Times New Roman" w:hAnsi="Arial" w:cs="Arial"/>
                <w:b/>
                <w:bCs/>
                <w:sz w:val="16"/>
                <w:szCs w:val="16"/>
                <w:lang w:eastAsia="sk-SK"/>
              </w:rPr>
            </w:pPr>
            <w:r w:rsidRPr="00FA795D">
              <w:rPr>
                <w:rFonts w:ascii="Arial" w:eastAsia="Times New Roman" w:hAnsi="Arial" w:cs="Arial"/>
                <w:b/>
                <w:bCs/>
                <w:sz w:val="16"/>
                <w:szCs w:val="16"/>
                <w:lang w:eastAsia="sk-SK"/>
              </w:rPr>
              <w:t>Hornonitrianske bane Prievidza, a.s. v skratke HBP, a.s.</w:t>
            </w:r>
          </w:p>
        </w:tc>
        <w:tc>
          <w:tcPr>
            <w:tcW w:w="1333" w:type="dxa"/>
            <w:tcBorders>
              <w:top w:val="nil"/>
              <w:left w:val="nil"/>
              <w:bottom w:val="single" w:sz="4" w:space="0" w:color="auto"/>
              <w:right w:val="single" w:sz="4" w:space="0" w:color="auto"/>
            </w:tcBorders>
            <w:shd w:val="clear" w:color="auto" w:fill="auto"/>
            <w:noWrap/>
            <w:vAlign w:val="bottom"/>
            <w:hideMark/>
          </w:tcPr>
          <w:p w:rsidR="00FA795D" w:rsidRPr="00FA795D" w:rsidRDefault="00FA795D" w:rsidP="00FA795D">
            <w:pPr>
              <w:spacing w:line="240" w:lineRule="auto"/>
              <w:jc w:val="left"/>
              <w:rPr>
                <w:rFonts w:ascii="Arial" w:eastAsia="Times New Roman" w:hAnsi="Arial" w:cs="Arial"/>
                <w:sz w:val="14"/>
                <w:szCs w:val="14"/>
                <w:lang w:eastAsia="sk-SK"/>
              </w:rPr>
            </w:pPr>
            <w:r w:rsidRPr="00FA795D">
              <w:rPr>
                <w:rFonts w:ascii="Arial" w:eastAsia="Times New Roman" w:hAnsi="Arial" w:cs="Arial"/>
                <w:sz w:val="14"/>
                <w:szCs w:val="14"/>
                <w:lang w:eastAsia="sk-SK"/>
              </w:rPr>
              <w:t> </w:t>
            </w:r>
          </w:p>
        </w:tc>
      </w:tr>
      <w:tr w:rsidR="00FA795D" w:rsidRPr="00FA795D" w:rsidTr="00FA795D">
        <w:trPr>
          <w:trHeight w:val="315"/>
        </w:trPr>
        <w:tc>
          <w:tcPr>
            <w:tcW w:w="3871" w:type="dxa"/>
            <w:tcBorders>
              <w:top w:val="nil"/>
              <w:left w:val="single" w:sz="4" w:space="0" w:color="auto"/>
              <w:bottom w:val="single" w:sz="4" w:space="0" w:color="auto"/>
              <w:right w:val="nil"/>
            </w:tcBorders>
            <w:shd w:val="clear" w:color="auto" w:fill="auto"/>
            <w:noWrap/>
            <w:vAlign w:val="center"/>
            <w:hideMark/>
          </w:tcPr>
          <w:p w:rsidR="00FA795D" w:rsidRPr="00FA795D" w:rsidRDefault="00FA795D" w:rsidP="00FA795D">
            <w:pPr>
              <w:spacing w:line="240" w:lineRule="auto"/>
              <w:jc w:val="left"/>
              <w:rPr>
                <w:rFonts w:ascii="Arial" w:eastAsia="Times New Roman" w:hAnsi="Arial" w:cs="Arial"/>
                <w:b/>
                <w:bCs/>
                <w:sz w:val="16"/>
                <w:szCs w:val="16"/>
                <w:lang w:eastAsia="sk-SK"/>
              </w:rPr>
            </w:pPr>
            <w:r w:rsidRPr="00FA795D">
              <w:rPr>
                <w:rFonts w:ascii="Arial" w:eastAsia="Times New Roman" w:hAnsi="Arial" w:cs="Arial"/>
                <w:b/>
                <w:bCs/>
                <w:sz w:val="16"/>
                <w:szCs w:val="16"/>
                <w:lang w:eastAsia="sk-SK"/>
              </w:rPr>
              <w:t>IČO:</w:t>
            </w:r>
          </w:p>
        </w:tc>
        <w:tc>
          <w:tcPr>
            <w:tcW w:w="4236" w:type="dxa"/>
            <w:gridSpan w:val="2"/>
            <w:tcBorders>
              <w:top w:val="single" w:sz="4" w:space="0" w:color="auto"/>
              <w:left w:val="single" w:sz="4" w:space="0" w:color="auto"/>
              <w:bottom w:val="single" w:sz="4" w:space="0" w:color="auto"/>
              <w:right w:val="nil"/>
            </w:tcBorders>
            <w:shd w:val="clear" w:color="auto" w:fill="auto"/>
            <w:noWrap/>
            <w:vAlign w:val="center"/>
            <w:hideMark/>
          </w:tcPr>
          <w:p w:rsidR="00FA795D" w:rsidRPr="00FA795D" w:rsidRDefault="00FA795D" w:rsidP="00FA795D">
            <w:pPr>
              <w:spacing w:line="240" w:lineRule="auto"/>
              <w:jc w:val="left"/>
              <w:rPr>
                <w:rFonts w:ascii="Arial" w:eastAsia="Times New Roman" w:hAnsi="Arial" w:cs="Arial"/>
                <w:b/>
                <w:bCs/>
                <w:szCs w:val="24"/>
                <w:lang w:eastAsia="sk-SK"/>
              </w:rPr>
            </w:pPr>
            <w:r w:rsidRPr="00FA795D">
              <w:rPr>
                <w:rFonts w:ascii="Arial" w:eastAsia="Times New Roman" w:hAnsi="Arial" w:cs="Arial"/>
                <w:b/>
                <w:bCs/>
                <w:szCs w:val="24"/>
                <w:lang w:eastAsia="sk-SK"/>
              </w:rPr>
              <w:t>36 005 622</w:t>
            </w:r>
          </w:p>
        </w:tc>
        <w:tc>
          <w:tcPr>
            <w:tcW w:w="1333" w:type="dxa"/>
            <w:tcBorders>
              <w:top w:val="nil"/>
              <w:left w:val="nil"/>
              <w:bottom w:val="single" w:sz="4" w:space="0" w:color="auto"/>
              <w:right w:val="single" w:sz="4" w:space="0" w:color="auto"/>
            </w:tcBorders>
            <w:shd w:val="clear" w:color="auto" w:fill="auto"/>
            <w:noWrap/>
            <w:vAlign w:val="bottom"/>
            <w:hideMark/>
          </w:tcPr>
          <w:p w:rsidR="00FA795D" w:rsidRPr="00FA795D" w:rsidRDefault="00FA795D" w:rsidP="00FA795D">
            <w:pPr>
              <w:spacing w:line="240" w:lineRule="auto"/>
              <w:jc w:val="left"/>
              <w:rPr>
                <w:rFonts w:ascii="Arial" w:eastAsia="Times New Roman" w:hAnsi="Arial" w:cs="Arial"/>
                <w:sz w:val="14"/>
                <w:szCs w:val="14"/>
                <w:lang w:eastAsia="sk-SK"/>
              </w:rPr>
            </w:pPr>
            <w:r w:rsidRPr="00FA795D">
              <w:rPr>
                <w:rFonts w:ascii="Arial" w:eastAsia="Times New Roman" w:hAnsi="Arial" w:cs="Arial"/>
                <w:sz w:val="14"/>
                <w:szCs w:val="14"/>
                <w:lang w:eastAsia="sk-SK"/>
              </w:rPr>
              <w:t> </w:t>
            </w:r>
          </w:p>
        </w:tc>
      </w:tr>
      <w:tr w:rsidR="00FA795D" w:rsidRPr="00FA795D" w:rsidTr="00FA795D">
        <w:trPr>
          <w:trHeight w:val="225"/>
        </w:trPr>
        <w:tc>
          <w:tcPr>
            <w:tcW w:w="3871" w:type="dxa"/>
            <w:tcBorders>
              <w:top w:val="nil"/>
              <w:left w:val="nil"/>
              <w:bottom w:val="nil"/>
              <w:right w:val="nil"/>
            </w:tcBorders>
            <w:shd w:val="clear" w:color="auto" w:fill="auto"/>
            <w:noWrap/>
            <w:vAlign w:val="center"/>
            <w:hideMark/>
          </w:tcPr>
          <w:p w:rsidR="00FA795D" w:rsidRPr="00FA795D" w:rsidRDefault="00FA795D" w:rsidP="00FA795D">
            <w:pPr>
              <w:spacing w:line="240" w:lineRule="auto"/>
              <w:jc w:val="left"/>
              <w:rPr>
                <w:rFonts w:ascii="Arial" w:eastAsia="Times New Roman" w:hAnsi="Arial" w:cs="Arial"/>
                <w:sz w:val="14"/>
                <w:szCs w:val="14"/>
                <w:lang w:eastAsia="sk-SK"/>
              </w:rPr>
            </w:pPr>
          </w:p>
        </w:tc>
        <w:tc>
          <w:tcPr>
            <w:tcW w:w="2118" w:type="dxa"/>
            <w:tcBorders>
              <w:top w:val="nil"/>
              <w:left w:val="nil"/>
              <w:bottom w:val="nil"/>
              <w:right w:val="nil"/>
            </w:tcBorders>
            <w:shd w:val="clear" w:color="auto" w:fill="auto"/>
            <w:noWrap/>
            <w:vAlign w:val="center"/>
            <w:hideMark/>
          </w:tcPr>
          <w:p w:rsidR="00FA795D" w:rsidRPr="00FA795D" w:rsidRDefault="00FA795D" w:rsidP="00FA795D">
            <w:pPr>
              <w:spacing w:line="240" w:lineRule="auto"/>
              <w:jc w:val="left"/>
              <w:rPr>
                <w:rFonts w:ascii="Arial" w:eastAsia="Times New Roman" w:hAnsi="Arial" w:cs="Arial"/>
                <w:sz w:val="14"/>
                <w:szCs w:val="14"/>
                <w:lang w:eastAsia="sk-SK"/>
              </w:rPr>
            </w:pPr>
          </w:p>
        </w:tc>
        <w:tc>
          <w:tcPr>
            <w:tcW w:w="2118" w:type="dxa"/>
            <w:tcBorders>
              <w:top w:val="nil"/>
              <w:left w:val="nil"/>
              <w:bottom w:val="nil"/>
              <w:right w:val="nil"/>
            </w:tcBorders>
            <w:shd w:val="clear" w:color="auto" w:fill="auto"/>
            <w:noWrap/>
            <w:vAlign w:val="center"/>
            <w:hideMark/>
          </w:tcPr>
          <w:p w:rsidR="00FA795D" w:rsidRPr="00FA795D" w:rsidRDefault="00FA795D" w:rsidP="00FA795D">
            <w:pPr>
              <w:spacing w:line="240" w:lineRule="auto"/>
              <w:jc w:val="left"/>
              <w:rPr>
                <w:rFonts w:ascii="Arial" w:eastAsia="Times New Roman" w:hAnsi="Arial" w:cs="Arial"/>
                <w:sz w:val="14"/>
                <w:szCs w:val="14"/>
                <w:lang w:eastAsia="sk-SK"/>
              </w:rPr>
            </w:pPr>
          </w:p>
        </w:tc>
        <w:tc>
          <w:tcPr>
            <w:tcW w:w="1333" w:type="dxa"/>
            <w:tcBorders>
              <w:top w:val="nil"/>
              <w:left w:val="nil"/>
              <w:bottom w:val="nil"/>
              <w:right w:val="nil"/>
            </w:tcBorders>
            <w:shd w:val="clear" w:color="auto" w:fill="auto"/>
            <w:noWrap/>
            <w:vAlign w:val="bottom"/>
            <w:hideMark/>
          </w:tcPr>
          <w:p w:rsidR="00FA795D" w:rsidRPr="00FA795D" w:rsidRDefault="00FA795D" w:rsidP="00FA795D">
            <w:pPr>
              <w:spacing w:line="240" w:lineRule="auto"/>
              <w:jc w:val="left"/>
              <w:rPr>
                <w:rFonts w:ascii="Arial" w:eastAsia="Times New Roman" w:hAnsi="Arial" w:cs="Arial"/>
                <w:sz w:val="14"/>
                <w:szCs w:val="14"/>
                <w:lang w:eastAsia="sk-SK"/>
              </w:rPr>
            </w:pPr>
          </w:p>
        </w:tc>
      </w:tr>
      <w:tr w:rsidR="00FA795D" w:rsidRPr="00FA795D" w:rsidTr="00FA795D">
        <w:trPr>
          <w:trHeight w:val="195"/>
        </w:trPr>
        <w:tc>
          <w:tcPr>
            <w:tcW w:w="3871" w:type="dxa"/>
            <w:vMerge w:val="restart"/>
            <w:tcBorders>
              <w:top w:val="single" w:sz="4" w:space="0" w:color="auto"/>
              <w:left w:val="single" w:sz="4" w:space="0" w:color="auto"/>
              <w:bottom w:val="single" w:sz="4" w:space="0" w:color="000000"/>
              <w:right w:val="nil"/>
            </w:tcBorders>
            <w:shd w:val="clear" w:color="auto" w:fill="auto"/>
            <w:vAlign w:val="center"/>
            <w:hideMark/>
          </w:tcPr>
          <w:p w:rsidR="00FA795D" w:rsidRPr="00FA795D" w:rsidRDefault="00FA795D" w:rsidP="00FA795D">
            <w:pPr>
              <w:spacing w:line="240" w:lineRule="auto"/>
              <w:jc w:val="center"/>
              <w:rPr>
                <w:rFonts w:ascii="Arial" w:eastAsia="Times New Roman" w:hAnsi="Arial" w:cs="Arial"/>
                <w:sz w:val="14"/>
                <w:szCs w:val="14"/>
                <w:lang w:eastAsia="sk-SK"/>
              </w:rPr>
            </w:pPr>
            <w:r w:rsidRPr="00FA795D">
              <w:rPr>
                <w:rFonts w:ascii="Arial" w:eastAsia="Times New Roman" w:hAnsi="Arial" w:cs="Arial"/>
                <w:sz w:val="14"/>
                <w:szCs w:val="14"/>
                <w:lang w:eastAsia="sk-SK"/>
              </w:rPr>
              <w:t>Názov položky</w:t>
            </w:r>
          </w:p>
        </w:tc>
        <w:tc>
          <w:tcPr>
            <w:tcW w:w="21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A795D" w:rsidRPr="00FA795D" w:rsidRDefault="00FA795D" w:rsidP="00FA795D">
            <w:pPr>
              <w:spacing w:line="240" w:lineRule="auto"/>
              <w:jc w:val="center"/>
              <w:rPr>
                <w:rFonts w:ascii="Arial" w:eastAsia="Times New Roman" w:hAnsi="Arial" w:cs="Arial"/>
                <w:b/>
                <w:bCs/>
                <w:sz w:val="14"/>
                <w:szCs w:val="14"/>
                <w:lang w:eastAsia="sk-SK"/>
              </w:rPr>
            </w:pPr>
            <w:r w:rsidRPr="00FA795D">
              <w:rPr>
                <w:rFonts w:ascii="Arial" w:eastAsia="Times New Roman" w:hAnsi="Arial" w:cs="Arial"/>
                <w:b/>
                <w:bCs/>
                <w:sz w:val="14"/>
                <w:szCs w:val="14"/>
                <w:lang w:eastAsia="sk-SK"/>
              </w:rPr>
              <w:t>Vykazované  obdobie</w:t>
            </w:r>
          </w:p>
        </w:tc>
        <w:tc>
          <w:tcPr>
            <w:tcW w:w="21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A795D" w:rsidRPr="00FA795D" w:rsidRDefault="00FA795D" w:rsidP="00FA795D">
            <w:pPr>
              <w:spacing w:line="240" w:lineRule="auto"/>
              <w:jc w:val="center"/>
              <w:rPr>
                <w:rFonts w:ascii="Arial" w:eastAsia="Times New Roman" w:hAnsi="Arial" w:cs="Arial"/>
                <w:b/>
                <w:bCs/>
                <w:sz w:val="14"/>
                <w:szCs w:val="14"/>
                <w:lang w:eastAsia="sk-SK"/>
              </w:rPr>
            </w:pPr>
            <w:r w:rsidRPr="00FA795D">
              <w:rPr>
                <w:rFonts w:ascii="Arial" w:eastAsia="Times New Roman" w:hAnsi="Arial" w:cs="Arial"/>
                <w:b/>
                <w:bCs/>
                <w:sz w:val="14"/>
                <w:szCs w:val="14"/>
                <w:lang w:eastAsia="sk-SK"/>
              </w:rPr>
              <w:t>Predchádzajúce účtovné obdobie</w:t>
            </w:r>
          </w:p>
        </w:tc>
        <w:tc>
          <w:tcPr>
            <w:tcW w:w="13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A795D" w:rsidRPr="00FA795D" w:rsidRDefault="00FA795D" w:rsidP="00FA795D">
            <w:pPr>
              <w:spacing w:line="240" w:lineRule="auto"/>
              <w:jc w:val="center"/>
              <w:rPr>
                <w:rFonts w:ascii="Arial" w:eastAsia="Times New Roman" w:hAnsi="Arial" w:cs="Arial"/>
                <w:b/>
                <w:bCs/>
                <w:sz w:val="14"/>
                <w:szCs w:val="14"/>
                <w:lang w:eastAsia="sk-SK"/>
              </w:rPr>
            </w:pPr>
            <w:r w:rsidRPr="00FA795D">
              <w:rPr>
                <w:rFonts w:ascii="Arial" w:eastAsia="Times New Roman" w:hAnsi="Arial" w:cs="Arial"/>
                <w:b/>
                <w:bCs/>
                <w:sz w:val="14"/>
                <w:szCs w:val="14"/>
                <w:lang w:eastAsia="sk-SK"/>
              </w:rPr>
              <w:t>Predchádzajúce účtovné obdobie 1.1.2012</w:t>
            </w:r>
          </w:p>
        </w:tc>
      </w:tr>
      <w:tr w:rsidR="00FA795D" w:rsidRPr="00FA795D" w:rsidTr="00FA795D">
        <w:trPr>
          <w:trHeight w:val="885"/>
        </w:trPr>
        <w:tc>
          <w:tcPr>
            <w:tcW w:w="3871" w:type="dxa"/>
            <w:vMerge/>
            <w:tcBorders>
              <w:top w:val="single" w:sz="4" w:space="0" w:color="auto"/>
              <w:left w:val="single" w:sz="4" w:space="0" w:color="auto"/>
              <w:bottom w:val="single" w:sz="4" w:space="0" w:color="000000"/>
              <w:right w:val="nil"/>
            </w:tcBorders>
            <w:vAlign w:val="center"/>
            <w:hideMark/>
          </w:tcPr>
          <w:p w:rsidR="00FA795D" w:rsidRPr="00FA795D" w:rsidRDefault="00FA795D" w:rsidP="00FA795D">
            <w:pPr>
              <w:spacing w:line="240" w:lineRule="auto"/>
              <w:jc w:val="left"/>
              <w:rPr>
                <w:rFonts w:ascii="Arial" w:eastAsia="Times New Roman" w:hAnsi="Arial" w:cs="Arial"/>
                <w:sz w:val="14"/>
                <w:szCs w:val="14"/>
                <w:lang w:eastAsia="sk-SK"/>
              </w:rPr>
            </w:pPr>
          </w:p>
        </w:tc>
        <w:tc>
          <w:tcPr>
            <w:tcW w:w="2118" w:type="dxa"/>
            <w:vMerge/>
            <w:tcBorders>
              <w:top w:val="single" w:sz="4" w:space="0" w:color="auto"/>
              <w:left w:val="single" w:sz="4" w:space="0" w:color="auto"/>
              <w:bottom w:val="single" w:sz="4" w:space="0" w:color="000000"/>
              <w:right w:val="single" w:sz="4" w:space="0" w:color="auto"/>
            </w:tcBorders>
            <w:vAlign w:val="center"/>
            <w:hideMark/>
          </w:tcPr>
          <w:p w:rsidR="00FA795D" w:rsidRPr="00FA795D" w:rsidRDefault="00FA795D" w:rsidP="00FA795D">
            <w:pPr>
              <w:spacing w:line="240" w:lineRule="auto"/>
              <w:jc w:val="left"/>
              <w:rPr>
                <w:rFonts w:ascii="Arial" w:eastAsia="Times New Roman" w:hAnsi="Arial" w:cs="Arial"/>
                <w:b/>
                <w:bCs/>
                <w:sz w:val="14"/>
                <w:szCs w:val="14"/>
                <w:lang w:eastAsia="sk-SK"/>
              </w:rPr>
            </w:pPr>
          </w:p>
        </w:tc>
        <w:tc>
          <w:tcPr>
            <w:tcW w:w="2118" w:type="dxa"/>
            <w:vMerge/>
            <w:tcBorders>
              <w:top w:val="single" w:sz="4" w:space="0" w:color="auto"/>
              <w:left w:val="single" w:sz="4" w:space="0" w:color="auto"/>
              <w:bottom w:val="single" w:sz="4" w:space="0" w:color="000000"/>
              <w:right w:val="single" w:sz="4" w:space="0" w:color="auto"/>
            </w:tcBorders>
            <w:vAlign w:val="center"/>
            <w:hideMark/>
          </w:tcPr>
          <w:p w:rsidR="00FA795D" w:rsidRPr="00FA795D" w:rsidRDefault="00FA795D" w:rsidP="00FA795D">
            <w:pPr>
              <w:spacing w:line="240" w:lineRule="auto"/>
              <w:jc w:val="left"/>
              <w:rPr>
                <w:rFonts w:ascii="Arial" w:eastAsia="Times New Roman" w:hAnsi="Arial" w:cs="Arial"/>
                <w:b/>
                <w:bCs/>
                <w:sz w:val="14"/>
                <w:szCs w:val="14"/>
                <w:lang w:eastAsia="sk-SK"/>
              </w:rPr>
            </w:pPr>
          </w:p>
        </w:tc>
        <w:tc>
          <w:tcPr>
            <w:tcW w:w="1333" w:type="dxa"/>
            <w:vMerge/>
            <w:tcBorders>
              <w:top w:val="single" w:sz="4" w:space="0" w:color="auto"/>
              <w:left w:val="single" w:sz="4" w:space="0" w:color="auto"/>
              <w:bottom w:val="single" w:sz="4" w:space="0" w:color="000000"/>
              <w:right w:val="single" w:sz="4" w:space="0" w:color="auto"/>
            </w:tcBorders>
            <w:vAlign w:val="center"/>
            <w:hideMark/>
          </w:tcPr>
          <w:p w:rsidR="00FA795D" w:rsidRPr="00FA795D" w:rsidRDefault="00FA795D" w:rsidP="00FA795D">
            <w:pPr>
              <w:spacing w:line="240" w:lineRule="auto"/>
              <w:jc w:val="left"/>
              <w:rPr>
                <w:rFonts w:ascii="Arial" w:eastAsia="Times New Roman" w:hAnsi="Arial" w:cs="Arial"/>
                <w:b/>
                <w:bCs/>
                <w:sz w:val="14"/>
                <w:szCs w:val="14"/>
                <w:lang w:eastAsia="sk-SK"/>
              </w:rPr>
            </w:pPr>
          </w:p>
        </w:tc>
      </w:tr>
      <w:tr w:rsidR="00FA795D" w:rsidRPr="00FA795D" w:rsidTr="00FA795D">
        <w:trPr>
          <w:trHeight w:val="285"/>
        </w:trPr>
        <w:tc>
          <w:tcPr>
            <w:tcW w:w="3871" w:type="dxa"/>
            <w:tcBorders>
              <w:top w:val="nil"/>
              <w:left w:val="single" w:sz="4" w:space="0" w:color="auto"/>
              <w:bottom w:val="single" w:sz="4" w:space="0" w:color="auto"/>
              <w:right w:val="nil"/>
            </w:tcBorders>
            <w:shd w:val="clear" w:color="auto" w:fill="auto"/>
            <w:noWrap/>
            <w:vAlign w:val="bottom"/>
            <w:hideMark/>
          </w:tcPr>
          <w:p w:rsidR="00FA795D" w:rsidRPr="00FA795D" w:rsidRDefault="00FA795D" w:rsidP="00FA795D">
            <w:pPr>
              <w:spacing w:line="240" w:lineRule="auto"/>
              <w:jc w:val="left"/>
              <w:rPr>
                <w:rFonts w:ascii="Arial" w:eastAsia="Times New Roman" w:hAnsi="Arial" w:cs="Arial"/>
                <w:b/>
                <w:bCs/>
                <w:sz w:val="20"/>
                <w:szCs w:val="20"/>
                <w:lang w:eastAsia="sk-SK"/>
              </w:rPr>
            </w:pPr>
            <w:r w:rsidRPr="00FA795D">
              <w:rPr>
                <w:rFonts w:ascii="Arial" w:eastAsia="Times New Roman" w:hAnsi="Arial" w:cs="Arial"/>
                <w:b/>
                <w:bCs/>
                <w:sz w:val="20"/>
                <w:szCs w:val="20"/>
                <w:lang w:eastAsia="sk-SK"/>
              </w:rPr>
              <w:t xml:space="preserve">MAJETOK </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14"/>
                <w:szCs w:val="14"/>
                <w:lang w:eastAsia="sk-SK"/>
              </w:rPr>
            </w:pPr>
            <w:r w:rsidRPr="00FA795D">
              <w:rPr>
                <w:rFonts w:ascii="Arial" w:eastAsia="Times New Roman" w:hAnsi="Arial" w:cs="Arial"/>
                <w:sz w:val="14"/>
                <w:szCs w:val="14"/>
                <w:lang w:eastAsia="sk-SK"/>
              </w:rPr>
              <w:t> </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14"/>
                <w:szCs w:val="14"/>
                <w:lang w:eastAsia="sk-SK"/>
              </w:rPr>
            </w:pPr>
            <w:r w:rsidRPr="00FA795D">
              <w:rPr>
                <w:rFonts w:ascii="Arial" w:eastAsia="Times New Roman" w:hAnsi="Arial" w:cs="Arial"/>
                <w:sz w:val="14"/>
                <w:szCs w:val="14"/>
                <w:lang w:eastAsia="sk-SK"/>
              </w:rPr>
              <w:t> </w:t>
            </w:r>
          </w:p>
        </w:tc>
        <w:tc>
          <w:tcPr>
            <w:tcW w:w="1333"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14"/>
                <w:szCs w:val="14"/>
                <w:lang w:eastAsia="sk-SK"/>
              </w:rPr>
            </w:pPr>
            <w:r w:rsidRPr="00FA795D">
              <w:rPr>
                <w:rFonts w:ascii="Arial" w:eastAsia="Times New Roman" w:hAnsi="Arial" w:cs="Arial"/>
                <w:sz w:val="14"/>
                <w:szCs w:val="14"/>
                <w:lang w:eastAsia="sk-SK"/>
              </w:rPr>
              <w:t> </w:t>
            </w:r>
          </w:p>
        </w:tc>
      </w:tr>
      <w:tr w:rsidR="00FA795D" w:rsidRPr="00FA795D" w:rsidTr="00FA795D">
        <w:trPr>
          <w:trHeight w:val="285"/>
        </w:trPr>
        <w:tc>
          <w:tcPr>
            <w:tcW w:w="3871" w:type="dxa"/>
            <w:tcBorders>
              <w:top w:val="nil"/>
              <w:left w:val="single" w:sz="4" w:space="0" w:color="auto"/>
              <w:bottom w:val="single" w:sz="4" w:space="0" w:color="auto"/>
              <w:right w:val="nil"/>
            </w:tcBorders>
            <w:shd w:val="clear" w:color="auto" w:fill="auto"/>
            <w:noWrap/>
            <w:vAlign w:val="bottom"/>
            <w:hideMark/>
          </w:tcPr>
          <w:p w:rsidR="00FA795D" w:rsidRPr="00FA795D" w:rsidRDefault="00FA795D" w:rsidP="00FA795D">
            <w:pPr>
              <w:spacing w:line="240" w:lineRule="auto"/>
              <w:jc w:val="left"/>
              <w:rPr>
                <w:rFonts w:ascii="Arial" w:eastAsia="Times New Roman" w:hAnsi="Arial" w:cs="Arial"/>
                <w:b/>
                <w:bCs/>
                <w:sz w:val="20"/>
                <w:szCs w:val="20"/>
                <w:lang w:eastAsia="sk-SK"/>
              </w:rPr>
            </w:pPr>
            <w:r w:rsidRPr="00FA795D">
              <w:rPr>
                <w:rFonts w:ascii="Arial" w:eastAsia="Times New Roman" w:hAnsi="Arial" w:cs="Arial"/>
                <w:b/>
                <w:bCs/>
                <w:sz w:val="20"/>
                <w:szCs w:val="20"/>
                <w:lang w:eastAsia="sk-SK"/>
              </w:rPr>
              <w:t xml:space="preserve">Neobežný majetok </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14"/>
                <w:szCs w:val="14"/>
                <w:lang w:eastAsia="sk-SK"/>
              </w:rPr>
            </w:pPr>
            <w:r w:rsidRPr="00FA795D">
              <w:rPr>
                <w:rFonts w:ascii="Arial" w:eastAsia="Times New Roman" w:hAnsi="Arial" w:cs="Arial"/>
                <w:sz w:val="14"/>
                <w:szCs w:val="14"/>
                <w:lang w:eastAsia="sk-SK"/>
              </w:rPr>
              <w:t> </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14"/>
                <w:szCs w:val="14"/>
                <w:lang w:eastAsia="sk-SK"/>
              </w:rPr>
            </w:pPr>
            <w:r w:rsidRPr="00FA795D">
              <w:rPr>
                <w:rFonts w:ascii="Arial" w:eastAsia="Times New Roman" w:hAnsi="Arial" w:cs="Arial"/>
                <w:sz w:val="14"/>
                <w:szCs w:val="14"/>
                <w:lang w:eastAsia="sk-SK"/>
              </w:rPr>
              <w:t> </w:t>
            </w:r>
          </w:p>
        </w:tc>
        <w:tc>
          <w:tcPr>
            <w:tcW w:w="1333"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14"/>
                <w:szCs w:val="14"/>
                <w:lang w:eastAsia="sk-SK"/>
              </w:rPr>
            </w:pPr>
            <w:r w:rsidRPr="00FA795D">
              <w:rPr>
                <w:rFonts w:ascii="Arial" w:eastAsia="Times New Roman" w:hAnsi="Arial" w:cs="Arial"/>
                <w:sz w:val="14"/>
                <w:szCs w:val="14"/>
                <w:lang w:eastAsia="sk-SK"/>
              </w:rPr>
              <w:t> </w:t>
            </w:r>
          </w:p>
        </w:tc>
      </w:tr>
      <w:tr w:rsidR="00FA795D" w:rsidRPr="00FA795D" w:rsidTr="00FA795D">
        <w:trPr>
          <w:trHeight w:val="300"/>
        </w:trPr>
        <w:tc>
          <w:tcPr>
            <w:tcW w:w="3871" w:type="dxa"/>
            <w:tcBorders>
              <w:top w:val="nil"/>
              <w:left w:val="single" w:sz="4" w:space="0" w:color="auto"/>
              <w:bottom w:val="single" w:sz="4" w:space="0" w:color="auto"/>
              <w:right w:val="nil"/>
            </w:tcBorders>
            <w:shd w:val="clear" w:color="auto" w:fill="auto"/>
            <w:noWrap/>
            <w:vAlign w:val="bottom"/>
            <w:hideMark/>
          </w:tcPr>
          <w:p w:rsidR="00FA795D" w:rsidRPr="00FA795D" w:rsidRDefault="00FA795D" w:rsidP="00FA795D">
            <w:pPr>
              <w:spacing w:line="240" w:lineRule="auto"/>
              <w:jc w:val="left"/>
              <w:rPr>
                <w:rFonts w:ascii="Arial" w:eastAsia="Times New Roman" w:hAnsi="Arial" w:cs="Arial"/>
                <w:sz w:val="20"/>
                <w:szCs w:val="20"/>
                <w:lang w:eastAsia="sk-SK"/>
              </w:rPr>
            </w:pPr>
            <w:r w:rsidRPr="00FA795D">
              <w:rPr>
                <w:rFonts w:ascii="Arial" w:eastAsia="Times New Roman" w:hAnsi="Arial" w:cs="Arial"/>
                <w:sz w:val="20"/>
                <w:szCs w:val="20"/>
                <w:lang w:eastAsia="sk-SK"/>
              </w:rPr>
              <w:t>Pozemky, budovy, zariadenia</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 xml:space="preserve">    64 306 028 </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 xml:space="preserve">    70 172 072 </w:t>
            </w:r>
          </w:p>
        </w:tc>
        <w:tc>
          <w:tcPr>
            <w:tcW w:w="1333"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74 463 991</w:t>
            </w:r>
          </w:p>
        </w:tc>
      </w:tr>
      <w:tr w:rsidR="00FA795D" w:rsidRPr="00FA795D" w:rsidTr="00FA795D">
        <w:trPr>
          <w:trHeight w:val="300"/>
        </w:trPr>
        <w:tc>
          <w:tcPr>
            <w:tcW w:w="3871" w:type="dxa"/>
            <w:tcBorders>
              <w:top w:val="nil"/>
              <w:left w:val="single" w:sz="4" w:space="0" w:color="auto"/>
              <w:bottom w:val="single" w:sz="4" w:space="0" w:color="auto"/>
              <w:right w:val="nil"/>
            </w:tcBorders>
            <w:shd w:val="clear" w:color="auto" w:fill="auto"/>
            <w:noWrap/>
            <w:vAlign w:val="bottom"/>
            <w:hideMark/>
          </w:tcPr>
          <w:p w:rsidR="00FA795D" w:rsidRPr="00FA795D" w:rsidRDefault="00FA795D" w:rsidP="00FA795D">
            <w:pPr>
              <w:spacing w:line="240" w:lineRule="auto"/>
              <w:jc w:val="left"/>
              <w:rPr>
                <w:rFonts w:ascii="Arial" w:eastAsia="Times New Roman" w:hAnsi="Arial" w:cs="Arial"/>
                <w:sz w:val="20"/>
                <w:szCs w:val="20"/>
                <w:lang w:eastAsia="sk-SK"/>
              </w:rPr>
            </w:pPr>
            <w:r w:rsidRPr="00FA795D">
              <w:rPr>
                <w:rFonts w:ascii="Arial" w:eastAsia="Times New Roman" w:hAnsi="Arial" w:cs="Arial"/>
                <w:sz w:val="20"/>
                <w:szCs w:val="20"/>
                <w:lang w:eastAsia="sk-SK"/>
              </w:rPr>
              <w:t>Nehmotný dlhodobý majetok</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 xml:space="preserve">          87 118 </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 xml:space="preserve">        106 237 </w:t>
            </w:r>
          </w:p>
        </w:tc>
        <w:tc>
          <w:tcPr>
            <w:tcW w:w="1333"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313 644</w:t>
            </w:r>
          </w:p>
        </w:tc>
      </w:tr>
      <w:tr w:rsidR="00FA795D" w:rsidRPr="00FA795D" w:rsidTr="00FA795D">
        <w:trPr>
          <w:trHeight w:val="300"/>
        </w:trPr>
        <w:tc>
          <w:tcPr>
            <w:tcW w:w="3871" w:type="dxa"/>
            <w:tcBorders>
              <w:top w:val="nil"/>
              <w:left w:val="single" w:sz="4" w:space="0" w:color="auto"/>
              <w:bottom w:val="single" w:sz="4" w:space="0" w:color="auto"/>
              <w:right w:val="nil"/>
            </w:tcBorders>
            <w:shd w:val="clear" w:color="auto" w:fill="auto"/>
            <w:noWrap/>
            <w:vAlign w:val="bottom"/>
            <w:hideMark/>
          </w:tcPr>
          <w:p w:rsidR="00FA795D" w:rsidRPr="00FA795D" w:rsidRDefault="00FA795D" w:rsidP="00FA795D">
            <w:pPr>
              <w:spacing w:line="240" w:lineRule="auto"/>
              <w:jc w:val="left"/>
              <w:rPr>
                <w:rFonts w:ascii="Arial" w:eastAsia="Times New Roman" w:hAnsi="Arial" w:cs="Arial"/>
                <w:sz w:val="20"/>
                <w:szCs w:val="20"/>
                <w:lang w:eastAsia="sk-SK"/>
              </w:rPr>
            </w:pPr>
            <w:r w:rsidRPr="00FA795D">
              <w:rPr>
                <w:rFonts w:ascii="Arial" w:eastAsia="Times New Roman" w:hAnsi="Arial" w:cs="Arial"/>
                <w:sz w:val="20"/>
                <w:szCs w:val="20"/>
                <w:lang w:eastAsia="sk-SK"/>
              </w:rPr>
              <w:t>Ostatný finančný majetok</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 xml:space="preserve">    10 715 110 </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 xml:space="preserve">     3 544 474 </w:t>
            </w:r>
          </w:p>
        </w:tc>
        <w:tc>
          <w:tcPr>
            <w:tcW w:w="1333"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4 253 778</w:t>
            </w:r>
          </w:p>
        </w:tc>
      </w:tr>
      <w:tr w:rsidR="00FA795D" w:rsidRPr="00FA795D" w:rsidTr="00FA795D">
        <w:trPr>
          <w:trHeight w:val="300"/>
        </w:trPr>
        <w:tc>
          <w:tcPr>
            <w:tcW w:w="3871" w:type="dxa"/>
            <w:tcBorders>
              <w:top w:val="nil"/>
              <w:left w:val="single" w:sz="4" w:space="0" w:color="auto"/>
              <w:bottom w:val="single" w:sz="4" w:space="0" w:color="auto"/>
              <w:right w:val="nil"/>
            </w:tcBorders>
            <w:shd w:val="clear" w:color="auto" w:fill="auto"/>
            <w:noWrap/>
            <w:vAlign w:val="bottom"/>
            <w:hideMark/>
          </w:tcPr>
          <w:p w:rsidR="00FA795D" w:rsidRPr="00FA795D" w:rsidRDefault="00FA795D" w:rsidP="00FA795D">
            <w:pPr>
              <w:spacing w:line="240" w:lineRule="auto"/>
              <w:jc w:val="left"/>
              <w:rPr>
                <w:rFonts w:ascii="Arial" w:eastAsia="Times New Roman" w:hAnsi="Arial" w:cs="Arial"/>
                <w:sz w:val="20"/>
                <w:szCs w:val="20"/>
                <w:lang w:eastAsia="sk-SK"/>
              </w:rPr>
            </w:pPr>
            <w:r w:rsidRPr="00FA795D">
              <w:rPr>
                <w:rFonts w:ascii="Arial" w:eastAsia="Times New Roman" w:hAnsi="Arial" w:cs="Arial"/>
                <w:sz w:val="20"/>
                <w:szCs w:val="20"/>
                <w:lang w:eastAsia="sk-SK"/>
              </w:rPr>
              <w:t>Investície do nehnuteľností</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 xml:space="preserve">     5 492 712 </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 xml:space="preserve">     7 204 032 </w:t>
            </w:r>
          </w:p>
        </w:tc>
        <w:tc>
          <w:tcPr>
            <w:tcW w:w="1333"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7 394 215</w:t>
            </w:r>
          </w:p>
        </w:tc>
      </w:tr>
      <w:tr w:rsidR="00FA795D" w:rsidRPr="00FA795D" w:rsidTr="00FA795D">
        <w:trPr>
          <w:trHeight w:val="300"/>
        </w:trPr>
        <w:tc>
          <w:tcPr>
            <w:tcW w:w="3871" w:type="dxa"/>
            <w:tcBorders>
              <w:top w:val="nil"/>
              <w:left w:val="single" w:sz="4" w:space="0" w:color="auto"/>
              <w:bottom w:val="single" w:sz="4" w:space="0" w:color="auto"/>
              <w:right w:val="nil"/>
            </w:tcBorders>
            <w:shd w:val="clear" w:color="auto" w:fill="auto"/>
            <w:noWrap/>
            <w:vAlign w:val="bottom"/>
            <w:hideMark/>
          </w:tcPr>
          <w:p w:rsidR="00FA795D" w:rsidRPr="00FA795D" w:rsidRDefault="00FA795D" w:rsidP="00FA795D">
            <w:pPr>
              <w:spacing w:line="240" w:lineRule="auto"/>
              <w:jc w:val="left"/>
              <w:rPr>
                <w:rFonts w:ascii="Arial" w:eastAsia="Times New Roman" w:hAnsi="Arial" w:cs="Arial"/>
                <w:sz w:val="20"/>
                <w:szCs w:val="20"/>
                <w:lang w:eastAsia="sk-SK"/>
              </w:rPr>
            </w:pPr>
            <w:r w:rsidRPr="00FA795D">
              <w:rPr>
                <w:rFonts w:ascii="Arial" w:eastAsia="Times New Roman" w:hAnsi="Arial" w:cs="Arial"/>
                <w:sz w:val="20"/>
                <w:szCs w:val="20"/>
                <w:lang w:eastAsia="sk-SK"/>
              </w:rPr>
              <w:t>Investície do dcérskych spoločností</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 xml:space="preserve">     1 022 435 </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 xml:space="preserve">     1 433 611 </w:t>
            </w:r>
          </w:p>
        </w:tc>
        <w:tc>
          <w:tcPr>
            <w:tcW w:w="1333"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1 433 611</w:t>
            </w:r>
          </w:p>
        </w:tc>
      </w:tr>
      <w:tr w:rsidR="00FA795D" w:rsidRPr="00FA795D" w:rsidTr="00FA795D">
        <w:trPr>
          <w:trHeight w:val="300"/>
        </w:trPr>
        <w:tc>
          <w:tcPr>
            <w:tcW w:w="3871" w:type="dxa"/>
            <w:tcBorders>
              <w:top w:val="nil"/>
              <w:left w:val="single" w:sz="4" w:space="0" w:color="auto"/>
              <w:bottom w:val="single" w:sz="4" w:space="0" w:color="auto"/>
              <w:right w:val="nil"/>
            </w:tcBorders>
            <w:shd w:val="clear" w:color="auto" w:fill="auto"/>
            <w:noWrap/>
            <w:vAlign w:val="bottom"/>
            <w:hideMark/>
          </w:tcPr>
          <w:p w:rsidR="00FA795D" w:rsidRPr="00FA795D" w:rsidRDefault="00FA795D" w:rsidP="00FA795D">
            <w:pPr>
              <w:spacing w:line="240" w:lineRule="auto"/>
              <w:jc w:val="left"/>
              <w:rPr>
                <w:rFonts w:ascii="Arial" w:eastAsia="Times New Roman" w:hAnsi="Arial" w:cs="Arial"/>
                <w:sz w:val="20"/>
                <w:szCs w:val="20"/>
                <w:lang w:eastAsia="sk-SK"/>
              </w:rPr>
            </w:pPr>
            <w:r w:rsidRPr="00FA795D">
              <w:rPr>
                <w:rFonts w:ascii="Arial" w:eastAsia="Times New Roman" w:hAnsi="Arial" w:cs="Arial"/>
                <w:sz w:val="20"/>
                <w:szCs w:val="20"/>
                <w:lang w:eastAsia="sk-SK"/>
              </w:rPr>
              <w:t>Investície do pridružených spoločností</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 xml:space="preserve">     6 216 919 </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 xml:space="preserve">          30 197 </w:t>
            </w:r>
          </w:p>
        </w:tc>
        <w:tc>
          <w:tcPr>
            <w:tcW w:w="1333"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30 197</w:t>
            </w:r>
          </w:p>
        </w:tc>
      </w:tr>
      <w:tr w:rsidR="00FA795D" w:rsidRPr="00FA795D" w:rsidTr="00FA795D">
        <w:trPr>
          <w:trHeight w:val="300"/>
        </w:trPr>
        <w:tc>
          <w:tcPr>
            <w:tcW w:w="3871" w:type="dxa"/>
            <w:tcBorders>
              <w:top w:val="nil"/>
              <w:left w:val="single" w:sz="4" w:space="0" w:color="auto"/>
              <w:bottom w:val="single" w:sz="4" w:space="0" w:color="auto"/>
              <w:right w:val="nil"/>
            </w:tcBorders>
            <w:shd w:val="clear" w:color="auto" w:fill="auto"/>
            <w:noWrap/>
            <w:vAlign w:val="bottom"/>
            <w:hideMark/>
          </w:tcPr>
          <w:p w:rsidR="00FA795D" w:rsidRPr="00FA795D" w:rsidRDefault="00FA795D" w:rsidP="00FA795D">
            <w:pPr>
              <w:spacing w:line="240" w:lineRule="auto"/>
              <w:jc w:val="left"/>
              <w:rPr>
                <w:rFonts w:ascii="Arial" w:eastAsia="Times New Roman" w:hAnsi="Arial" w:cs="Arial"/>
                <w:b/>
                <w:bCs/>
                <w:sz w:val="20"/>
                <w:szCs w:val="20"/>
                <w:lang w:eastAsia="sk-SK"/>
              </w:rPr>
            </w:pPr>
            <w:r w:rsidRPr="00FA795D">
              <w:rPr>
                <w:rFonts w:ascii="Arial" w:eastAsia="Times New Roman" w:hAnsi="Arial" w:cs="Arial"/>
                <w:b/>
                <w:bCs/>
                <w:sz w:val="20"/>
                <w:szCs w:val="20"/>
                <w:lang w:eastAsia="sk-SK"/>
              </w:rPr>
              <w:t>Neobežný majetok spolu</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87 840 322</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82 490 623</w:t>
            </w:r>
          </w:p>
        </w:tc>
        <w:tc>
          <w:tcPr>
            <w:tcW w:w="1333"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87 889 436</w:t>
            </w:r>
          </w:p>
        </w:tc>
      </w:tr>
      <w:tr w:rsidR="00FA795D" w:rsidRPr="00FA795D" w:rsidTr="00FA795D">
        <w:trPr>
          <w:trHeight w:val="300"/>
        </w:trPr>
        <w:tc>
          <w:tcPr>
            <w:tcW w:w="3871" w:type="dxa"/>
            <w:tcBorders>
              <w:top w:val="nil"/>
              <w:left w:val="single" w:sz="4" w:space="0" w:color="auto"/>
              <w:bottom w:val="single" w:sz="4" w:space="0" w:color="auto"/>
              <w:right w:val="nil"/>
            </w:tcBorders>
            <w:shd w:val="clear" w:color="auto" w:fill="auto"/>
            <w:noWrap/>
            <w:vAlign w:val="bottom"/>
            <w:hideMark/>
          </w:tcPr>
          <w:p w:rsidR="00FA795D" w:rsidRPr="00FA795D" w:rsidRDefault="00FA795D" w:rsidP="00FA795D">
            <w:pPr>
              <w:spacing w:line="240" w:lineRule="auto"/>
              <w:jc w:val="left"/>
              <w:rPr>
                <w:rFonts w:ascii="Arial" w:eastAsia="Times New Roman" w:hAnsi="Arial" w:cs="Arial"/>
                <w:sz w:val="20"/>
                <w:szCs w:val="20"/>
                <w:lang w:eastAsia="sk-SK"/>
              </w:rPr>
            </w:pPr>
            <w:r w:rsidRPr="00FA795D">
              <w:rPr>
                <w:rFonts w:ascii="Arial" w:eastAsia="Times New Roman" w:hAnsi="Arial" w:cs="Arial"/>
                <w:sz w:val="20"/>
                <w:szCs w:val="20"/>
                <w:lang w:eastAsia="sk-SK"/>
              </w:rPr>
              <w:t> </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 </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 </w:t>
            </w:r>
          </w:p>
        </w:tc>
        <w:tc>
          <w:tcPr>
            <w:tcW w:w="1333"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 </w:t>
            </w:r>
          </w:p>
        </w:tc>
      </w:tr>
      <w:tr w:rsidR="00FA795D" w:rsidRPr="00FA795D" w:rsidTr="00FA795D">
        <w:trPr>
          <w:trHeight w:val="285"/>
        </w:trPr>
        <w:tc>
          <w:tcPr>
            <w:tcW w:w="3871" w:type="dxa"/>
            <w:tcBorders>
              <w:top w:val="nil"/>
              <w:left w:val="single" w:sz="4" w:space="0" w:color="auto"/>
              <w:bottom w:val="single" w:sz="4" w:space="0" w:color="auto"/>
              <w:right w:val="nil"/>
            </w:tcBorders>
            <w:shd w:val="clear" w:color="auto" w:fill="auto"/>
            <w:noWrap/>
            <w:vAlign w:val="bottom"/>
            <w:hideMark/>
          </w:tcPr>
          <w:p w:rsidR="00FA795D" w:rsidRPr="00FA795D" w:rsidRDefault="00FA795D" w:rsidP="00FA795D">
            <w:pPr>
              <w:spacing w:line="240" w:lineRule="auto"/>
              <w:jc w:val="left"/>
              <w:rPr>
                <w:rFonts w:ascii="Arial" w:eastAsia="Times New Roman" w:hAnsi="Arial" w:cs="Arial"/>
                <w:b/>
                <w:bCs/>
                <w:sz w:val="20"/>
                <w:szCs w:val="20"/>
                <w:lang w:eastAsia="sk-SK"/>
              </w:rPr>
            </w:pPr>
            <w:r w:rsidRPr="00FA795D">
              <w:rPr>
                <w:rFonts w:ascii="Arial" w:eastAsia="Times New Roman" w:hAnsi="Arial" w:cs="Arial"/>
                <w:b/>
                <w:bCs/>
                <w:sz w:val="20"/>
                <w:szCs w:val="20"/>
                <w:lang w:eastAsia="sk-SK"/>
              </w:rPr>
              <w:t>Obežný majetok</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 </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 </w:t>
            </w:r>
          </w:p>
        </w:tc>
        <w:tc>
          <w:tcPr>
            <w:tcW w:w="1333"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 </w:t>
            </w:r>
          </w:p>
        </w:tc>
      </w:tr>
      <w:tr w:rsidR="00FA795D" w:rsidRPr="00FA795D" w:rsidTr="00FA795D">
        <w:trPr>
          <w:trHeight w:val="300"/>
        </w:trPr>
        <w:tc>
          <w:tcPr>
            <w:tcW w:w="3871" w:type="dxa"/>
            <w:tcBorders>
              <w:top w:val="nil"/>
              <w:left w:val="single" w:sz="4" w:space="0" w:color="auto"/>
              <w:bottom w:val="single" w:sz="4" w:space="0" w:color="auto"/>
              <w:right w:val="nil"/>
            </w:tcBorders>
            <w:shd w:val="clear" w:color="auto" w:fill="auto"/>
            <w:noWrap/>
            <w:vAlign w:val="bottom"/>
            <w:hideMark/>
          </w:tcPr>
          <w:p w:rsidR="00FA795D" w:rsidRPr="00FA795D" w:rsidRDefault="00FA795D" w:rsidP="00FA795D">
            <w:pPr>
              <w:spacing w:line="240" w:lineRule="auto"/>
              <w:jc w:val="left"/>
              <w:rPr>
                <w:rFonts w:ascii="Arial" w:eastAsia="Times New Roman" w:hAnsi="Arial" w:cs="Arial"/>
                <w:sz w:val="20"/>
                <w:szCs w:val="20"/>
                <w:lang w:eastAsia="sk-SK"/>
              </w:rPr>
            </w:pPr>
            <w:r w:rsidRPr="00FA795D">
              <w:rPr>
                <w:rFonts w:ascii="Arial" w:eastAsia="Times New Roman" w:hAnsi="Arial" w:cs="Arial"/>
                <w:sz w:val="20"/>
                <w:szCs w:val="20"/>
                <w:lang w:eastAsia="sk-SK"/>
              </w:rPr>
              <w:t xml:space="preserve">Zásoby </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7 140 668</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7 344 507</w:t>
            </w:r>
          </w:p>
        </w:tc>
        <w:tc>
          <w:tcPr>
            <w:tcW w:w="1333"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2 723 295</w:t>
            </w:r>
          </w:p>
        </w:tc>
      </w:tr>
      <w:tr w:rsidR="00FA795D" w:rsidRPr="00FA795D" w:rsidTr="00FA795D">
        <w:trPr>
          <w:trHeight w:val="300"/>
        </w:trPr>
        <w:tc>
          <w:tcPr>
            <w:tcW w:w="3871" w:type="dxa"/>
            <w:tcBorders>
              <w:top w:val="nil"/>
              <w:left w:val="single" w:sz="4" w:space="0" w:color="auto"/>
              <w:bottom w:val="single" w:sz="4" w:space="0" w:color="auto"/>
              <w:right w:val="nil"/>
            </w:tcBorders>
            <w:shd w:val="clear" w:color="auto" w:fill="auto"/>
            <w:noWrap/>
            <w:vAlign w:val="bottom"/>
            <w:hideMark/>
          </w:tcPr>
          <w:p w:rsidR="00FA795D" w:rsidRPr="00FA795D" w:rsidRDefault="00FA795D" w:rsidP="00FA795D">
            <w:pPr>
              <w:spacing w:line="240" w:lineRule="auto"/>
              <w:jc w:val="left"/>
              <w:rPr>
                <w:rFonts w:ascii="Arial" w:eastAsia="Times New Roman" w:hAnsi="Arial" w:cs="Arial"/>
                <w:sz w:val="20"/>
                <w:szCs w:val="20"/>
                <w:lang w:eastAsia="sk-SK"/>
              </w:rPr>
            </w:pPr>
            <w:r w:rsidRPr="00FA795D">
              <w:rPr>
                <w:rFonts w:ascii="Arial" w:eastAsia="Times New Roman" w:hAnsi="Arial" w:cs="Arial"/>
                <w:sz w:val="20"/>
                <w:szCs w:val="20"/>
                <w:lang w:eastAsia="sk-SK"/>
              </w:rPr>
              <w:t>Obchodné a ostatné pohľadávky</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18 491 266</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19 169 859</w:t>
            </w:r>
          </w:p>
        </w:tc>
        <w:tc>
          <w:tcPr>
            <w:tcW w:w="1333"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18 986 818</w:t>
            </w:r>
          </w:p>
        </w:tc>
      </w:tr>
      <w:tr w:rsidR="00FA795D" w:rsidRPr="00FA795D" w:rsidTr="00FA795D">
        <w:trPr>
          <w:trHeight w:val="300"/>
        </w:trPr>
        <w:tc>
          <w:tcPr>
            <w:tcW w:w="3871" w:type="dxa"/>
            <w:tcBorders>
              <w:top w:val="nil"/>
              <w:left w:val="single" w:sz="4" w:space="0" w:color="auto"/>
              <w:bottom w:val="single" w:sz="4" w:space="0" w:color="auto"/>
              <w:right w:val="nil"/>
            </w:tcBorders>
            <w:shd w:val="clear" w:color="auto" w:fill="auto"/>
            <w:noWrap/>
            <w:vAlign w:val="bottom"/>
            <w:hideMark/>
          </w:tcPr>
          <w:p w:rsidR="00FA795D" w:rsidRPr="00FA795D" w:rsidRDefault="00FA795D" w:rsidP="00FA795D">
            <w:pPr>
              <w:spacing w:line="240" w:lineRule="auto"/>
              <w:jc w:val="left"/>
              <w:rPr>
                <w:rFonts w:ascii="Arial" w:eastAsia="Times New Roman" w:hAnsi="Arial" w:cs="Arial"/>
                <w:sz w:val="20"/>
                <w:szCs w:val="20"/>
                <w:lang w:eastAsia="sk-SK"/>
              </w:rPr>
            </w:pPr>
            <w:r w:rsidRPr="00FA795D">
              <w:rPr>
                <w:rFonts w:ascii="Arial" w:eastAsia="Times New Roman" w:hAnsi="Arial" w:cs="Arial"/>
                <w:sz w:val="20"/>
                <w:szCs w:val="20"/>
                <w:lang w:eastAsia="sk-SK"/>
              </w:rPr>
              <w:t>Ostatný finančný majetok</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1 482 561</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1 287 459</w:t>
            </w:r>
          </w:p>
        </w:tc>
        <w:tc>
          <w:tcPr>
            <w:tcW w:w="1333"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886 175</w:t>
            </w:r>
          </w:p>
        </w:tc>
      </w:tr>
      <w:tr w:rsidR="00FA795D" w:rsidRPr="00FA795D" w:rsidTr="00FA795D">
        <w:trPr>
          <w:trHeight w:val="300"/>
        </w:trPr>
        <w:tc>
          <w:tcPr>
            <w:tcW w:w="3871" w:type="dxa"/>
            <w:tcBorders>
              <w:top w:val="nil"/>
              <w:left w:val="single" w:sz="4" w:space="0" w:color="auto"/>
              <w:bottom w:val="single" w:sz="4" w:space="0" w:color="auto"/>
              <w:right w:val="nil"/>
            </w:tcBorders>
            <w:shd w:val="clear" w:color="auto" w:fill="auto"/>
            <w:noWrap/>
            <w:vAlign w:val="bottom"/>
            <w:hideMark/>
          </w:tcPr>
          <w:p w:rsidR="00FA795D" w:rsidRPr="00FA795D" w:rsidRDefault="00FA795D" w:rsidP="00FA795D">
            <w:pPr>
              <w:spacing w:line="240" w:lineRule="auto"/>
              <w:jc w:val="left"/>
              <w:rPr>
                <w:rFonts w:ascii="Arial" w:eastAsia="Times New Roman" w:hAnsi="Arial" w:cs="Arial"/>
                <w:sz w:val="20"/>
                <w:szCs w:val="20"/>
                <w:lang w:eastAsia="sk-SK"/>
              </w:rPr>
            </w:pPr>
            <w:r w:rsidRPr="00FA795D">
              <w:rPr>
                <w:rFonts w:ascii="Arial" w:eastAsia="Times New Roman" w:hAnsi="Arial" w:cs="Arial"/>
                <w:sz w:val="20"/>
                <w:szCs w:val="20"/>
                <w:lang w:eastAsia="sk-SK"/>
              </w:rPr>
              <w:t>Peňažné prostriedky a peňažné ekvivalenty</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7 279 977</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7 877 023</w:t>
            </w:r>
          </w:p>
        </w:tc>
        <w:tc>
          <w:tcPr>
            <w:tcW w:w="1333"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9 359 273</w:t>
            </w:r>
          </w:p>
        </w:tc>
      </w:tr>
      <w:tr w:rsidR="00FA795D" w:rsidRPr="00FA795D" w:rsidTr="00FA795D">
        <w:trPr>
          <w:trHeight w:val="300"/>
        </w:trPr>
        <w:tc>
          <w:tcPr>
            <w:tcW w:w="3871" w:type="dxa"/>
            <w:tcBorders>
              <w:top w:val="nil"/>
              <w:left w:val="single" w:sz="4" w:space="0" w:color="auto"/>
              <w:bottom w:val="single" w:sz="4" w:space="0" w:color="auto"/>
              <w:right w:val="nil"/>
            </w:tcBorders>
            <w:shd w:val="clear" w:color="auto" w:fill="auto"/>
            <w:noWrap/>
            <w:vAlign w:val="bottom"/>
            <w:hideMark/>
          </w:tcPr>
          <w:p w:rsidR="00FA795D" w:rsidRPr="00FA795D" w:rsidRDefault="00FA795D" w:rsidP="00FA795D">
            <w:pPr>
              <w:spacing w:line="240" w:lineRule="auto"/>
              <w:jc w:val="left"/>
              <w:rPr>
                <w:rFonts w:ascii="Arial" w:eastAsia="Times New Roman" w:hAnsi="Arial" w:cs="Arial"/>
                <w:sz w:val="20"/>
                <w:szCs w:val="20"/>
                <w:lang w:eastAsia="sk-SK"/>
              </w:rPr>
            </w:pPr>
            <w:r w:rsidRPr="00FA795D">
              <w:rPr>
                <w:rFonts w:ascii="Arial" w:eastAsia="Times New Roman" w:hAnsi="Arial" w:cs="Arial"/>
                <w:sz w:val="20"/>
                <w:szCs w:val="20"/>
                <w:lang w:eastAsia="sk-SK"/>
              </w:rPr>
              <w:t>Neobežný majetok držaný na predaj</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56 232</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94 505</w:t>
            </w:r>
          </w:p>
        </w:tc>
        <w:tc>
          <w:tcPr>
            <w:tcW w:w="1333"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732</w:t>
            </w:r>
          </w:p>
        </w:tc>
      </w:tr>
      <w:tr w:rsidR="00FA795D" w:rsidRPr="00FA795D" w:rsidTr="00FA795D">
        <w:trPr>
          <w:trHeight w:val="300"/>
        </w:trPr>
        <w:tc>
          <w:tcPr>
            <w:tcW w:w="3871" w:type="dxa"/>
            <w:tcBorders>
              <w:top w:val="nil"/>
              <w:left w:val="single" w:sz="4" w:space="0" w:color="auto"/>
              <w:bottom w:val="single" w:sz="4" w:space="0" w:color="auto"/>
              <w:right w:val="nil"/>
            </w:tcBorders>
            <w:shd w:val="clear" w:color="auto" w:fill="auto"/>
            <w:noWrap/>
            <w:vAlign w:val="bottom"/>
            <w:hideMark/>
          </w:tcPr>
          <w:p w:rsidR="00FA795D" w:rsidRPr="00FA795D" w:rsidRDefault="00FA795D" w:rsidP="00FA795D">
            <w:pPr>
              <w:spacing w:line="240" w:lineRule="auto"/>
              <w:jc w:val="left"/>
              <w:rPr>
                <w:rFonts w:ascii="Arial" w:eastAsia="Times New Roman" w:hAnsi="Arial" w:cs="Arial"/>
                <w:b/>
                <w:bCs/>
                <w:sz w:val="20"/>
                <w:szCs w:val="20"/>
                <w:lang w:eastAsia="sk-SK"/>
              </w:rPr>
            </w:pPr>
            <w:r w:rsidRPr="00FA795D">
              <w:rPr>
                <w:rFonts w:ascii="Arial" w:eastAsia="Times New Roman" w:hAnsi="Arial" w:cs="Arial"/>
                <w:b/>
                <w:bCs/>
                <w:sz w:val="20"/>
                <w:szCs w:val="20"/>
                <w:lang w:eastAsia="sk-SK"/>
              </w:rPr>
              <w:t>Obežný majetok spolu</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34 450 704</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35 773 353</w:t>
            </w:r>
          </w:p>
        </w:tc>
        <w:tc>
          <w:tcPr>
            <w:tcW w:w="1333"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31 956 293</w:t>
            </w:r>
          </w:p>
        </w:tc>
      </w:tr>
      <w:tr w:rsidR="00FA795D" w:rsidRPr="00FA795D" w:rsidTr="00FA795D">
        <w:trPr>
          <w:trHeight w:val="315"/>
        </w:trPr>
        <w:tc>
          <w:tcPr>
            <w:tcW w:w="3871" w:type="dxa"/>
            <w:tcBorders>
              <w:top w:val="nil"/>
              <w:left w:val="single" w:sz="4" w:space="0" w:color="auto"/>
              <w:bottom w:val="single" w:sz="4" w:space="0" w:color="auto"/>
              <w:right w:val="nil"/>
            </w:tcBorders>
            <w:shd w:val="clear" w:color="auto" w:fill="auto"/>
            <w:noWrap/>
            <w:vAlign w:val="bottom"/>
            <w:hideMark/>
          </w:tcPr>
          <w:p w:rsidR="00FA795D" w:rsidRPr="00FA795D" w:rsidRDefault="00FA795D" w:rsidP="00FA795D">
            <w:pPr>
              <w:spacing w:line="240" w:lineRule="auto"/>
              <w:jc w:val="left"/>
              <w:rPr>
                <w:rFonts w:ascii="Arial" w:eastAsia="Times New Roman" w:hAnsi="Arial" w:cs="Arial"/>
                <w:b/>
                <w:bCs/>
                <w:sz w:val="20"/>
                <w:szCs w:val="20"/>
                <w:lang w:eastAsia="sk-SK"/>
              </w:rPr>
            </w:pPr>
            <w:r w:rsidRPr="00FA795D">
              <w:rPr>
                <w:rFonts w:ascii="Arial" w:eastAsia="Times New Roman" w:hAnsi="Arial" w:cs="Arial"/>
                <w:b/>
                <w:bCs/>
                <w:sz w:val="20"/>
                <w:szCs w:val="20"/>
                <w:lang w:eastAsia="sk-SK"/>
              </w:rPr>
              <w:t xml:space="preserve">Majetok spolu </w:t>
            </w:r>
          </w:p>
        </w:tc>
        <w:tc>
          <w:tcPr>
            <w:tcW w:w="2118" w:type="dxa"/>
            <w:tcBorders>
              <w:top w:val="nil"/>
              <w:left w:val="nil"/>
              <w:bottom w:val="double" w:sz="6"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122 291 026</w:t>
            </w:r>
          </w:p>
        </w:tc>
        <w:tc>
          <w:tcPr>
            <w:tcW w:w="2118" w:type="dxa"/>
            <w:tcBorders>
              <w:top w:val="nil"/>
              <w:left w:val="nil"/>
              <w:bottom w:val="double" w:sz="6"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118 263 976</w:t>
            </w:r>
          </w:p>
        </w:tc>
        <w:tc>
          <w:tcPr>
            <w:tcW w:w="1333" w:type="dxa"/>
            <w:tcBorders>
              <w:top w:val="nil"/>
              <w:left w:val="nil"/>
              <w:bottom w:val="double" w:sz="6"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119 845 729</w:t>
            </w:r>
          </w:p>
        </w:tc>
      </w:tr>
      <w:tr w:rsidR="00FA795D" w:rsidRPr="00FA795D" w:rsidTr="00FA795D">
        <w:trPr>
          <w:trHeight w:val="315"/>
        </w:trPr>
        <w:tc>
          <w:tcPr>
            <w:tcW w:w="3871" w:type="dxa"/>
            <w:tcBorders>
              <w:top w:val="nil"/>
              <w:left w:val="single" w:sz="4" w:space="0" w:color="auto"/>
              <w:bottom w:val="single" w:sz="4" w:space="0" w:color="auto"/>
              <w:right w:val="nil"/>
            </w:tcBorders>
            <w:shd w:val="clear" w:color="auto" w:fill="auto"/>
            <w:noWrap/>
            <w:vAlign w:val="bottom"/>
            <w:hideMark/>
          </w:tcPr>
          <w:p w:rsidR="00FA795D" w:rsidRPr="00FA795D" w:rsidRDefault="00FA795D" w:rsidP="00FA795D">
            <w:pPr>
              <w:spacing w:line="240" w:lineRule="auto"/>
              <w:jc w:val="left"/>
              <w:rPr>
                <w:rFonts w:ascii="Arial" w:eastAsia="Times New Roman" w:hAnsi="Arial" w:cs="Arial"/>
                <w:sz w:val="20"/>
                <w:szCs w:val="20"/>
                <w:lang w:eastAsia="sk-SK"/>
              </w:rPr>
            </w:pPr>
            <w:r w:rsidRPr="00FA795D">
              <w:rPr>
                <w:rFonts w:ascii="Arial" w:eastAsia="Times New Roman" w:hAnsi="Arial" w:cs="Arial"/>
                <w:sz w:val="20"/>
                <w:szCs w:val="20"/>
                <w:lang w:eastAsia="sk-SK"/>
              </w:rPr>
              <w:t> </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 </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 </w:t>
            </w:r>
          </w:p>
        </w:tc>
        <w:tc>
          <w:tcPr>
            <w:tcW w:w="1333"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 </w:t>
            </w:r>
          </w:p>
        </w:tc>
      </w:tr>
      <w:tr w:rsidR="00FA795D" w:rsidRPr="00FA795D" w:rsidTr="00FA795D">
        <w:trPr>
          <w:trHeight w:val="300"/>
        </w:trPr>
        <w:tc>
          <w:tcPr>
            <w:tcW w:w="3871" w:type="dxa"/>
            <w:tcBorders>
              <w:top w:val="nil"/>
              <w:left w:val="single" w:sz="4" w:space="0" w:color="auto"/>
              <w:bottom w:val="single" w:sz="4" w:space="0" w:color="auto"/>
              <w:right w:val="nil"/>
            </w:tcBorders>
            <w:shd w:val="clear" w:color="auto" w:fill="auto"/>
            <w:noWrap/>
            <w:vAlign w:val="bottom"/>
            <w:hideMark/>
          </w:tcPr>
          <w:p w:rsidR="00FA795D" w:rsidRPr="00FA795D" w:rsidRDefault="00FA795D" w:rsidP="00FA795D">
            <w:pPr>
              <w:spacing w:line="240" w:lineRule="auto"/>
              <w:jc w:val="left"/>
              <w:rPr>
                <w:rFonts w:ascii="Arial" w:eastAsia="Times New Roman" w:hAnsi="Arial" w:cs="Arial"/>
                <w:sz w:val="20"/>
                <w:szCs w:val="20"/>
                <w:lang w:eastAsia="sk-SK"/>
              </w:rPr>
            </w:pPr>
            <w:r w:rsidRPr="00FA795D">
              <w:rPr>
                <w:rFonts w:ascii="Arial" w:eastAsia="Times New Roman" w:hAnsi="Arial" w:cs="Arial"/>
                <w:sz w:val="20"/>
                <w:szCs w:val="20"/>
                <w:lang w:eastAsia="sk-SK"/>
              </w:rPr>
              <w:t> </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 </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 </w:t>
            </w:r>
          </w:p>
        </w:tc>
        <w:tc>
          <w:tcPr>
            <w:tcW w:w="1333"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 </w:t>
            </w:r>
          </w:p>
        </w:tc>
      </w:tr>
      <w:tr w:rsidR="00FA795D" w:rsidRPr="00FA795D" w:rsidTr="00FA795D">
        <w:trPr>
          <w:trHeight w:val="285"/>
        </w:trPr>
        <w:tc>
          <w:tcPr>
            <w:tcW w:w="3871" w:type="dxa"/>
            <w:tcBorders>
              <w:top w:val="nil"/>
              <w:left w:val="single" w:sz="4" w:space="0" w:color="auto"/>
              <w:bottom w:val="single" w:sz="4" w:space="0" w:color="auto"/>
              <w:right w:val="nil"/>
            </w:tcBorders>
            <w:shd w:val="clear" w:color="auto" w:fill="auto"/>
            <w:noWrap/>
            <w:vAlign w:val="bottom"/>
            <w:hideMark/>
          </w:tcPr>
          <w:p w:rsidR="00FA795D" w:rsidRPr="00FA795D" w:rsidRDefault="00FA795D" w:rsidP="00FA795D">
            <w:pPr>
              <w:spacing w:line="240" w:lineRule="auto"/>
              <w:jc w:val="left"/>
              <w:rPr>
                <w:rFonts w:ascii="Arial" w:eastAsia="Times New Roman" w:hAnsi="Arial" w:cs="Arial"/>
                <w:b/>
                <w:bCs/>
                <w:sz w:val="20"/>
                <w:szCs w:val="20"/>
                <w:lang w:eastAsia="sk-SK"/>
              </w:rPr>
            </w:pPr>
            <w:r w:rsidRPr="00FA795D">
              <w:rPr>
                <w:rFonts w:ascii="Arial" w:eastAsia="Times New Roman" w:hAnsi="Arial" w:cs="Arial"/>
                <w:b/>
                <w:bCs/>
                <w:sz w:val="20"/>
                <w:szCs w:val="20"/>
                <w:lang w:eastAsia="sk-SK"/>
              </w:rPr>
              <w:t xml:space="preserve">VLASTNÉ  IMANIE A ZÁVÄZKY </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 </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 </w:t>
            </w:r>
          </w:p>
        </w:tc>
        <w:tc>
          <w:tcPr>
            <w:tcW w:w="1333"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 </w:t>
            </w:r>
          </w:p>
        </w:tc>
      </w:tr>
      <w:tr w:rsidR="00FA795D" w:rsidRPr="00FA795D" w:rsidTr="00FA795D">
        <w:trPr>
          <w:trHeight w:val="285"/>
        </w:trPr>
        <w:tc>
          <w:tcPr>
            <w:tcW w:w="3871" w:type="dxa"/>
            <w:tcBorders>
              <w:top w:val="nil"/>
              <w:left w:val="single" w:sz="4" w:space="0" w:color="auto"/>
              <w:bottom w:val="single" w:sz="4" w:space="0" w:color="auto"/>
              <w:right w:val="nil"/>
            </w:tcBorders>
            <w:shd w:val="clear" w:color="auto" w:fill="auto"/>
            <w:noWrap/>
            <w:vAlign w:val="bottom"/>
            <w:hideMark/>
          </w:tcPr>
          <w:p w:rsidR="00FA795D" w:rsidRPr="00FA795D" w:rsidRDefault="00FA795D" w:rsidP="00FA795D">
            <w:pPr>
              <w:spacing w:line="240" w:lineRule="auto"/>
              <w:jc w:val="left"/>
              <w:rPr>
                <w:rFonts w:ascii="Arial" w:eastAsia="Times New Roman" w:hAnsi="Arial" w:cs="Arial"/>
                <w:b/>
                <w:bCs/>
                <w:sz w:val="20"/>
                <w:szCs w:val="20"/>
                <w:lang w:eastAsia="sk-SK"/>
              </w:rPr>
            </w:pPr>
            <w:r w:rsidRPr="00FA795D">
              <w:rPr>
                <w:rFonts w:ascii="Arial" w:eastAsia="Times New Roman" w:hAnsi="Arial" w:cs="Arial"/>
                <w:b/>
                <w:bCs/>
                <w:sz w:val="20"/>
                <w:szCs w:val="20"/>
                <w:lang w:eastAsia="sk-SK"/>
              </w:rPr>
              <w:t xml:space="preserve">Vlastné imanie </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 </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 </w:t>
            </w:r>
          </w:p>
        </w:tc>
        <w:tc>
          <w:tcPr>
            <w:tcW w:w="1333"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 </w:t>
            </w:r>
          </w:p>
        </w:tc>
      </w:tr>
      <w:tr w:rsidR="00FA795D" w:rsidRPr="00FA795D" w:rsidTr="00FA795D">
        <w:trPr>
          <w:trHeight w:val="300"/>
        </w:trPr>
        <w:tc>
          <w:tcPr>
            <w:tcW w:w="3871" w:type="dxa"/>
            <w:tcBorders>
              <w:top w:val="nil"/>
              <w:left w:val="single" w:sz="4" w:space="0" w:color="auto"/>
              <w:bottom w:val="single" w:sz="4" w:space="0" w:color="auto"/>
              <w:right w:val="nil"/>
            </w:tcBorders>
            <w:shd w:val="clear" w:color="auto" w:fill="auto"/>
            <w:noWrap/>
            <w:vAlign w:val="bottom"/>
            <w:hideMark/>
          </w:tcPr>
          <w:p w:rsidR="00FA795D" w:rsidRPr="00FA795D" w:rsidRDefault="00FA795D" w:rsidP="00FA795D">
            <w:pPr>
              <w:spacing w:line="240" w:lineRule="auto"/>
              <w:jc w:val="left"/>
              <w:rPr>
                <w:rFonts w:ascii="Arial" w:eastAsia="Times New Roman" w:hAnsi="Arial" w:cs="Arial"/>
                <w:sz w:val="20"/>
                <w:szCs w:val="20"/>
                <w:lang w:eastAsia="sk-SK"/>
              </w:rPr>
            </w:pPr>
            <w:r w:rsidRPr="00FA795D">
              <w:rPr>
                <w:rFonts w:ascii="Arial" w:eastAsia="Times New Roman" w:hAnsi="Arial" w:cs="Arial"/>
                <w:sz w:val="20"/>
                <w:szCs w:val="20"/>
                <w:lang w:eastAsia="sk-SK"/>
              </w:rPr>
              <w:t xml:space="preserve">Základné imanie </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99 651 880</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99 651 880</w:t>
            </w:r>
          </w:p>
        </w:tc>
        <w:tc>
          <w:tcPr>
            <w:tcW w:w="1333"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99 651 880</w:t>
            </w:r>
          </w:p>
        </w:tc>
      </w:tr>
      <w:tr w:rsidR="00FA795D" w:rsidRPr="00FA795D" w:rsidTr="00FA795D">
        <w:trPr>
          <w:trHeight w:val="300"/>
        </w:trPr>
        <w:tc>
          <w:tcPr>
            <w:tcW w:w="3871" w:type="dxa"/>
            <w:tcBorders>
              <w:top w:val="nil"/>
              <w:left w:val="single" w:sz="4" w:space="0" w:color="auto"/>
              <w:bottom w:val="single" w:sz="4" w:space="0" w:color="auto"/>
              <w:right w:val="nil"/>
            </w:tcBorders>
            <w:shd w:val="clear" w:color="auto" w:fill="auto"/>
            <w:noWrap/>
            <w:vAlign w:val="bottom"/>
            <w:hideMark/>
          </w:tcPr>
          <w:p w:rsidR="00FA795D" w:rsidRPr="00FA795D" w:rsidRDefault="00FA795D" w:rsidP="00FA795D">
            <w:pPr>
              <w:spacing w:line="240" w:lineRule="auto"/>
              <w:jc w:val="left"/>
              <w:rPr>
                <w:rFonts w:ascii="Arial" w:eastAsia="Times New Roman" w:hAnsi="Arial" w:cs="Arial"/>
                <w:sz w:val="20"/>
                <w:szCs w:val="20"/>
                <w:lang w:eastAsia="sk-SK"/>
              </w:rPr>
            </w:pPr>
            <w:r w:rsidRPr="00FA795D">
              <w:rPr>
                <w:rFonts w:ascii="Arial" w:eastAsia="Times New Roman" w:hAnsi="Arial" w:cs="Arial"/>
                <w:sz w:val="20"/>
                <w:szCs w:val="20"/>
                <w:lang w:eastAsia="sk-SK"/>
              </w:rPr>
              <w:t>Kapitálové rezervy</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6 364 849</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6 119 859</w:t>
            </w:r>
          </w:p>
        </w:tc>
        <w:tc>
          <w:tcPr>
            <w:tcW w:w="1333"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5 862 547</w:t>
            </w:r>
          </w:p>
        </w:tc>
      </w:tr>
      <w:tr w:rsidR="00FA795D" w:rsidRPr="00FA795D" w:rsidTr="00FA795D">
        <w:trPr>
          <w:trHeight w:val="300"/>
        </w:trPr>
        <w:tc>
          <w:tcPr>
            <w:tcW w:w="3871" w:type="dxa"/>
            <w:tcBorders>
              <w:top w:val="nil"/>
              <w:left w:val="single" w:sz="4" w:space="0" w:color="auto"/>
              <w:bottom w:val="single" w:sz="4" w:space="0" w:color="auto"/>
              <w:right w:val="nil"/>
            </w:tcBorders>
            <w:shd w:val="clear" w:color="auto" w:fill="auto"/>
            <w:noWrap/>
            <w:vAlign w:val="bottom"/>
            <w:hideMark/>
          </w:tcPr>
          <w:p w:rsidR="00FA795D" w:rsidRPr="00FA795D" w:rsidRDefault="00FA795D" w:rsidP="00FA795D">
            <w:pPr>
              <w:spacing w:line="240" w:lineRule="auto"/>
              <w:jc w:val="left"/>
              <w:rPr>
                <w:rFonts w:ascii="Arial" w:eastAsia="Times New Roman" w:hAnsi="Arial" w:cs="Arial"/>
                <w:sz w:val="20"/>
                <w:szCs w:val="20"/>
                <w:lang w:eastAsia="sk-SK"/>
              </w:rPr>
            </w:pPr>
            <w:r w:rsidRPr="00FA795D">
              <w:rPr>
                <w:rFonts w:ascii="Arial" w:eastAsia="Times New Roman" w:hAnsi="Arial" w:cs="Arial"/>
                <w:sz w:val="20"/>
                <w:szCs w:val="20"/>
                <w:lang w:eastAsia="sk-SK"/>
              </w:rPr>
              <w:t>Nerozdelené zisky (straty)</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 xml:space="preserve">   (28 664 284)</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 xml:space="preserve">   (29 383 660)</w:t>
            </w:r>
          </w:p>
        </w:tc>
        <w:tc>
          <w:tcPr>
            <w:tcW w:w="1333"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 xml:space="preserve">   (31 573 439)</w:t>
            </w:r>
          </w:p>
        </w:tc>
      </w:tr>
      <w:tr w:rsidR="00FA795D" w:rsidRPr="00FA795D" w:rsidTr="00FA795D">
        <w:trPr>
          <w:trHeight w:val="300"/>
        </w:trPr>
        <w:tc>
          <w:tcPr>
            <w:tcW w:w="3871" w:type="dxa"/>
            <w:tcBorders>
              <w:top w:val="nil"/>
              <w:left w:val="single" w:sz="4" w:space="0" w:color="auto"/>
              <w:bottom w:val="single" w:sz="4" w:space="0" w:color="auto"/>
              <w:right w:val="nil"/>
            </w:tcBorders>
            <w:shd w:val="clear" w:color="auto" w:fill="auto"/>
            <w:noWrap/>
            <w:vAlign w:val="bottom"/>
            <w:hideMark/>
          </w:tcPr>
          <w:p w:rsidR="00FA795D" w:rsidRPr="00FA795D" w:rsidRDefault="00FA795D" w:rsidP="00FA795D">
            <w:pPr>
              <w:spacing w:line="240" w:lineRule="auto"/>
              <w:jc w:val="left"/>
              <w:rPr>
                <w:rFonts w:ascii="Arial" w:eastAsia="Times New Roman" w:hAnsi="Arial" w:cs="Arial"/>
                <w:b/>
                <w:bCs/>
                <w:sz w:val="20"/>
                <w:szCs w:val="20"/>
                <w:lang w:eastAsia="sk-SK"/>
              </w:rPr>
            </w:pPr>
            <w:r w:rsidRPr="00FA795D">
              <w:rPr>
                <w:rFonts w:ascii="Arial" w:eastAsia="Times New Roman" w:hAnsi="Arial" w:cs="Arial"/>
                <w:b/>
                <w:bCs/>
                <w:sz w:val="20"/>
                <w:szCs w:val="20"/>
                <w:lang w:eastAsia="sk-SK"/>
              </w:rPr>
              <w:t>Vlastné imanie spolu</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77 352 445</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76 388 079</w:t>
            </w:r>
          </w:p>
        </w:tc>
        <w:tc>
          <w:tcPr>
            <w:tcW w:w="1333"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73 940 988</w:t>
            </w:r>
          </w:p>
        </w:tc>
      </w:tr>
      <w:tr w:rsidR="00FA795D" w:rsidRPr="00FA795D" w:rsidTr="00FA795D">
        <w:trPr>
          <w:trHeight w:val="300"/>
        </w:trPr>
        <w:tc>
          <w:tcPr>
            <w:tcW w:w="3871" w:type="dxa"/>
            <w:tcBorders>
              <w:top w:val="nil"/>
              <w:left w:val="single" w:sz="4" w:space="0" w:color="auto"/>
              <w:bottom w:val="single" w:sz="4" w:space="0" w:color="auto"/>
              <w:right w:val="nil"/>
            </w:tcBorders>
            <w:shd w:val="clear" w:color="auto" w:fill="auto"/>
            <w:noWrap/>
            <w:vAlign w:val="bottom"/>
            <w:hideMark/>
          </w:tcPr>
          <w:p w:rsidR="00FA795D" w:rsidRPr="00FA795D" w:rsidRDefault="00FA795D" w:rsidP="00FA795D">
            <w:pPr>
              <w:spacing w:line="240" w:lineRule="auto"/>
              <w:jc w:val="left"/>
              <w:rPr>
                <w:rFonts w:ascii="Arial" w:eastAsia="Times New Roman" w:hAnsi="Arial" w:cs="Arial"/>
                <w:sz w:val="20"/>
                <w:szCs w:val="20"/>
                <w:lang w:eastAsia="sk-SK"/>
              </w:rPr>
            </w:pPr>
            <w:r w:rsidRPr="00FA795D">
              <w:rPr>
                <w:rFonts w:ascii="Arial" w:eastAsia="Times New Roman" w:hAnsi="Arial" w:cs="Arial"/>
                <w:sz w:val="20"/>
                <w:szCs w:val="20"/>
                <w:lang w:eastAsia="sk-SK"/>
              </w:rPr>
              <w:t> </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 </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 </w:t>
            </w:r>
          </w:p>
        </w:tc>
        <w:tc>
          <w:tcPr>
            <w:tcW w:w="1333"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 </w:t>
            </w:r>
          </w:p>
        </w:tc>
      </w:tr>
      <w:tr w:rsidR="00FA795D" w:rsidRPr="00FA795D" w:rsidTr="00FA795D">
        <w:trPr>
          <w:trHeight w:val="285"/>
        </w:trPr>
        <w:tc>
          <w:tcPr>
            <w:tcW w:w="3871" w:type="dxa"/>
            <w:tcBorders>
              <w:top w:val="nil"/>
              <w:left w:val="single" w:sz="4" w:space="0" w:color="auto"/>
              <w:bottom w:val="single" w:sz="4" w:space="0" w:color="auto"/>
              <w:right w:val="nil"/>
            </w:tcBorders>
            <w:shd w:val="clear" w:color="auto" w:fill="auto"/>
            <w:noWrap/>
            <w:vAlign w:val="bottom"/>
            <w:hideMark/>
          </w:tcPr>
          <w:p w:rsidR="00FA795D" w:rsidRPr="00FA795D" w:rsidRDefault="00FA795D" w:rsidP="00FA795D">
            <w:pPr>
              <w:spacing w:line="240" w:lineRule="auto"/>
              <w:jc w:val="left"/>
              <w:rPr>
                <w:rFonts w:ascii="Arial" w:eastAsia="Times New Roman" w:hAnsi="Arial" w:cs="Arial"/>
                <w:b/>
                <w:bCs/>
                <w:sz w:val="20"/>
                <w:szCs w:val="20"/>
                <w:lang w:eastAsia="sk-SK"/>
              </w:rPr>
            </w:pPr>
            <w:r w:rsidRPr="00FA795D">
              <w:rPr>
                <w:rFonts w:ascii="Arial" w:eastAsia="Times New Roman" w:hAnsi="Arial" w:cs="Arial"/>
                <w:b/>
                <w:bCs/>
                <w:sz w:val="20"/>
                <w:szCs w:val="20"/>
                <w:lang w:eastAsia="sk-SK"/>
              </w:rPr>
              <w:t xml:space="preserve">Neobežné záväzky </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 </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 </w:t>
            </w:r>
          </w:p>
        </w:tc>
        <w:tc>
          <w:tcPr>
            <w:tcW w:w="1333"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 </w:t>
            </w:r>
          </w:p>
        </w:tc>
      </w:tr>
      <w:tr w:rsidR="00FA795D" w:rsidRPr="00FA795D" w:rsidTr="00FA795D">
        <w:trPr>
          <w:trHeight w:val="300"/>
        </w:trPr>
        <w:tc>
          <w:tcPr>
            <w:tcW w:w="3871" w:type="dxa"/>
            <w:tcBorders>
              <w:top w:val="nil"/>
              <w:left w:val="single" w:sz="4" w:space="0" w:color="auto"/>
              <w:bottom w:val="single" w:sz="4" w:space="0" w:color="auto"/>
              <w:right w:val="nil"/>
            </w:tcBorders>
            <w:shd w:val="clear" w:color="auto" w:fill="auto"/>
            <w:noWrap/>
            <w:vAlign w:val="bottom"/>
            <w:hideMark/>
          </w:tcPr>
          <w:p w:rsidR="00FA795D" w:rsidRPr="00FA795D" w:rsidRDefault="00FA795D" w:rsidP="00FA795D">
            <w:pPr>
              <w:spacing w:line="240" w:lineRule="auto"/>
              <w:jc w:val="left"/>
              <w:rPr>
                <w:rFonts w:ascii="Arial" w:eastAsia="Times New Roman" w:hAnsi="Arial" w:cs="Arial"/>
                <w:sz w:val="20"/>
                <w:szCs w:val="20"/>
                <w:lang w:eastAsia="sk-SK"/>
              </w:rPr>
            </w:pPr>
            <w:r w:rsidRPr="00FA795D">
              <w:rPr>
                <w:rFonts w:ascii="Arial" w:eastAsia="Times New Roman" w:hAnsi="Arial" w:cs="Arial"/>
                <w:sz w:val="20"/>
                <w:szCs w:val="20"/>
                <w:lang w:eastAsia="sk-SK"/>
              </w:rPr>
              <w:t>Bankové úvery</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3 948 000</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0</w:t>
            </w:r>
          </w:p>
        </w:tc>
        <w:tc>
          <w:tcPr>
            <w:tcW w:w="1333"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261 530</w:t>
            </w:r>
          </w:p>
        </w:tc>
      </w:tr>
      <w:tr w:rsidR="00FA795D" w:rsidRPr="00FA795D" w:rsidTr="00FA795D">
        <w:trPr>
          <w:trHeight w:val="300"/>
        </w:trPr>
        <w:tc>
          <w:tcPr>
            <w:tcW w:w="3871" w:type="dxa"/>
            <w:tcBorders>
              <w:top w:val="nil"/>
              <w:left w:val="single" w:sz="4" w:space="0" w:color="auto"/>
              <w:bottom w:val="single" w:sz="4" w:space="0" w:color="auto"/>
              <w:right w:val="nil"/>
            </w:tcBorders>
            <w:shd w:val="clear" w:color="auto" w:fill="auto"/>
            <w:noWrap/>
            <w:vAlign w:val="bottom"/>
            <w:hideMark/>
          </w:tcPr>
          <w:p w:rsidR="00FA795D" w:rsidRPr="00FA795D" w:rsidRDefault="00FA795D" w:rsidP="00FA795D">
            <w:pPr>
              <w:spacing w:line="240" w:lineRule="auto"/>
              <w:jc w:val="left"/>
              <w:rPr>
                <w:rFonts w:ascii="Arial" w:eastAsia="Times New Roman" w:hAnsi="Arial" w:cs="Arial"/>
                <w:sz w:val="20"/>
                <w:szCs w:val="20"/>
                <w:lang w:eastAsia="sk-SK"/>
              </w:rPr>
            </w:pPr>
            <w:r w:rsidRPr="00FA795D">
              <w:rPr>
                <w:rFonts w:ascii="Arial" w:eastAsia="Times New Roman" w:hAnsi="Arial" w:cs="Arial"/>
                <w:sz w:val="20"/>
                <w:szCs w:val="20"/>
                <w:lang w:eastAsia="sk-SK"/>
              </w:rPr>
              <w:t xml:space="preserve">Zamestnanecké požitky </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3 954 738</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4 008 075</w:t>
            </w:r>
          </w:p>
        </w:tc>
        <w:tc>
          <w:tcPr>
            <w:tcW w:w="1333"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1 314 092</w:t>
            </w:r>
          </w:p>
        </w:tc>
      </w:tr>
      <w:tr w:rsidR="00FA795D" w:rsidRPr="00FA795D" w:rsidTr="00FA795D">
        <w:trPr>
          <w:trHeight w:val="300"/>
        </w:trPr>
        <w:tc>
          <w:tcPr>
            <w:tcW w:w="3871" w:type="dxa"/>
            <w:tcBorders>
              <w:top w:val="nil"/>
              <w:left w:val="single" w:sz="4" w:space="0" w:color="auto"/>
              <w:bottom w:val="single" w:sz="4" w:space="0" w:color="auto"/>
              <w:right w:val="nil"/>
            </w:tcBorders>
            <w:shd w:val="clear" w:color="auto" w:fill="auto"/>
            <w:noWrap/>
            <w:vAlign w:val="bottom"/>
            <w:hideMark/>
          </w:tcPr>
          <w:p w:rsidR="00FA795D" w:rsidRPr="00FA795D" w:rsidRDefault="00FA795D" w:rsidP="00FA795D">
            <w:pPr>
              <w:spacing w:line="240" w:lineRule="auto"/>
              <w:jc w:val="left"/>
              <w:rPr>
                <w:rFonts w:ascii="Arial" w:eastAsia="Times New Roman" w:hAnsi="Arial" w:cs="Arial"/>
                <w:sz w:val="20"/>
                <w:szCs w:val="20"/>
                <w:lang w:eastAsia="sk-SK"/>
              </w:rPr>
            </w:pPr>
            <w:r w:rsidRPr="00FA795D">
              <w:rPr>
                <w:rFonts w:ascii="Arial" w:eastAsia="Times New Roman" w:hAnsi="Arial" w:cs="Arial"/>
                <w:sz w:val="20"/>
                <w:szCs w:val="20"/>
                <w:lang w:eastAsia="sk-SK"/>
              </w:rPr>
              <w:t>Záväzky z finančného leasingu</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0</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0</w:t>
            </w:r>
          </w:p>
        </w:tc>
        <w:tc>
          <w:tcPr>
            <w:tcW w:w="1333"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300 424</w:t>
            </w:r>
          </w:p>
        </w:tc>
      </w:tr>
      <w:tr w:rsidR="00FA795D" w:rsidRPr="00FA795D" w:rsidTr="00FA795D">
        <w:trPr>
          <w:trHeight w:val="300"/>
        </w:trPr>
        <w:tc>
          <w:tcPr>
            <w:tcW w:w="3871" w:type="dxa"/>
            <w:tcBorders>
              <w:top w:val="nil"/>
              <w:left w:val="single" w:sz="4" w:space="0" w:color="auto"/>
              <w:bottom w:val="single" w:sz="4" w:space="0" w:color="auto"/>
              <w:right w:val="nil"/>
            </w:tcBorders>
            <w:shd w:val="clear" w:color="auto" w:fill="auto"/>
            <w:noWrap/>
            <w:vAlign w:val="bottom"/>
            <w:hideMark/>
          </w:tcPr>
          <w:p w:rsidR="00FA795D" w:rsidRPr="00FA795D" w:rsidRDefault="00FA795D" w:rsidP="00FA795D">
            <w:pPr>
              <w:spacing w:line="240" w:lineRule="auto"/>
              <w:jc w:val="left"/>
              <w:rPr>
                <w:rFonts w:ascii="Arial" w:eastAsia="Times New Roman" w:hAnsi="Arial" w:cs="Arial"/>
                <w:sz w:val="20"/>
                <w:szCs w:val="20"/>
                <w:lang w:eastAsia="sk-SK"/>
              </w:rPr>
            </w:pPr>
            <w:r w:rsidRPr="00FA795D">
              <w:rPr>
                <w:rFonts w:ascii="Arial" w:eastAsia="Times New Roman" w:hAnsi="Arial" w:cs="Arial"/>
                <w:sz w:val="20"/>
                <w:szCs w:val="20"/>
                <w:lang w:eastAsia="sk-SK"/>
              </w:rPr>
              <w:t>Rezerva na rekultivácie nehnuteľností</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9 657 420</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9 317 419</w:t>
            </w:r>
          </w:p>
        </w:tc>
        <w:tc>
          <w:tcPr>
            <w:tcW w:w="1333"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8 635 406</w:t>
            </w:r>
          </w:p>
        </w:tc>
      </w:tr>
      <w:tr w:rsidR="00FA795D" w:rsidRPr="00FA795D" w:rsidTr="00FA795D">
        <w:trPr>
          <w:trHeight w:val="300"/>
        </w:trPr>
        <w:tc>
          <w:tcPr>
            <w:tcW w:w="3871" w:type="dxa"/>
            <w:tcBorders>
              <w:top w:val="nil"/>
              <w:left w:val="single" w:sz="4" w:space="0" w:color="auto"/>
              <w:bottom w:val="single" w:sz="4" w:space="0" w:color="auto"/>
              <w:right w:val="nil"/>
            </w:tcBorders>
            <w:shd w:val="clear" w:color="auto" w:fill="auto"/>
            <w:noWrap/>
            <w:vAlign w:val="bottom"/>
            <w:hideMark/>
          </w:tcPr>
          <w:p w:rsidR="00FA795D" w:rsidRPr="00FA795D" w:rsidRDefault="00FA795D" w:rsidP="00FA795D">
            <w:pPr>
              <w:spacing w:line="240" w:lineRule="auto"/>
              <w:jc w:val="left"/>
              <w:rPr>
                <w:rFonts w:ascii="Arial" w:eastAsia="Times New Roman" w:hAnsi="Arial" w:cs="Arial"/>
                <w:sz w:val="20"/>
                <w:szCs w:val="20"/>
                <w:lang w:eastAsia="sk-SK"/>
              </w:rPr>
            </w:pPr>
            <w:r w:rsidRPr="00FA795D">
              <w:rPr>
                <w:rFonts w:ascii="Arial" w:eastAsia="Times New Roman" w:hAnsi="Arial" w:cs="Arial"/>
                <w:sz w:val="20"/>
                <w:szCs w:val="20"/>
                <w:lang w:eastAsia="sk-SK"/>
              </w:rPr>
              <w:t>Obchodné a ostatné dlhodobé záväzky</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5 914 420</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6 880 600</w:t>
            </w:r>
          </w:p>
        </w:tc>
        <w:tc>
          <w:tcPr>
            <w:tcW w:w="1333"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40"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9 639 187</w:t>
            </w:r>
          </w:p>
        </w:tc>
      </w:tr>
      <w:tr w:rsidR="00FA795D" w:rsidRPr="00FA795D" w:rsidTr="00FA795D">
        <w:trPr>
          <w:trHeight w:val="285"/>
        </w:trPr>
        <w:tc>
          <w:tcPr>
            <w:tcW w:w="3871" w:type="dxa"/>
            <w:tcBorders>
              <w:top w:val="single" w:sz="4" w:space="0" w:color="auto"/>
              <w:left w:val="single" w:sz="4" w:space="0" w:color="auto"/>
              <w:bottom w:val="single" w:sz="4" w:space="0" w:color="auto"/>
              <w:right w:val="nil"/>
            </w:tcBorders>
            <w:shd w:val="clear" w:color="auto" w:fill="auto"/>
            <w:noWrap/>
            <w:hideMark/>
          </w:tcPr>
          <w:p w:rsidR="00FA795D" w:rsidRDefault="00FA795D" w:rsidP="00FA795D">
            <w:pPr>
              <w:spacing w:line="240" w:lineRule="auto"/>
              <w:jc w:val="left"/>
              <w:rPr>
                <w:rFonts w:ascii="Arial" w:eastAsia="Times New Roman" w:hAnsi="Arial" w:cs="Arial"/>
                <w:b/>
                <w:bCs/>
                <w:sz w:val="20"/>
                <w:szCs w:val="20"/>
                <w:lang w:eastAsia="sk-SK"/>
              </w:rPr>
            </w:pPr>
          </w:p>
          <w:p w:rsidR="00FA795D" w:rsidRPr="00FA795D" w:rsidRDefault="00FA795D" w:rsidP="00FA795D">
            <w:pPr>
              <w:spacing w:line="240" w:lineRule="auto"/>
              <w:jc w:val="left"/>
              <w:rPr>
                <w:rFonts w:ascii="Arial" w:eastAsia="Times New Roman" w:hAnsi="Arial" w:cs="Arial"/>
                <w:b/>
                <w:bCs/>
                <w:sz w:val="20"/>
                <w:szCs w:val="20"/>
                <w:lang w:eastAsia="sk-SK"/>
              </w:rPr>
            </w:pPr>
            <w:r w:rsidRPr="00FA795D">
              <w:rPr>
                <w:rFonts w:ascii="Arial" w:eastAsia="Times New Roman" w:hAnsi="Arial" w:cs="Arial"/>
                <w:b/>
                <w:bCs/>
                <w:sz w:val="20"/>
                <w:szCs w:val="20"/>
                <w:lang w:eastAsia="sk-SK"/>
              </w:rPr>
              <w:t>Neobežné záväzky spolu</w:t>
            </w:r>
          </w:p>
        </w:tc>
        <w:tc>
          <w:tcPr>
            <w:tcW w:w="2118" w:type="dxa"/>
            <w:tcBorders>
              <w:top w:val="single" w:sz="4" w:space="0" w:color="auto"/>
              <w:left w:val="nil"/>
              <w:bottom w:val="single" w:sz="4" w:space="0" w:color="auto"/>
              <w:right w:val="single" w:sz="4" w:space="0" w:color="auto"/>
            </w:tcBorders>
            <w:shd w:val="clear" w:color="auto" w:fill="auto"/>
            <w:noWrap/>
            <w:vAlign w:val="bottom"/>
            <w:hideMark/>
          </w:tcPr>
          <w:p w:rsidR="00FA795D" w:rsidRPr="00FA795D" w:rsidRDefault="00FA795D" w:rsidP="00FA795D">
            <w:pPr>
              <w:spacing w:line="276"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23 474 578</w:t>
            </w:r>
          </w:p>
        </w:tc>
        <w:tc>
          <w:tcPr>
            <w:tcW w:w="2118" w:type="dxa"/>
            <w:tcBorders>
              <w:top w:val="single" w:sz="4" w:space="0" w:color="auto"/>
              <w:left w:val="nil"/>
              <w:bottom w:val="single" w:sz="4" w:space="0" w:color="auto"/>
              <w:right w:val="single" w:sz="4" w:space="0" w:color="auto"/>
            </w:tcBorders>
            <w:shd w:val="clear" w:color="auto" w:fill="auto"/>
            <w:noWrap/>
            <w:vAlign w:val="bottom"/>
            <w:hideMark/>
          </w:tcPr>
          <w:p w:rsidR="00FA795D" w:rsidRPr="00FA795D" w:rsidRDefault="00FA795D" w:rsidP="00FA795D">
            <w:pPr>
              <w:spacing w:line="276"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20 206 094</w:t>
            </w:r>
          </w:p>
        </w:tc>
        <w:tc>
          <w:tcPr>
            <w:tcW w:w="1333" w:type="dxa"/>
            <w:tcBorders>
              <w:top w:val="single" w:sz="4" w:space="0" w:color="auto"/>
              <w:left w:val="nil"/>
              <w:bottom w:val="single" w:sz="4" w:space="0" w:color="auto"/>
              <w:right w:val="single" w:sz="4" w:space="0" w:color="auto"/>
            </w:tcBorders>
            <w:shd w:val="clear" w:color="auto" w:fill="auto"/>
            <w:noWrap/>
            <w:vAlign w:val="bottom"/>
            <w:hideMark/>
          </w:tcPr>
          <w:p w:rsidR="00FA795D" w:rsidRPr="00FA795D" w:rsidRDefault="00FA795D" w:rsidP="00FA795D">
            <w:pPr>
              <w:spacing w:line="276"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20 150 639</w:t>
            </w:r>
          </w:p>
        </w:tc>
      </w:tr>
      <w:tr w:rsidR="00FA795D" w:rsidRPr="00FA795D" w:rsidTr="00FA795D">
        <w:trPr>
          <w:trHeight w:val="300"/>
        </w:trPr>
        <w:tc>
          <w:tcPr>
            <w:tcW w:w="3871" w:type="dxa"/>
            <w:tcBorders>
              <w:top w:val="nil"/>
              <w:left w:val="single" w:sz="4" w:space="0" w:color="auto"/>
              <w:bottom w:val="single" w:sz="4" w:space="0" w:color="auto"/>
              <w:right w:val="nil"/>
            </w:tcBorders>
            <w:shd w:val="clear" w:color="auto" w:fill="auto"/>
            <w:noWrap/>
            <w:vAlign w:val="bottom"/>
            <w:hideMark/>
          </w:tcPr>
          <w:p w:rsidR="00FA795D" w:rsidRPr="00FA795D" w:rsidRDefault="00FA795D" w:rsidP="00FA795D">
            <w:pPr>
              <w:spacing w:line="240" w:lineRule="auto"/>
              <w:jc w:val="left"/>
              <w:rPr>
                <w:rFonts w:ascii="Arial" w:eastAsia="Times New Roman" w:hAnsi="Arial" w:cs="Arial"/>
                <w:sz w:val="20"/>
                <w:szCs w:val="20"/>
                <w:lang w:eastAsia="sk-SK"/>
              </w:rPr>
            </w:pPr>
            <w:r w:rsidRPr="00FA795D">
              <w:rPr>
                <w:rFonts w:ascii="Arial" w:eastAsia="Times New Roman" w:hAnsi="Arial" w:cs="Arial"/>
                <w:sz w:val="20"/>
                <w:szCs w:val="20"/>
                <w:lang w:eastAsia="sk-SK"/>
              </w:rPr>
              <w:t> </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76"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 </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76"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 </w:t>
            </w:r>
          </w:p>
        </w:tc>
        <w:tc>
          <w:tcPr>
            <w:tcW w:w="1333"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76"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 </w:t>
            </w:r>
          </w:p>
        </w:tc>
      </w:tr>
      <w:tr w:rsidR="00FA795D" w:rsidRPr="00FA795D" w:rsidTr="00FA795D">
        <w:trPr>
          <w:trHeight w:val="285"/>
        </w:trPr>
        <w:tc>
          <w:tcPr>
            <w:tcW w:w="3871" w:type="dxa"/>
            <w:tcBorders>
              <w:top w:val="nil"/>
              <w:left w:val="single" w:sz="4" w:space="0" w:color="auto"/>
              <w:bottom w:val="single" w:sz="4" w:space="0" w:color="auto"/>
              <w:right w:val="nil"/>
            </w:tcBorders>
            <w:shd w:val="clear" w:color="auto" w:fill="auto"/>
            <w:noWrap/>
            <w:vAlign w:val="bottom"/>
            <w:hideMark/>
          </w:tcPr>
          <w:p w:rsidR="00FA795D" w:rsidRPr="00FA795D" w:rsidRDefault="00FA795D" w:rsidP="00FA795D">
            <w:pPr>
              <w:spacing w:line="240" w:lineRule="auto"/>
              <w:jc w:val="left"/>
              <w:rPr>
                <w:rFonts w:ascii="Arial" w:eastAsia="Times New Roman" w:hAnsi="Arial" w:cs="Arial"/>
                <w:b/>
                <w:bCs/>
                <w:sz w:val="20"/>
                <w:szCs w:val="20"/>
                <w:lang w:eastAsia="sk-SK"/>
              </w:rPr>
            </w:pPr>
            <w:r w:rsidRPr="00FA795D">
              <w:rPr>
                <w:rFonts w:ascii="Arial" w:eastAsia="Times New Roman" w:hAnsi="Arial" w:cs="Arial"/>
                <w:b/>
                <w:bCs/>
                <w:sz w:val="20"/>
                <w:szCs w:val="20"/>
                <w:lang w:eastAsia="sk-SK"/>
              </w:rPr>
              <w:t xml:space="preserve">Obežné záväzky </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76"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 </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76"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 </w:t>
            </w:r>
          </w:p>
        </w:tc>
        <w:tc>
          <w:tcPr>
            <w:tcW w:w="1333"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76"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 </w:t>
            </w:r>
          </w:p>
        </w:tc>
      </w:tr>
      <w:tr w:rsidR="00FA795D" w:rsidRPr="00FA795D" w:rsidTr="00FA795D">
        <w:trPr>
          <w:trHeight w:val="300"/>
        </w:trPr>
        <w:tc>
          <w:tcPr>
            <w:tcW w:w="3871" w:type="dxa"/>
            <w:tcBorders>
              <w:top w:val="nil"/>
              <w:left w:val="single" w:sz="4" w:space="0" w:color="auto"/>
              <w:bottom w:val="single" w:sz="4" w:space="0" w:color="auto"/>
              <w:right w:val="nil"/>
            </w:tcBorders>
            <w:shd w:val="clear" w:color="auto" w:fill="auto"/>
            <w:noWrap/>
            <w:vAlign w:val="bottom"/>
            <w:hideMark/>
          </w:tcPr>
          <w:p w:rsidR="00FA795D" w:rsidRPr="00FA795D" w:rsidRDefault="00FA795D" w:rsidP="00FA795D">
            <w:pPr>
              <w:spacing w:line="240" w:lineRule="auto"/>
              <w:jc w:val="left"/>
              <w:rPr>
                <w:rFonts w:ascii="Arial" w:eastAsia="Times New Roman" w:hAnsi="Arial" w:cs="Arial"/>
                <w:sz w:val="20"/>
                <w:szCs w:val="20"/>
                <w:lang w:eastAsia="sk-SK"/>
              </w:rPr>
            </w:pPr>
            <w:r w:rsidRPr="00FA795D">
              <w:rPr>
                <w:rFonts w:ascii="Arial" w:eastAsia="Times New Roman" w:hAnsi="Arial" w:cs="Arial"/>
                <w:sz w:val="20"/>
                <w:szCs w:val="20"/>
                <w:lang w:eastAsia="sk-SK"/>
              </w:rPr>
              <w:t>Obchodné a ostatné záväzky</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76"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15 115 335</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76"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15 709 964</w:t>
            </w:r>
          </w:p>
        </w:tc>
        <w:tc>
          <w:tcPr>
            <w:tcW w:w="1333"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76"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15 545 926</w:t>
            </w:r>
          </w:p>
        </w:tc>
      </w:tr>
      <w:tr w:rsidR="00FA795D" w:rsidRPr="00FA795D" w:rsidTr="00FA795D">
        <w:trPr>
          <w:trHeight w:val="300"/>
        </w:trPr>
        <w:tc>
          <w:tcPr>
            <w:tcW w:w="3871" w:type="dxa"/>
            <w:tcBorders>
              <w:top w:val="nil"/>
              <w:left w:val="single" w:sz="4" w:space="0" w:color="auto"/>
              <w:bottom w:val="single" w:sz="4" w:space="0" w:color="auto"/>
              <w:right w:val="nil"/>
            </w:tcBorders>
            <w:shd w:val="clear" w:color="auto" w:fill="auto"/>
            <w:noWrap/>
            <w:vAlign w:val="bottom"/>
            <w:hideMark/>
          </w:tcPr>
          <w:p w:rsidR="00FA795D" w:rsidRPr="00FA795D" w:rsidRDefault="00FA795D" w:rsidP="00FA795D">
            <w:pPr>
              <w:spacing w:line="240" w:lineRule="auto"/>
              <w:jc w:val="left"/>
              <w:rPr>
                <w:rFonts w:ascii="Arial" w:eastAsia="Times New Roman" w:hAnsi="Arial" w:cs="Arial"/>
                <w:sz w:val="20"/>
                <w:szCs w:val="20"/>
                <w:lang w:eastAsia="sk-SK"/>
              </w:rPr>
            </w:pPr>
            <w:r w:rsidRPr="00FA795D">
              <w:rPr>
                <w:rFonts w:ascii="Arial" w:eastAsia="Times New Roman" w:hAnsi="Arial" w:cs="Arial"/>
                <w:sz w:val="20"/>
                <w:szCs w:val="20"/>
                <w:lang w:eastAsia="sk-SK"/>
              </w:rPr>
              <w:t xml:space="preserve">Daň z príjmov </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76"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2 880</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76"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0</w:t>
            </w:r>
          </w:p>
        </w:tc>
        <w:tc>
          <w:tcPr>
            <w:tcW w:w="1333"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76"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0</w:t>
            </w:r>
          </w:p>
        </w:tc>
      </w:tr>
      <w:tr w:rsidR="00FA795D" w:rsidRPr="00FA795D" w:rsidTr="00FA795D">
        <w:trPr>
          <w:trHeight w:val="300"/>
        </w:trPr>
        <w:tc>
          <w:tcPr>
            <w:tcW w:w="3871" w:type="dxa"/>
            <w:tcBorders>
              <w:top w:val="nil"/>
              <w:left w:val="single" w:sz="4" w:space="0" w:color="auto"/>
              <w:bottom w:val="single" w:sz="4" w:space="0" w:color="auto"/>
              <w:right w:val="nil"/>
            </w:tcBorders>
            <w:shd w:val="clear" w:color="auto" w:fill="auto"/>
            <w:noWrap/>
            <w:vAlign w:val="bottom"/>
            <w:hideMark/>
          </w:tcPr>
          <w:p w:rsidR="00FA795D" w:rsidRPr="00FA795D" w:rsidRDefault="00FA795D" w:rsidP="00FA795D">
            <w:pPr>
              <w:spacing w:line="240" w:lineRule="auto"/>
              <w:jc w:val="left"/>
              <w:rPr>
                <w:rFonts w:ascii="Arial" w:eastAsia="Times New Roman" w:hAnsi="Arial" w:cs="Arial"/>
                <w:sz w:val="20"/>
                <w:szCs w:val="20"/>
                <w:lang w:eastAsia="sk-SK"/>
              </w:rPr>
            </w:pPr>
            <w:r w:rsidRPr="00FA795D">
              <w:rPr>
                <w:rFonts w:ascii="Arial" w:eastAsia="Times New Roman" w:hAnsi="Arial" w:cs="Arial"/>
                <w:sz w:val="20"/>
                <w:szCs w:val="20"/>
                <w:lang w:eastAsia="sk-SK"/>
              </w:rPr>
              <w:t>Zamestnanecké požitky</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76"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493 788</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76"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173 891</w:t>
            </w:r>
          </w:p>
        </w:tc>
        <w:tc>
          <w:tcPr>
            <w:tcW w:w="1333"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76"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46 334</w:t>
            </w:r>
          </w:p>
        </w:tc>
      </w:tr>
      <w:tr w:rsidR="00FA795D" w:rsidRPr="00FA795D" w:rsidTr="00FA795D">
        <w:trPr>
          <w:trHeight w:val="300"/>
        </w:trPr>
        <w:tc>
          <w:tcPr>
            <w:tcW w:w="3871" w:type="dxa"/>
            <w:tcBorders>
              <w:top w:val="nil"/>
              <w:left w:val="single" w:sz="4" w:space="0" w:color="auto"/>
              <w:bottom w:val="single" w:sz="4" w:space="0" w:color="auto"/>
              <w:right w:val="nil"/>
            </w:tcBorders>
            <w:shd w:val="clear" w:color="auto" w:fill="auto"/>
            <w:noWrap/>
            <w:vAlign w:val="bottom"/>
            <w:hideMark/>
          </w:tcPr>
          <w:p w:rsidR="00FA795D" w:rsidRPr="00FA795D" w:rsidRDefault="00FA795D" w:rsidP="00FA795D">
            <w:pPr>
              <w:spacing w:line="240" w:lineRule="auto"/>
              <w:jc w:val="left"/>
              <w:rPr>
                <w:rFonts w:ascii="Arial" w:eastAsia="Times New Roman" w:hAnsi="Arial" w:cs="Arial"/>
                <w:sz w:val="20"/>
                <w:szCs w:val="20"/>
                <w:lang w:eastAsia="sk-SK"/>
              </w:rPr>
            </w:pPr>
            <w:r w:rsidRPr="00FA795D">
              <w:rPr>
                <w:rFonts w:ascii="Arial" w:eastAsia="Times New Roman" w:hAnsi="Arial" w:cs="Arial"/>
                <w:sz w:val="20"/>
                <w:szCs w:val="20"/>
                <w:lang w:eastAsia="sk-SK"/>
              </w:rPr>
              <w:t>Záväzky z finančného leasingu</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76"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0</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76"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300 401</w:t>
            </w:r>
          </w:p>
        </w:tc>
        <w:tc>
          <w:tcPr>
            <w:tcW w:w="1333"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76"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906 762</w:t>
            </w:r>
          </w:p>
        </w:tc>
      </w:tr>
      <w:tr w:rsidR="00FA795D" w:rsidRPr="00FA795D" w:rsidTr="00FA795D">
        <w:trPr>
          <w:trHeight w:val="285"/>
        </w:trPr>
        <w:tc>
          <w:tcPr>
            <w:tcW w:w="3871" w:type="dxa"/>
            <w:tcBorders>
              <w:top w:val="nil"/>
              <w:left w:val="single" w:sz="4" w:space="0" w:color="auto"/>
              <w:bottom w:val="single" w:sz="4" w:space="0" w:color="auto"/>
              <w:right w:val="nil"/>
            </w:tcBorders>
            <w:shd w:val="clear" w:color="auto" w:fill="auto"/>
            <w:noWrap/>
            <w:vAlign w:val="bottom"/>
            <w:hideMark/>
          </w:tcPr>
          <w:p w:rsidR="00FA795D" w:rsidRPr="00FA795D" w:rsidRDefault="00FA795D" w:rsidP="00FA795D">
            <w:pPr>
              <w:spacing w:line="240" w:lineRule="auto"/>
              <w:jc w:val="left"/>
              <w:rPr>
                <w:rFonts w:ascii="Arial" w:eastAsia="Times New Roman" w:hAnsi="Arial" w:cs="Arial"/>
                <w:sz w:val="20"/>
                <w:szCs w:val="20"/>
                <w:lang w:eastAsia="sk-SK"/>
              </w:rPr>
            </w:pPr>
            <w:r w:rsidRPr="00FA795D">
              <w:rPr>
                <w:rFonts w:ascii="Arial" w:eastAsia="Times New Roman" w:hAnsi="Arial" w:cs="Arial"/>
                <w:sz w:val="20"/>
                <w:szCs w:val="20"/>
                <w:lang w:eastAsia="sk-SK"/>
              </w:rPr>
              <w:t>Bankové úvery a kontokorentné účty</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76"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5 852 000</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76"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5 485 547</w:t>
            </w:r>
          </w:p>
        </w:tc>
        <w:tc>
          <w:tcPr>
            <w:tcW w:w="1333"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76"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9 255 080</w:t>
            </w:r>
          </w:p>
        </w:tc>
      </w:tr>
      <w:tr w:rsidR="00FA795D" w:rsidRPr="00FA795D" w:rsidTr="00FA795D">
        <w:trPr>
          <w:trHeight w:val="285"/>
        </w:trPr>
        <w:tc>
          <w:tcPr>
            <w:tcW w:w="3871" w:type="dxa"/>
            <w:tcBorders>
              <w:top w:val="nil"/>
              <w:left w:val="single" w:sz="4" w:space="0" w:color="auto"/>
              <w:bottom w:val="single" w:sz="4" w:space="0" w:color="auto"/>
              <w:right w:val="nil"/>
            </w:tcBorders>
            <w:shd w:val="clear" w:color="auto" w:fill="auto"/>
            <w:noWrap/>
            <w:vAlign w:val="bottom"/>
            <w:hideMark/>
          </w:tcPr>
          <w:p w:rsidR="00FA795D" w:rsidRPr="00FA795D" w:rsidRDefault="00FA795D" w:rsidP="00FA795D">
            <w:pPr>
              <w:spacing w:line="240" w:lineRule="auto"/>
              <w:jc w:val="left"/>
              <w:rPr>
                <w:rFonts w:ascii="Arial" w:eastAsia="Times New Roman" w:hAnsi="Arial" w:cs="Arial"/>
                <w:b/>
                <w:bCs/>
                <w:sz w:val="20"/>
                <w:szCs w:val="20"/>
                <w:lang w:eastAsia="sk-SK"/>
              </w:rPr>
            </w:pPr>
            <w:r w:rsidRPr="00FA795D">
              <w:rPr>
                <w:rFonts w:ascii="Arial" w:eastAsia="Times New Roman" w:hAnsi="Arial" w:cs="Arial"/>
                <w:b/>
                <w:bCs/>
                <w:sz w:val="20"/>
                <w:szCs w:val="20"/>
                <w:lang w:eastAsia="sk-SK"/>
              </w:rPr>
              <w:t>Obežné záväzky spolu</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76"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21 464 003</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76"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21 669 803</w:t>
            </w:r>
          </w:p>
        </w:tc>
        <w:tc>
          <w:tcPr>
            <w:tcW w:w="1333"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76"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25 754 102</w:t>
            </w:r>
          </w:p>
        </w:tc>
      </w:tr>
      <w:tr w:rsidR="00FA795D" w:rsidRPr="00FA795D" w:rsidTr="00FA795D">
        <w:trPr>
          <w:trHeight w:val="285"/>
        </w:trPr>
        <w:tc>
          <w:tcPr>
            <w:tcW w:w="3871" w:type="dxa"/>
            <w:tcBorders>
              <w:top w:val="nil"/>
              <w:left w:val="single" w:sz="4" w:space="0" w:color="auto"/>
              <w:bottom w:val="single" w:sz="4" w:space="0" w:color="auto"/>
              <w:right w:val="nil"/>
            </w:tcBorders>
            <w:shd w:val="clear" w:color="auto" w:fill="auto"/>
            <w:noWrap/>
            <w:vAlign w:val="bottom"/>
            <w:hideMark/>
          </w:tcPr>
          <w:p w:rsidR="00FA795D" w:rsidRPr="00FA795D" w:rsidRDefault="00FA795D" w:rsidP="00FA795D">
            <w:pPr>
              <w:spacing w:line="240" w:lineRule="auto"/>
              <w:jc w:val="left"/>
              <w:rPr>
                <w:rFonts w:ascii="Arial" w:eastAsia="Times New Roman" w:hAnsi="Arial" w:cs="Arial"/>
                <w:b/>
                <w:bCs/>
                <w:sz w:val="20"/>
                <w:szCs w:val="20"/>
                <w:lang w:eastAsia="sk-SK"/>
              </w:rPr>
            </w:pPr>
            <w:r w:rsidRPr="00FA795D">
              <w:rPr>
                <w:rFonts w:ascii="Arial" w:eastAsia="Times New Roman" w:hAnsi="Arial" w:cs="Arial"/>
                <w:b/>
                <w:bCs/>
                <w:sz w:val="20"/>
                <w:szCs w:val="20"/>
                <w:lang w:eastAsia="sk-SK"/>
              </w:rPr>
              <w:t>Záväzky spolu</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76"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44 938 581</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76"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41 875 897</w:t>
            </w:r>
          </w:p>
        </w:tc>
        <w:tc>
          <w:tcPr>
            <w:tcW w:w="1333"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76"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45 904 741</w:t>
            </w:r>
          </w:p>
        </w:tc>
      </w:tr>
      <w:tr w:rsidR="00FA795D" w:rsidRPr="00FA795D" w:rsidTr="00FA795D">
        <w:trPr>
          <w:trHeight w:val="270"/>
        </w:trPr>
        <w:tc>
          <w:tcPr>
            <w:tcW w:w="3871" w:type="dxa"/>
            <w:tcBorders>
              <w:top w:val="nil"/>
              <w:left w:val="single" w:sz="4" w:space="0" w:color="auto"/>
              <w:bottom w:val="single" w:sz="4" w:space="0" w:color="auto"/>
              <w:right w:val="nil"/>
            </w:tcBorders>
            <w:shd w:val="clear" w:color="auto" w:fill="auto"/>
            <w:noWrap/>
            <w:vAlign w:val="bottom"/>
            <w:hideMark/>
          </w:tcPr>
          <w:p w:rsidR="00FA795D" w:rsidRPr="00FA795D" w:rsidRDefault="00FA795D" w:rsidP="00FA795D">
            <w:pPr>
              <w:spacing w:line="240" w:lineRule="auto"/>
              <w:jc w:val="left"/>
              <w:rPr>
                <w:rFonts w:ascii="Arial" w:eastAsia="Times New Roman" w:hAnsi="Arial" w:cs="Arial"/>
                <w:b/>
                <w:bCs/>
                <w:sz w:val="20"/>
                <w:szCs w:val="20"/>
                <w:lang w:eastAsia="sk-SK"/>
              </w:rPr>
            </w:pPr>
            <w:r w:rsidRPr="00FA795D">
              <w:rPr>
                <w:rFonts w:ascii="Arial" w:eastAsia="Times New Roman" w:hAnsi="Arial" w:cs="Arial"/>
                <w:b/>
                <w:bCs/>
                <w:sz w:val="20"/>
                <w:szCs w:val="20"/>
                <w:lang w:eastAsia="sk-SK"/>
              </w:rPr>
              <w:t>Vlastné imanie a záväzky spolu</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76"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122 291 026</w:t>
            </w:r>
          </w:p>
        </w:tc>
        <w:tc>
          <w:tcPr>
            <w:tcW w:w="2118"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76"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118 263 976</w:t>
            </w:r>
          </w:p>
        </w:tc>
        <w:tc>
          <w:tcPr>
            <w:tcW w:w="1333" w:type="dxa"/>
            <w:tcBorders>
              <w:top w:val="nil"/>
              <w:left w:val="nil"/>
              <w:bottom w:val="single" w:sz="4" w:space="0" w:color="auto"/>
              <w:right w:val="single" w:sz="4" w:space="0" w:color="auto"/>
            </w:tcBorders>
            <w:shd w:val="clear" w:color="auto" w:fill="auto"/>
            <w:noWrap/>
            <w:vAlign w:val="center"/>
            <w:hideMark/>
          </w:tcPr>
          <w:p w:rsidR="00FA795D" w:rsidRPr="00FA795D" w:rsidRDefault="00FA795D" w:rsidP="00FA795D">
            <w:pPr>
              <w:spacing w:line="276" w:lineRule="auto"/>
              <w:jc w:val="right"/>
              <w:rPr>
                <w:rFonts w:ascii="Arial" w:eastAsia="Times New Roman" w:hAnsi="Arial" w:cs="Arial"/>
                <w:sz w:val="20"/>
                <w:szCs w:val="20"/>
                <w:lang w:eastAsia="sk-SK"/>
              </w:rPr>
            </w:pPr>
            <w:r w:rsidRPr="00FA795D">
              <w:rPr>
                <w:rFonts w:ascii="Arial" w:eastAsia="Times New Roman" w:hAnsi="Arial" w:cs="Arial"/>
                <w:sz w:val="20"/>
                <w:szCs w:val="20"/>
                <w:lang w:eastAsia="sk-SK"/>
              </w:rPr>
              <w:t>119 845 729</w:t>
            </w:r>
          </w:p>
        </w:tc>
      </w:tr>
    </w:tbl>
    <w:p w:rsidR="00FA795D" w:rsidRPr="00FA795D" w:rsidRDefault="00FA795D" w:rsidP="00A01CDB">
      <w:pPr>
        <w:rPr>
          <w:b/>
        </w:rPr>
      </w:pPr>
    </w:p>
    <w:sectPr w:rsidR="00FA795D" w:rsidRPr="00FA795D" w:rsidSect="004B1638">
      <w:footerReference w:type="default" r:id="rId18"/>
      <w:type w:val="continuous"/>
      <w:pgSz w:w="11906" w:h="16838"/>
      <w:pgMar w:top="1418" w:right="851" w:bottom="1134" w:left="1985" w:header="709" w:footer="709" w:gutter="0"/>
      <w:pgNumType w:start="1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1581" w:rsidRDefault="00801581" w:rsidP="00154127">
      <w:pPr>
        <w:spacing w:line="240" w:lineRule="auto"/>
      </w:pPr>
      <w:r>
        <w:separator/>
      </w:r>
    </w:p>
  </w:endnote>
  <w:endnote w:type="continuationSeparator" w:id="0">
    <w:p w:rsidR="00801581" w:rsidRDefault="00801581" w:rsidP="0015412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3428653"/>
      <w:docPartObj>
        <w:docPartGallery w:val="Page Numbers (Bottom of Page)"/>
        <w:docPartUnique/>
      </w:docPartObj>
    </w:sdtPr>
    <w:sdtContent>
      <w:p w:rsidR="00D60A38" w:rsidRDefault="00D60A38">
        <w:pPr>
          <w:pStyle w:val="Pta"/>
          <w:jc w:val="center"/>
        </w:pPr>
        <w:fldSimple w:instr=" PAGE   \* MERGEFORMAT ">
          <w:r w:rsidR="00EC4F5C">
            <w:rPr>
              <w:noProof/>
            </w:rPr>
            <w:t>68</w:t>
          </w:r>
        </w:fldSimple>
      </w:p>
    </w:sdtContent>
  </w:sdt>
  <w:p w:rsidR="00D60A38" w:rsidRDefault="00D60A38">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1581" w:rsidRDefault="00801581" w:rsidP="00154127">
      <w:pPr>
        <w:spacing w:line="240" w:lineRule="auto"/>
      </w:pPr>
      <w:r>
        <w:separator/>
      </w:r>
    </w:p>
  </w:footnote>
  <w:footnote w:type="continuationSeparator" w:id="0">
    <w:p w:rsidR="00801581" w:rsidRDefault="00801581" w:rsidP="00154127">
      <w:pPr>
        <w:spacing w:line="240" w:lineRule="auto"/>
      </w:pPr>
      <w:r>
        <w:continuationSeparator/>
      </w:r>
    </w:p>
  </w:footnote>
  <w:footnote w:id="1">
    <w:p w:rsidR="00D60A38" w:rsidRDefault="00D60A38" w:rsidP="001B7250">
      <w:pPr>
        <w:pStyle w:val="Textpoznmkypodiarou"/>
      </w:pPr>
      <w:r>
        <w:rPr>
          <w:rStyle w:val="Odkaznapoznmkupodiarou"/>
        </w:rPr>
        <w:footnoteRef/>
      </w:r>
      <w:r>
        <w:t xml:space="preserve"> SEDLÁČEK J., </w:t>
      </w:r>
      <w:r w:rsidRPr="00DB6E5D">
        <w:rPr>
          <w:i/>
        </w:rPr>
        <w:t xml:space="preserve">Finanční </w:t>
      </w:r>
      <w:proofErr w:type="spellStart"/>
      <w:r w:rsidRPr="00DB6E5D">
        <w:rPr>
          <w:i/>
        </w:rPr>
        <w:t>účetnictví</w:t>
      </w:r>
      <w:proofErr w:type="spellEnd"/>
      <w:r>
        <w:rPr>
          <w:i/>
        </w:rPr>
        <w:t>.</w:t>
      </w:r>
      <w:r>
        <w:t xml:space="preserve"> 1.vyd. Brno: Masarykova univerzita, 2010. 240 s. ISBN 978-80-210-5268-0</w:t>
      </w:r>
    </w:p>
  </w:footnote>
  <w:footnote w:id="2">
    <w:p w:rsidR="00D60A38" w:rsidRDefault="00D60A38">
      <w:pPr>
        <w:pStyle w:val="Textpoznmkypodiarou"/>
      </w:pPr>
      <w:r>
        <w:rPr>
          <w:rStyle w:val="Odkaznapoznmkupodiarou"/>
        </w:rPr>
        <w:footnoteRef/>
      </w:r>
      <w:r>
        <w:t xml:space="preserve"> Medzinárodné štandardy účtovného výkazníctva: Predslov.</w:t>
      </w:r>
    </w:p>
  </w:footnote>
  <w:footnote w:id="3">
    <w:p w:rsidR="00D60A38" w:rsidRPr="001143E8" w:rsidRDefault="00D60A38" w:rsidP="007F6324">
      <w:pPr>
        <w:pStyle w:val="Textpoznmkypodiarou"/>
      </w:pPr>
      <w:r>
        <w:rPr>
          <w:rStyle w:val="Odkaznapoznmkupodiarou"/>
        </w:rPr>
        <w:footnoteRef/>
      </w:r>
      <w:r>
        <w:t xml:space="preserve"> DVOŘÁKOVÁ D., </w:t>
      </w:r>
      <w:r w:rsidRPr="001143E8">
        <w:rPr>
          <w:i/>
        </w:rPr>
        <w:t xml:space="preserve">Finanční </w:t>
      </w:r>
      <w:proofErr w:type="spellStart"/>
      <w:r w:rsidRPr="001143E8">
        <w:rPr>
          <w:i/>
        </w:rPr>
        <w:t>účetnictví</w:t>
      </w:r>
      <w:proofErr w:type="spellEnd"/>
      <w:r w:rsidRPr="001143E8">
        <w:rPr>
          <w:i/>
        </w:rPr>
        <w:t xml:space="preserve"> a </w:t>
      </w:r>
      <w:proofErr w:type="spellStart"/>
      <w:r w:rsidRPr="001143E8">
        <w:rPr>
          <w:i/>
        </w:rPr>
        <w:t>výkaznictví</w:t>
      </w:r>
      <w:proofErr w:type="spellEnd"/>
      <w:r w:rsidRPr="001143E8">
        <w:rPr>
          <w:i/>
        </w:rPr>
        <w:t xml:space="preserve"> </w:t>
      </w:r>
      <w:proofErr w:type="spellStart"/>
      <w:r w:rsidRPr="001143E8">
        <w:rPr>
          <w:i/>
        </w:rPr>
        <w:t>po</w:t>
      </w:r>
      <w:r>
        <w:rPr>
          <w:i/>
        </w:rPr>
        <w:t>dle</w:t>
      </w:r>
      <w:proofErr w:type="spellEnd"/>
      <w:r>
        <w:rPr>
          <w:i/>
        </w:rPr>
        <w:t xml:space="preserve"> </w:t>
      </w:r>
      <w:proofErr w:type="spellStart"/>
      <w:r>
        <w:rPr>
          <w:i/>
        </w:rPr>
        <w:t>mezinárodních</w:t>
      </w:r>
      <w:proofErr w:type="spellEnd"/>
      <w:r>
        <w:rPr>
          <w:i/>
        </w:rPr>
        <w:t xml:space="preserve"> </w:t>
      </w:r>
      <w:proofErr w:type="spellStart"/>
      <w:r>
        <w:rPr>
          <w:i/>
        </w:rPr>
        <w:t>standardů</w:t>
      </w:r>
      <w:proofErr w:type="spellEnd"/>
      <w:r>
        <w:rPr>
          <w:i/>
        </w:rPr>
        <w:t xml:space="preserve"> IFRS. </w:t>
      </w:r>
      <w:r>
        <w:t xml:space="preserve">4. </w:t>
      </w:r>
      <w:proofErr w:type="spellStart"/>
      <w:r>
        <w:t>aktualiz</w:t>
      </w:r>
      <w:proofErr w:type="spellEnd"/>
      <w:r>
        <w:t xml:space="preserve">. vydanie. Brno: </w:t>
      </w:r>
      <w:proofErr w:type="spellStart"/>
      <w:r>
        <w:t>BizBooks</w:t>
      </w:r>
      <w:proofErr w:type="spellEnd"/>
      <w:r>
        <w:t>, 2014. ISBN 327 s. ISBN 978-80-265-0149-7</w:t>
      </w:r>
    </w:p>
  </w:footnote>
  <w:footnote w:id="4">
    <w:p w:rsidR="00D60A38" w:rsidRDefault="00D60A38" w:rsidP="00232634">
      <w:pPr>
        <w:pStyle w:val="Textpoznmkypodiarou"/>
      </w:pPr>
      <w:r>
        <w:rPr>
          <w:rStyle w:val="Odkaznapoznmkupodiarou"/>
        </w:rPr>
        <w:footnoteRef/>
      </w:r>
      <w:r>
        <w:t xml:space="preserve"> </w:t>
      </w:r>
      <w:r w:rsidRPr="00795BD0">
        <w:rPr>
          <w:i/>
        </w:rPr>
        <w:t>Medzinárodný štandard finančného výkazníctva č. 37: Rezervy a podmienené záväzky.</w:t>
      </w:r>
    </w:p>
  </w:footnote>
  <w:footnote w:id="5">
    <w:p w:rsidR="00D60A38" w:rsidRDefault="00D60A38">
      <w:pPr>
        <w:pStyle w:val="Textpoznmkypodiarou"/>
      </w:pPr>
      <w:r>
        <w:rPr>
          <w:rStyle w:val="Odkaznapoznmkupodiarou"/>
        </w:rPr>
        <w:footnoteRef/>
      </w:r>
      <w:r>
        <w:t xml:space="preserve"> </w:t>
      </w:r>
      <w:r w:rsidRPr="00795BD0">
        <w:rPr>
          <w:i/>
        </w:rPr>
        <w:t>Medzinárodný štandard finančného výkazníctva č. 37: Rezervy a podmienené záväzky.</w:t>
      </w:r>
    </w:p>
  </w:footnote>
  <w:footnote w:id="6">
    <w:p w:rsidR="00D60A38" w:rsidRDefault="00D60A38">
      <w:pPr>
        <w:pStyle w:val="Textpoznmkypodiarou"/>
      </w:pPr>
      <w:r>
        <w:rPr>
          <w:rStyle w:val="Odkaznapoznmkupodiarou"/>
        </w:rPr>
        <w:footnoteRef/>
      </w:r>
      <w:r>
        <w:t xml:space="preserve"> DVOŘÁKOVÁ D., </w:t>
      </w:r>
      <w:r w:rsidRPr="001143E8">
        <w:rPr>
          <w:i/>
        </w:rPr>
        <w:t xml:space="preserve">Finanční </w:t>
      </w:r>
      <w:proofErr w:type="spellStart"/>
      <w:r w:rsidRPr="001143E8">
        <w:rPr>
          <w:i/>
        </w:rPr>
        <w:t>účetnictví</w:t>
      </w:r>
      <w:proofErr w:type="spellEnd"/>
      <w:r w:rsidRPr="001143E8">
        <w:rPr>
          <w:i/>
        </w:rPr>
        <w:t xml:space="preserve"> a </w:t>
      </w:r>
      <w:proofErr w:type="spellStart"/>
      <w:r w:rsidRPr="001143E8">
        <w:rPr>
          <w:i/>
        </w:rPr>
        <w:t>výkaznictví</w:t>
      </w:r>
      <w:proofErr w:type="spellEnd"/>
      <w:r w:rsidRPr="001143E8">
        <w:rPr>
          <w:i/>
        </w:rPr>
        <w:t xml:space="preserve"> </w:t>
      </w:r>
      <w:proofErr w:type="spellStart"/>
      <w:r w:rsidRPr="001143E8">
        <w:rPr>
          <w:i/>
        </w:rPr>
        <w:t>po</w:t>
      </w:r>
      <w:r>
        <w:rPr>
          <w:i/>
        </w:rPr>
        <w:t>dle</w:t>
      </w:r>
      <w:proofErr w:type="spellEnd"/>
      <w:r>
        <w:rPr>
          <w:i/>
        </w:rPr>
        <w:t xml:space="preserve"> </w:t>
      </w:r>
      <w:proofErr w:type="spellStart"/>
      <w:r>
        <w:rPr>
          <w:i/>
        </w:rPr>
        <w:t>mezinárodních</w:t>
      </w:r>
      <w:proofErr w:type="spellEnd"/>
      <w:r>
        <w:rPr>
          <w:i/>
        </w:rPr>
        <w:t xml:space="preserve"> </w:t>
      </w:r>
      <w:proofErr w:type="spellStart"/>
      <w:r>
        <w:rPr>
          <w:i/>
        </w:rPr>
        <w:t>standardů</w:t>
      </w:r>
      <w:proofErr w:type="spellEnd"/>
      <w:r>
        <w:rPr>
          <w:i/>
        </w:rPr>
        <w:t xml:space="preserve"> IFRS. </w:t>
      </w:r>
      <w:r>
        <w:t xml:space="preserve">4. </w:t>
      </w:r>
      <w:proofErr w:type="spellStart"/>
      <w:r>
        <w:t>aktualiz</w:t>
      </w:r>
      <w:proofErr w:type="spellEnd"/>
      <w:r>
        <w:t xml:space="preserve">. vydanie. Brno: </w:t>
      </w:r>
      <w:proofErr w:type="spellStart"/>
      <w:r>
        <w:t>BizBooks</w:t>
      </w:r>
      <w:proofErr w:type="spellEnd"/>
      <w:r>
        <w:t>, 2014. ISBN 327 s. ISBN 978-80-265-0149-7</w:t>
      </w:r>
    </w:p>
  </w:footnote>
  <w:footnote w:id="7">
    <w:p w:rsidR="00D60A38" w:rsidRDefault="00D60A38">
      <w:pPr>
        <w:pStyle w:val="Textpoznmkypodiarou"/>
      </w:pPr>
      <w:r>
        <w:rPr>
          <w:rStyle w:val="Odkaznapoznmkupodiarou"/>
        </w:rPr>
        <w:footnoteRef/>
      </w:r>
      <w:r>
        <w:t xml:space="preserve"> </w:t>
      </w:r>
      <w:r>
        <w:t xml:space="preserve">GAŠPAROVÁ E.: </w:t>
      </w:r>
      <w:r w:rsidRPr="00770924">
        <w:rPr>
          <w:i/>
        </w:rPr>
        <w:t>Rezervy a a opravné položky s účtovného a daňového hľadiska.</w:t>
      </w:r>
      <w:r>
        <w:rPr>
          <w:i/>
        </w:rPr>
        <w:t xml:space="preserve"> </w:t>
      </w:r>
      <w:r>
        <w:t xml:space="preserve">V </w:t>
      </w:r>
      <w:r w:rsidRPr="00DB79D6">
        <w:t>Daňový a účtovný poradca podnikateľa 15/2015</w:t>
      </w:r>
      <w:r>
        <w:t>. ISSN 1335-0897 str. 23</w:t>
      </w:r>
    </w:p>
  </w:footnote>
  <w:footnote w:id="8">
    <w:p w:rsidR="00D60A38" w:rsidRDefault="00D60A38">
      <w:pPr>
        <w:pStyle w:val="Textpoznmkypodiarou"/>
      </w:pPr>
      <w:r>
        <w:rPr>
          <w:rStyle w:val="Odkaznapoznmkupodiarou"/>
        </w:rPr>
        <w:footnoteRef/>
      </w:r>
      <w:r>
        <w:t xml:space="preserve"> </w:t>
      </w:r>
      <w:r>
        <w:t>Taktiež.</w:t>
      </w:r>
    </w:p>
  </w:footnote>
  <w:footnote w:id="9">
    <w:p w:rsidR="00D60A38" w:rsidRDefault="00D60A38">
      <w:pPr>
        <w:pStyle w:val="Textpoznmkypodiarou"/>
      </w:pPr>
      <w:r>
        <w:rPr>
          <w:rStyle w:val="Odkaznapoznmkupodiarou"/>
        </w:rPr>
        <w:footnoteRef/>
      </w:r>
      <w:r>
        <w:t xml:space="preserve"> </w:t>
      </w:r>
      <w:r w:rsidRPr="00890195">
        <w:rPr>
          <w:rFonts w:cs="Times New Roman"/>
          <w:color w:val="000000"/>
          <w:szCs w:val="24"/>
          <w:shd w:val="clear" w:color="auto" w:fill="FFFDFE"/>
        </w:rPr>
        <w:t>KRIŠTOFÍK, P.,</w:t>
      </w:r>
      <w:r>
        <w:rPr>
          <w:rFonts w:cs="Times New Roman"/>
          <w:color w:val="000000"/>
          <w:szCs w:val="24"/>
          <w:shd w:val="clear" w:color="auto" w:fill="FFFDFE"/>
        </w:rPr>
        <w:t xml:space="preserve"> </w:t>
      </w:r>
      <w:r w:rsidRPr="005F6EB9">
        <w:rPr>
          <w:rFonts w:cs="Times New Roman"/>
          <w:color w:val="000000"/>
          <w:szCs w:val="24"/>
          <w:shd w:val="clear" w:color="auto" w:fill="FFFDFE"/>
        </w:rPr>
        <w:t>SAXUNOVÁ</w:t>
      </w:r>
      <w:r>
        <w:rPr>
          <w:rFonts w:cs="Times New Roman"/>
          <w:color w:val="000000"/>
          <w:szCs w:val="24"/>
          <w:shd w:val="clear" w:color="auto" w:fill="FFFDFE"/>
        </w:rPr>
        <w:t xml:space="preserve"> D., </w:t>
      </w:r>
      <w:r w:rsidRPr="005F6EB9">
        <w:rPr>
          <w:rFonts w:cs="Times New Roman"/>
          <w:color w:val="000000"/>
          <w:szCs w:val="24"/>
          <w:shd w:val="clear" w:color="auto" w:fill="FFFDFE"/>
        </w:rPr>
        <w:t>ŠURANOVÁ</w:t>
      </w:r>
      <w:r>
        <w:rPr>
          <w:rFonts w:cs="Times New Roman"/>
          <w:color w:val="000000"/>
          <w:szCs w:val="24"/>
          <w:shd w:val="clear" w:color="auto" w:fill="FFFDFE"/>
        </w:rPr>
        <w:t xml:space="preserve"> Z.:</w:t>
      </w:r>
      <w:r w:rsidRPr="005F6EB9">
        <w:rPr>
          <w:rStyle w:val="apple-converted-space"/>
          <w:rFonts w:cs="Times New Roman"/>
          <w:color w:val="000000"/>
          <w:szCs w:val="24"/>
          <w:shd w:val="clear" w:color="auto" w:fill="FFFDFE"/>
        </w:rPr>
        <w:t> </w:t>
      </w:r>
      <w:r w:rsidRPr="005F6EB9">
        <w:rPr>
          <w:rFonts w:cs="Times New Roman"/>
          <w:i/>
          <w:iCs/>
          <w:color w:val="000000"/>
          <w:szCs w:val="24"/>
          <w:shd w:val="clear" w:color="auto" w:fill="FFFDFE"/>
        </w:rPr>
        <w:t>Finančné účtovníctvo a riadenie s aplikáciou IFRS.</w:t>
      </w:r>
      <w:r w:rsidRPr="005F6EB9">
        <w:rPr>
          <w:rStyle w:val="apple-converted-space"/>
          <w:rFonts w:cs="Times New Roman"/>
          <w:color w:val="000000"/>
          <w:szCs w:val="24"/>
          <w:shd w:val="clear" w:color="auto" w:fill="FFFDFE"/>
        </w:rPr>
        <w:t> </w:t>
      </w:r>
      <w:r w:rsidRPr="005F6EB9">
        <w:rPr>
          <w:rFonts w:cs="Times New Roman"/>
          <w:color w:val="000000"/>
          <w:szCs w:val="24"/>
          <w:shd w:val="clear" w:color="auto" w:fill="FFFDFE"/>
        </w:rPr>
        <w:t xml:space="preserve">2. </w:t>
      </w:r>
      <w:proofErr w:type="spellStart"/>
      <w:r w:rsidRPr="005F6EB9">
        <w:rPr>
          <w:rFonts w:cs="Times New Roman"/>
          <w:color w:val="000000"/>
          <w:szCs w:val="24"/>
          <w:shd w:val="clear" w:color="auto" w:fill="FFFDFE"/>
        </w:rPr>
        <w:t>preprac</w:t>
      </w:r>
      <w:proofErr w:type="spellEnd"/>
      <w:r w:rsidRPr="005F6EB9">
        <w:rPr>
          <w:rFonts w:cs="Times New Roman"/>
          <w:color w:val="000000"/>
          <w:szCs w:val="24"/>
          <w:shd w:val="clear" w:color="auto" w:fill="FFFDFE"/>
        </w:rPr>
        <w:t xml:space="preserve">. a </w:t>
      </w:r>
      <w:proofErr w:type="spellStart"/>
      <w:r w:rsidRPr="005F6EB9">
        <w:rPr>
          <w:rFonts w:cs="Times New Roman"/>
          <w:color w:val="000000"/>
          <w:szCs w:val="24"/>
          <w:shd w:val="clear" w:color="auto" w:fill="FFFDFE"/>
        </w:rPr>
        <w:t>dopl</w:t>
      </w:r>
      <w:proofErr w:type="spellEnd"/>
      <w:r w:rsidRPr="005F6EB9">
        <w:rPr>
          <w:rFonts w:cs="Times New Roman"/>
          <w:color w:val="000000"/>
          <w:szCs w:val="24"/>
          <w:shd w:val="clear" w:color="auto" w:fill="FFFDFE"/>
        </w:rPr>
        <w:t xml:space="preserve">. vyd. Bratislava: </w:t>
      </w:r>
      <w:proofErr w:type="spellStart"/>
      <w:r w:rsidRPr="005F6EB9">
        <w:rPr>
          <w:rFonts w:cs="Times New Roman"/>
          <w:color w:val="000000"/>
          <w:szCs w:val="24"/>
          <w:shd w:val="clear" w:color="auto" w:fill="FFFDFE"/>
        </w:rPr>
        <w:t>Iura</w:t>
      </w:r>
      <w:proofErr w:type="spellEnd"/>
      <w:r w:rsidRPr="005F6EB9">
        <w:rPr>
          <w:rFonts w:cs="Times New Roman"/>
          <w:color w:val="000000"/>
          <w:szCs w:val="24"/>
          <w:shd w:val="clear" w:color="auto" w:fill="FFFDFE"/>
        </w:rPr>
        <w:t xml:space="preserve"> </w:t>
      </w:r>
      <w:proofErr w:type="spellStart"/>
      <w:r w:rsidRPr="005F6EB9">
        <w:rPr>
          <w:rFonts w:cs="Times New Roman"/>
          <w:color w:val="000000"/>
          <w:szCs w:val="24"/>
          <w:shd w:val="clear" w:color="auto" w:fill="FFFDFE"/>
        </w:rPr>
        <w:t>Edition</w:t>
      </w:r>
      <w:proofErr w:type="spellEnd"/>
      <w:r w:rsidRPr="005F6EB9">
        <w:rPr>
          <w:rFonts w:cs="Times New Roman"/>
          <w:color w:val="000000"/>
          <w:szCs w:val="24"/>
          <w:shd w:val="clear" w:color="auto" w:fill="FFFDFE"/>
        </w:rPr>
        <w:t>, 2011. 803 s. ISBN 978-80-8078-396-9</w:t>
      </w:r>
    </w:p>
  </w:footnote>
  <w:footnote w:id="10">
    <w:p w:rsidR="00D60A38" w:rsidRDefault="00D60A38">
      <w:pPr>
        <w:pStyle w:val="Textpoznmkypodiarou"/>
      </w:pPr>
      <w:r>
        <w:rPr>
          <w:rStyle w:val="Odkaznapoznmkupodiarou"/>
        </w:rPr>
        <w:footnoteRef/>
      </w:r>
      <w:r>
        <w:t xml:space="preserve"> GAŠPAROVÁ E.: </w:t>
      </w:r>
      <w:r w:rsidRPr="00770924">
        <w:rPr>
          <w:i/>
        </w:rPr>
        <w:t>Rezervy a a opravné položky s účtovného a daňového hľadiska.</w:t>
      </w:r>
      <w:r>
        <w:rPr>
          <w:i/>
        </w:rPr>
        <w:t xml:space="preserve"> </w:t>
      </w:r>
      <w:r>
        <w:t xml:space="preserve">V </w:t>
      </w:r>
      <w:r w:rsidRPr="00DB79D6">
        <w:t>Daňový a účtovný poradca podnikateľa 15/2015</w:t>
      </w:r>
      <w:r>
        <w:t>. ISSN 1335-0897 str. 23</w:t>
      </w:r>
    </w:p>
  </w:footnote>
  <w:footnote w:id="11">
    <w:p w:rsidR="00D60A38" w:rsidRPr="00770924" w:rsidRDefault="00D60A38">
      <w:pPr>
        <w:pStyle w:val="Textpoznmkypodiarou"/>
      </w:pPr>
      <w:r>
        <w:rPr>
          <w:rStyle w:val="Odkaznapoznmkupodiarou"/>
        </w:rPr>
        <w:footnoteRef/>
      </w:r>
      <w:r>
        <w:t xml:space="preserve"> GAŠPAROVÁ E.: </w:t>
      </w:r>
      <w:r w:rsidRPr="00770924">
        <w:rPr>
          <w:i/>
        </w:rPr>
        <w:t>Rezervy a a opravné položky s účtovného a daňového hľadiska.</w:t>
      </w:r>
      <w:r>
        <w:rPr>
          <w:i/>
        </w:rPr>
        <w:t xml:space="preserve"> </w:t>
      </w:r>
      <w:r>
        <w:t xml:space="preserve">V </w:t>
      </w:r>
      <w:r w:rsidRPr="00DB79D6">
        <w:t>Daňový a účtovný poradca podnikateľa 15/2015</w:t>
      </w:r>
      <w:r>
        <w:t>. ISSN 1335-0897 str. 23</w:t>
      </w:r>
    </w:p>
  </w:footnote>
  <w:footnote w:id="12">
    <w:p w:rsidR="00D60A38" w:rsidRPr="00DB6E5D" w:rsidRDefault="00D60A38" w:rsidP="0056117C">
      <w:pPr>
        <w:pStyle w:val="Textpoznmkypodiarou"/>
      </w:pPr>
      <w:r>
        <w:rPr>
          <w:rStyle w:val="Odkaznapoznmkupodiarou"/>
        </w:rPr>
        <w:footnoteRef/>
      </w:r>
      <w:r>
        <w:t xml:space="preserve"> SEDLÁČEK J., </w:t>
      </w:r>
      <w:r w:rsidRPr="00DB6E5D">
        <w:rPr>
          <w:i/>
        </w:rPr>
        <w:t xml:space="preserve">Finanční </w:t>
      </w:r>
      <w:proofErr w:type="spellStart"/>
      <w:r w:rsidRPr="00DB6E5D">
        <w:rPr>
          <w:i/>
        </w:rPr>
        <w:t>účetnictví</w:t>
      </w:r>
      <w:proofErr w:type="spellEnd"/>
      <w:r>
        <w:rPr>
          <w:i/>
        </w:rPr>
        <w:t>.</w:t>
      </w:r>
      <w:r>
        <w:t xml:space="preserve"> 1.vyd. Brno: Masarykova univerzita, 2010. 240 s. ISBN 978-80-210-5268-0</w:t>
      </w:r>
    </w:p>
  </w:footnote>
  <w:footnote w:id="13">
    <w:p w:rsidR="00D60A38" w:rsidRPr="00056D9F" w:rsidRDefault="00D60A38" w:rsidP="00390AAB">
      <w:pPr>
        <w:pStyle w:val="Textpoznmkypodiarou"/>
      </w:pPr>
      <w:r>
        <w:rPr>
          <w:rStyle w:val="Odkaznapoznmkupodiarou"/>
        </w:rPr>
        <w:footnoteRef/>
      </w:r>
      <w:r>
        <w:t xml:space="preserve"> INEKO: </w:t>
      </w:r>
      <w:r w:rsidRPr="00056D9F">
        <w:rPr>
          <w:i/>
        </w:rPr>
        <w:t>Reformy na Slovensku 2.</w:t>
      </w:r>
      <w:r>
        <w:t xml:space="preserve"> </w:t>
      </w:r>
      <w:r>
        <w:rPr>
          <w:lang w:val="en-US"/>
        </w:rPr>
        <w:t xml:space="preserve">[online] [cit. 2016-01-17]  </w:t>
      </w:r>
      <w:proofErr w:type="spellStart"/>
      <w:proofErr w:type="gramStart"/>
      <w:r>
        <w:rPr>
          <w:lang w:val="en-US"/>
        </w:rPr>
        <w:t>Dostupné</w:t>
      </w:r>
      <w:proofErr w:type="spellEnd"/>
      <w:r>
        <w:rPr>
          <w:lang w:val="en-US"/>
        </w:rPr>
        <w:t xml:space="preserve"> z &lt;</w:t>
      </w:r>
      <w:r w:rsidRPr="00056D9F">
        <w:rPr>
          <w:lang w:val="en-US"/>
        </w:rPr>
        <w:t>http://www.ineko.sk/ostatne/prednasky</w:t>
      </w:r>
      <w:r>
        <w:rPr>
          <w:lang w:val="en-US"/>
        </w:rPr>
        <w:t>&gt;.</w:t>
      </w:r>
      <w:proofErr w:type="gramEnd"/>
    </w:p>
  </w:footnote>
  <w:footnote w:id="14">
    <w:p w:rsidR="00D60A38" w:rsidRDefault="00D60A38" w:rsidP="00390AAB">
      <w:pPr>
        <w:pStyle w:val="Textpoznmkypodiarou"/>
      </w:pPr>
      <w:r>
        <w:rPr>
          <w:rStyle w:val="Odkaznapoznmkupodiarou"/>
        </w:rPr>
        <w:footnoteRef/>
      </w:r>
      <w:r>
        <w:t xml:space="preserve"> INEKO: </w:t>
      </w:r>
      <w:r w:rsidRPr="00056D9F">
        <w:rPr>
          <w:i/>
        </w:rPr>
        <w:t>Reformy na Slovensku 2.</w:t>
      </w:r>
      <w:r>
        <w:t xml:space="preserve"> </w:t>
      </w:r>
      <w:r>
        <w:rPr>
          <w:lang w:val="en-US"/>
        </w:rPr>
        <w:t xml:space="preserve">[online] [cit. 2016-01-17]  </w:t>
      </w:r>
      <w:proofErr w:type="spellStart"/>
      <w:proofErr w:type="gramStart"/>
      <w:r>
        <w:rPr>
          <w:lang w:val="en-US"/>
        </w:rPr>
        <w:t>Dostupné</w:t>
      </w:r>
      <w:proofErr w:type="spellEnd"/>
      <w:r>
        <w:rPr>
          <w:lang w:val="en-US"/>
        </w:rPr>
        <w:t xml:space="preserve"> z &lt;</w:t>
      </w:r>
      <w:r w:rsidRPr="00056D9F">
        <w:rPr>
          <w:lang w:val="en-US"/>
        </w:rPr>
        <w:t>http://www.ineko.sk/ostatne/prednasky</w:t>
      </w:r>
      <w:r>
        <w:rPr>
          <w:lang w:val="en-US"/>
        </w:rPr>
        <w:t>&gt;.</w:t>
      </w:r>
      <w:proofErr w:type="gramEnd"/>
    </w:p>
  </w:footnote>
  <w:footnote w:id="15">
    <w:p w:rsidR="00D60A38" w:rsidRPr="00E16760" w:rsidRDefault="00D60A38" w:rsidP="00390AAB">
      <w:pPr>
        <w:pStyle w:val="Textpoznmkypodiarou"/>
      </w:pPr>
      <w:r>
        <w:rPr>
          <w:rStyle w:val="Odkaznapoznmkupodiarou"/>
        </w:rPr>
        <w:footnoteRef/>
      </w:r>
      <w:r>
        <w:t xml:space="preserve"> PWC: </w:t>
      </w:r>
      <w:r w:rsidRPr="00056D9F">
        <w:rPr>
          <w:i/>
        </w:rPr>
        <w:t>Dane do vrecka 2015. Praktický sprievodca slovenským daňovým systémom.</w:t>
      </w:r>
      <w:r>
        <w:rPr>
          <w:lang w:val="en-US"/>
        </w:rPr>
        <w:t xml:space="preserve"> [online] [cit. 2016-01-17] </w:t>
      </w:r>
      <w:proofErr w:type="spellStart"/>
      <w:r>
        <w:rPr>
          <w:lang w:val="en-US"/>
        </w:rPr>
        <w:t>Dostupné</w:t>
      </w:r>
      <w:proofErr w:type="spellEnd"/>
      <w:r>
        <w:rPr>
          <w:lang w:val="en-US"/>
        </w:rPr>
        <w:t xml:space="preserve"> z &lt;</w:t>
      </w:r>
      <w:r w:rsidRPr="00E16760">
        <w:rPr>
          <w:lang w:val="en-US"/>
        </w:rPr>
        <w:t>http://www.pwc.com/sk/sk/publikacie/dane-do-vrecka.html</w:t>
      </w:r>
      <w:r>
        <w:rPr>
          <w:lang w:val="en-US"/>
        </w:rPr>
        <w:t>&gt;</w:t>
      </w:r>
    </w:p>
  </w:footnote>
  <w:footnote w:id="16">
    <w:p w:rsidR="00D60A38" w:rsidRPr="00A2077E" w:rsidRDefault="00D60A38" w:rsidP="00390AAB">
      <w:pPr>
        <w:pStyle w:val="Textpoznmkypodiarou"/>
      </w:pPr>
      <w:r>
        <w:rPr>
          <w:rStyle w:val="Odkaznapoznmkupodiarou"/>
        </w:rPr>
        <w:footnoteRef/>
      </w:r>
      <w:r>
        <w:t xml:space="preserve"> VANČUROVÁ, A.: </w:t>
      </w:r>
      <w:r w:rsidRPr="00A2077E">
        <w:rPr>
          <w:i/>
        </w:rPr>
        <w:t>Daňové reformy v ČR.</w:t>
      </w:r>
      <w:r>
        <w:t xml:space="preserve"> </w:t>
      </w:r>
      <w:r>
        <w:rPr>
          <w:lang w:val="en-US"/>
        </w:rPr>
        <w:t xml:space="preserve">[online] [cit.2016-01-24] </w:t>
      </w:r>
      <w:proofErr w:type="spellStart"/>
      <w:r>
        <w:rPr>
          <w:lang w:val="en-US"/>
        </w:rPr>
        <w:t>Dostupné</w:t>
      </w:r>
      <w:proofErr w:type="spellEnd"/>
      <w:r>
        <w:rPr>
          <w:lang w:val="en-US"/>
        </w:rPr>
        <w:t xml:space="preserve"> z &lt;</w:t>
      </w:r>
      <w:r w:rsidRPr="00A2077E">
        <w:t>http://kvf.vse.cz/storage/1218123709_sb_vancurova.pdf</w:t>
      </w:r>
      <w:r>
        <w:t>&gt;</w:t>
      </w:r>
    </w:p>
  </w:footnote>
  <w:footnote w:id="17">
    <w:p w:rsidR="00D60A38" w:rsidRDefault="00D60A38" w:rsidP="00390AAB">
      <w:pPr>
        <w:pStyle w:val="Textpoznmkypodiarou"/>
      </w:pPr>
      <w:r>
        <w:rPr>
          <w:rStyle w:val="Odkaznapoznmkupodiarou"/>
        </w:rPr>
        <w:footnoteRef/>
      </w:r>
      <w:r>
        <w:t xml:space="preserve"> </w:t>
      </w:r>
      <w:r>
        <w:t xml:space="preserve">VANČUROVÁ, A.: </w:t>
      </w:r>
      <w:r w:rsidRPr="00A2077E">
        <w:rPr>
          <w:i/>
        </w:rPr>
        <w:t>Daňové reformy v ČR.</w:t>
      </w:r>
      <w:r>
        <w:t xml:space="preserve"> </w:t>
      </w:r>
      <w:r>
        <w:rPr>
          <w:lang w:val="en-US"/>
        </w:rPr>
        <w:t xml:space="preserve">[online] [cit.2016-01-24] </w:t>
      </w:r>
      <w:proofErr w:type="spellStart"/>
      <w:r>
        <w:rPr>
          <w:lang w:val="en-US"/>
        </w:rPr>
        <w:t>Dostupné</w:t>
      </w:r>
      <w:proofErr w:type="spellEnd"/>
      <w:r>
        <w:rPr>
          <w:lang w:val="en-US"/>
        </w:rPr>
        <w:t xml:space="preserve"> z &lt;</w:t>
      </w:r>
      <w:r w:rsidRPr="00A2077E">
        <w:t>http://kvf.vse.cz/storage/1218123709_sb_vancurova.pdf</w:t>
      </w:r>
      <w:r>
        <w:t>&gt;</w:t>
      </w:r>
    </w:p>
  </w:footnote>
  <w:footnote w:id="18">
    <w:p w:rsidR="00D60A38" w:rsidRPr="007503E9" w:rsidRDefault="00D60A38" w:rsidP="007503E9">
      <w:pPr>
        <w:pStyle w:val="Textpoznmkypodiarou"/>
      </w:pPr>
      <w:r>
        <w:rPr>
          <w:rStyle w:val="Odkaznapoznmkupodiarou"/>
        </w:rPr>
        <w:footnoteRef/>
      </w:r>
      <w:r>
        <w:t xml:space="preserve"> </w:t>
      </w:r>
      <w:r>
        <w:t xml:space="preserve">LÁCHOVÁ L. a VANČUROVÁ A.: </w:t>
      </w:r>
      <w:r>
        <w:rPr>
          <w:i/>
        </w:rPr>
        <w:t>Daňový systém ČR 2014.</w:t>
      </w:r>
      <w:r>
        <w:t xml:space="preserve">12.vyd. Praha: 1. VOX a.s. </w:t>
      </w:r>
      <w:proofErr w:type="spellStart"/>
      <w:r>
        <w:t>nakladatelství</w:t>
      </w:r>
      <w:proofErr w:type="spellEnd"/>
      <w:r>
        <w:t>, 2014. 391s. ISBN 978-80-87480-23-6</w:t>
      </w:r>
    </w:p>
  </w:footnote>
  <w:footnote w:id="19">
    <w:p w:rsidR="00D60A38" w:rsidRDefault="00D60A38">
      <w:pPr>
        <w:pStyle w:val="Textpoznmkypodiarou"/>
      </w:pPr>
      <w:r>
        <w:rPr>
          <w:rStyle w:val="Odkaznapoznmkupodiarou"/>
        </w:rPr>
        <w:footnoteRef/>
      </w:r>
      <w:r>
        <w:t xml:space="preserve"> KOLEMBUS, A.: </w:t>
      </w:r>
      <w:r w:rsidRPr="00960517">
        <w:rPr>
          <w:i/>
        </w:rPr>
        <w:t>Zopár tipov k účtovnej uzávierke.</w:t>
      </w:r>
      <w:r>
        <w:t xml:space="preserve"> V DÚPP - Daňový a účtovný poradca podnikateľa. ISSN 1335-0897, 2015, č.4-5, s.51-61</w:t>
      </w:r>
    </w:p>
  </w:footnote>
  <w:footnote w:id="20">
    <w:p w:rsidR="00D60A38" w:rsidRPr="000C2630" w:rsidRDefault="00D60A38" w:rsidP="000C2630">
      <w:pPr>
        <w:pStyle w:val="Textpoznmkypodiarou"/>
        <w:spacing w:line="360" w:lineRule="auto"/>
        <w:rPr>
          <w:rFonts w:cs="Times New Roman"/>
          <w:sz w:val="24"/>
          <w:szCs w:val="24"/>
        </w:rPr>
      </w:pPr>
      <w:r>
        <w:rPr>
          <w:rStyle w:val="Odkaznapoznmkupodiarou"/>
        </w:rPr>
        <w:footnoteRef/>
      </w:r>
      <w:r>
        <w:t xml:space="preserve"> </w:t>
      </w:r>
      <w:r w:rsidRPr="00E16760">
        <w:rPr>
          <w:rFonts w:cs="Times New Roman"/>
          <w:color w:val="000000"/>
          <w:shd w:val="clear" w:color="auto" w:fill="FFFDFE"/>
        </w:rPr>
        <w:t xml:space="preserve">RYNEŠ, </w:t>
      </w:r>
      <w:proofErr w:type="spellStart"/>
      <w:r w:rsidRPr="00E16760">
        <w:rPr>
          <w:rFonts w:cs="Times New Roman"/>
          <w:color w:val="000000"/>
          <w:shd w:val="clear" w:color="auto" w:fill="FFFDFE"/>
        </w:rPr>
        <w:t>Petr</w:t>
      </w:r>
      <w:proofErr w:type="spellEnd"/>
      <w:r w:rsidRPr="00E16760">
        <w:rPr>
          <w:rFonts w:cs="Times New Roman"/>
          <w:color w:val="000000"/>
          <w:shd w:val="clear" w:color="auto" w:fill="FFFDFE"/>
        </w:rPr>
        <w:t>.</w:t>
      </w:r>
      <w:r w:rsidRPr="00E16760">
        <w:rPr>
          <w:rStyle w:val="apple-converted-space"/>
          <w:rFonts w:cs="Times New Roman"/>
          <w:color w:val="000000"/>
          <w:shd w:val="clear" w:color="auto" w:fill="FFFDFE"/>
        </w:rPr>
        <w:t> </w:t>
      </w:r>
      <w:r w:rsidRPr="00E16760">
        <w:rPr>
          <w:rFonts w:cs="Times New Roman"/>
          <w:i/>
          <w:iCs/>
          <w:color w:val="000000"/>
          <w:shd w:val="clear" w:color="auto" w:fill="FFFDFE"/>
        </w:rPr>
        <w:t xml:space="preserve">Podvojné </w:t>
      </w:r>
      <w:proofErr w:type="spellStart"/>
      <w:r w:rsidRPr="00E16760">
        <w:rPr>
          <w:rFonts w:cs="Times New Roman"/>
          <w:i/>
          <w:iCs/>
          <w:color w:val="000000"/>
          <w:shd w:val="clear" w:color="auto" w:fill="FFFDFE"/>
        </w:rPr>
        <w:t>účetnictví</w:t>
      </w:r>
      <w:proofErr w:type="spellEnd"/>
      <w:r w:rsidRPr="00E16760">
        <w:rPr>
          <w:rFonts w:cs="Times New Roman"/>
          <w:i/>
          <w:iCs/>
          <w:color w:val="000000"/>
          <w:shd w:val="clear" w:color="auto" w:fill="FFFDFE"/>
        </w:rPr>
        <w:t xml:space="preserve"> a </w:t>
      </w:r>
      <w:proofErr w:type="spellStart"/>
      <w:r w:rsidRPr="00E16760">
        <w:rPr>
          <w:rFonts w:cs="Times New Roman"/>
          <w:i/>
          <w:iCs/>
          <w:color w:val="000000"/>
          <w:shd w:val="clear" w:color="auto" w:fill="FFFDFE"/>
        </w:rPr>
        <w:t>účetní</w:t>
      </w:r>
      <w:proofErr w:type="spellEnd"/>
      <w:r w:rsidRPr="00E16760">
        <w:rPr>
          <w:rFonts w:cs="Times New Roman"/>
          <w:i/>
          <w:iCs/>
          <w:color w:val="000000"/>
          <w:shd w:val="clear" w:color="auto" w:fill="FFFDFE"/>
        </w:rPr>
        <w:t xml:space="preserve"> </w:t>
      </w:r>
      <w:proofErr w:type="spellStart"/>
      <w:r w:rsidRPr="00E16760">
        <w:rPr>
          <w:rFonts w:cs="Times New Roman"/>
          <w:i/>
          <w:iCs/>
          <w:color w:val="000000"/>
          <w:shd w:val="clear" w:color="auto" w:fill="FFFDFE"/>
        </w:rPr>
        <w:t>závěrka</w:t>
      </w:r>
      <w:proofErr w:type="spellEnd"/>
      <w:r w:rsidRPr="00E16760">
        <w:rPr>
          <w:rFonts w:cs="Times New Roman"/>
          <w:i/>
          <w:iCs/>
          <w:color w:val="000000"/>
          <w:shd w:val="clear" w:color="auto" w:fill="FFFDFE"/>
        </w:rPr>
        <w:t xml:space="preserve"> :</w:t>
      </w:r>
      <w:proofErr w:type="spellStart"/>
      <w:r w:rsidRPr="00E16760">
        <w:rPr>
          <w:rFonts w:cs="Times New Roman"/>
          <w:i/>
          <w:iCs/>
          <w:color w:val="000000"/>
          <w:shd w:val="clear" w:color="auto" w:fill="FFFDFE"/>
        </w:rPr>
        <w:t>průvodce</w:t>
      </w:r>
      <w:proofErr w:type="spellEnd"/>
      <w:r w:rsidRPr="00E16760">
        <w:rPr>
          <w:rFonts w:cs="Times New Roman"/>
          <w:i/>
          <w:iCs/>
          <w:color w:val="000000"/>
          <w:shd w:val="clear" w:color="auto" w:fill="FFFDFE"/>
        </w:rPr>
        <w:t xml:space="preserve"> podvojným </w:t>
      </w:r>
      <w:proofErr w:type="spellStart"/>
      <w:r w:rsidRPr="00E16760">
        <w:rPr>
          <w:rFonts w:cs="Times New Roman"/>
          <w:i/>
          <w:iCs/>
          <w:color w:val="000000"/>
          <w:shd w:val="clear" w:color="auto" w:fill="FFFDFE"/>
        </w:rPr>
        <w:t>účetnictvím</w:t>
      </w:r>
      <w:proofErr w:type="spellEnd"/>
      <w:r w:rsidRPr="00E16760">
        <w:rPr>
          <w:rFonts w:cs="Times New Roman"/>
          <w:i/>
          <w:iCs/>
          <w:color w:val="000000"/>
          <w:shd w:val="clear" w:color="auto" w:fill="FFFDFE"/>
        </w:rPr>
        <w:t xml:space="preserve"> k 1.1.2015</w:t>
      </w:r>
      <w:r w:rsidRPr="00E16760">
        <w:rPr>
          <w:rFonts w:cs="Times New Roman"/>
          <w:color w:val="000000"/>
          <w:shd w:val="clear" w:color="auto" w:fill="FFFDFE"/>
        </w:rPr>
        <w:t xml:space="preserve">. 15. </w:t>
      </w:r>
      <w:proofErr w:type="spellStart"/>
      <w:r w:rsidRPr="00E16760">
        <w:rPr>
          <w:rFonts w:cs="Times New Roman"/>
          <w:color w:val="000000"/>
          <w:shd w:val="clear" w:color="auto" w:fill="FFFDFE"/>
        </w:rPr>
        <w:t>aktualiz</w:t>
      </w:r>
      <w:proofErr w:type="spellEnd"/>
      <w:r w:rsidRPr="00E16760">
        <w:rPr>
          <w:rFonts w:cs="Times New Roman"/>
          <w:color w:val="000000"/>
          <w:shd w:val="clear" w:color="auto" w:fill="FFFDFE"/>
        </w:rPr>
        <w:t xml:space="preserve">. vyd. Olomouc: </w:t>
      </w:r>
      <w:proofErr w:type="spellStart"/>
      <w:r w:rsidRPr="00E16760">
        <w:rPr>
          <w:rFonts w:cs="Times New Roman"/>
          <w:color w:val="000000"/>
          <w:shd w:val="clear" w:color="auto" w:fill="FFFDFE"/>
        </w:rPr>
        <w:t>Anag</w:t>
      </w:r>
      <w:proofErr w:type="spellEnd"/>
      <w:r w:rsidRPr="00E16760">
        <w:rPr>
          <w:rFonts w:cs="Times New Roman"/>
          <w:color w:val="000000"/>
          <w:shd w:val="clear" w:color="auto" w:fill="FFFDFE"/>
        </w:rPr>
        <w:t>, 2015. 1118 s. ISBN 9788072639243</w:t>
      </w:r>
    </w:p>
  </w:footnote>
  <w:footnote w:id="21">
    <w:p w:rsidR="00D60A38" w:rsidRPr="00D647EC" w:rsidRDefault="00D60A38" w:rsidP="002330C0">
      <w:pPr>
        <w:pStyle w:val="Textpoznmkypodiarou"/>
        <w:jc w:val="left"/>
        <w:rPr>
          <w:lang w:val="en-US"/>
        </w:rPr>
      </w:pPr>
      <w:r>
        <w:rPr>
          <w:rStyle w:val="Odkaznapoznmkupodiarou"/>
        </w:rPr>
        <w:footnoteRef/>
      </w:r>
      <w:r>
        <w:t xml:space="preserve"> </w:t>
      </w:r>
      <w:r w:rsidRPr="002330C0">
        <w:rPr>
          <w:rFonts w:cs="Times New Roman"/>
          <w:shd w:val="clear" w:color="auto" w:fill="FFFDFE"/>
        </w:rPr>
        <w:t>PRICEWATERHOUSECOOPERS</w:t>
      </w:r>
      <w:r w:rsidRPr="002330C0">
        <w:rPr>
          <w:rFonts w:cs="Times New Roman"/>
          <w:color w:val="000000"/>
          <w:shd w:val="clear" w:color="auto" w:fill="FFFDFE"/>
        </w:rPr>
        <w:t xml:space="preserve"> LLP: </w:t>
      </w:r>
      <w:proofErr w:type="spellStart"/>
      <w:r w:rsidRPr="002330C0">
        <w:rPr>
          <w:rFonts w:cs="Times New Roman"/>
          <w:i/>
          <w:color w:val="000000"/>
          <w:shd w:val="clear" w:color="auto" w:fill="FFFDFE"/>
        </w:rPr>
        <w:t>Financial</w:t>
      </w:r>
      <w:proofErr w:type="spellEnd"/>
      <w:r w:rsidRPr="002330C0">
        <w:rPr>
          <w:rFonts w:cs="Times New Roman"/>
          <w:i/>
          <w:color w:val="000000"/>
          <w:shd w:val="clear" w:color="auto" w:fill="FFFDFE"/>
        </w:rPr>
        <w:t xml:space="preserve"> </w:t>
      </w:r>
      <w:proofErr w:type="spellStart"/>
      <w:r w:rsidRPr="002330C0">
        <w:rPr>
          <w:rFonts w:cs="Times New Roman"/>
          <w:i/>
          <w:color w:val="000000"/>
          <w:shd w:val="clear" w:color="auto" w:fill="FFFDFE"/>
        </w:rPr>
        <w:t>reporting</w:t>
      </w:r>
      <w:proofErr w:type="spellEnd"/>
      <w:r w:rsidRPr="002330C0">
        <w:rPr>
          <w:rFonts w:cs="Times New Roman"/>
          <w:i/>
          <w:color w:val="000000"/>
          <w:shd w:val="clear" w:color="auto" w:fill="FFFDFE"/>
        </w:rPr>
        <w:t xml:space="preserve"> in </w:t>
      </w:r>
      <w:proofErr w:type="spellStart"/>
      <w:r w:rsidRPr="002330C0">
        <w:rPr>
          <w:rFonts w:cs="Times New Roman"/>
          <w:i/>
          <w:color w:val="000000"/>
          <w:shd w:val="clear" w:color="auto" w:fill="FFFDFE"/>
        </w:rPr>
        <w:t>the</w:t>
      </w:r>
      <w:proofErr w:type="spellEnd"/>
      <w:r w:rsidRPr="002330C0">
        <w:rPr>
          <w:rFonts w:cs="Times New Roman"/>
          <w:i/>
          <w:color w:val="000000"/>
          <w:shd w:val="clear" w:color="auto" w:fill="FFFDFE"/>
        </w:rPr>
        <w:t xml:space="preserve"> </w:t>
      </w:r>
      <w:proofErr w:type="spellStart"/>
      <w:r w:rsidRPr="002330C0">
        <w:rPr>
          <w:rFonts w:cs="Times New Roman"/>
          <w:i/>
          <w:color w:val="000000"/>
          <w:shd w:val="clear" w:color="auto" w:fill="FFFDFE"/>
        </w:rPr>
        <w:t>mining</w:t>
      </w:r>
      <w:proofErr w:type="spellEnd"/>
      <w:r w:rsidRPr="002330C0">
        <w:rPr>
          <w:rFonts w:cs="Times New Roman"/>
          <w:i/>
          <w:color w:val="000000"/>
          <w:shd w:val="clear" w:color="auto" w:fill="FFFDFE"/>
        </w:rPr>
        <w:t xml:space="preserve"> </w:t>
      </w:r>
      <w:proofErr w:type="spellStart"/>
      <w:r w:rsidRPr="002330C0">
        <w:rPr>
          <w:rFonts w:cs="Times New Roman"/>
          <w:i/>
          <w:color w:val="000000"/>
          <w:shd w:val="clear" w:color="auto" w:fill="FFFDFE"/>
        </w:rPr>
        <w:t>industry</w:t>
      </w:r>
      <w:proofErr w:type="spellEnd"/>
      <w:r w:rsidRPr="002330C0">
        <w:rPr>
          <w:rFonts w:cs="Times New Roman"/>
          <w:i/>
          <w:color w:val="000000"/>
          <w:shd w:val="clear" w:color="auto" w:fill="FFFDFE"/>
        </w:rPr>
        <w:t xml:space="preserve">. </w:t>
      </w:r>
      <w:proofErr w:type="spellStart"/>
      <w:r w:rsidRPr="002330C0">
        <w:rPr>
          <w:rFonts w:cs="Times New Roman"/>
          <w:i/>
          <w:color w:val="000000"/>
          <w:shd w:val="clear" w:color="auto" w:fill="FFFDFE"/>
        </w:rPr>
        <w:t>International</w:t>
      </w:r>
      <w:proofErr w:type="spellEnd"/>
      <w:r w:rsidRPr="002330C0">
        <w:rPr>
          <w:rFonts w:cs="Times New Roman"/>
          <w:i/>
          <w:color w:val="000000"/>
          <w:shd w:val="clear" w:color="auto" w:fill="FFFDFE"/>
        </w:rPr>
        <w:t xml:space="preserve"> </w:t>
      </w:r>
      <w:proofErr w:type="spellStart"/>
      <w:r w:rsidRPr="002330C0">
        <w:rPr>
          <w:rFonts w:cs="Times New Roman"/>
          <w:i/>
          <w:color w:val="000000"/>
          <w:shd w:val="clear" w:color="auto" w:fill="FFFDFE"/>
        </w:rPr>
        <w:t>Financial</w:t>
      </w:r>
      <w:proofErr w:type="spellEnd"/>
      <w:r w:rsidRPr="002330C0">
        <w:rPr>
          <w:rFonts w:cs="Times New Roman"/>
          <w:i/>
          <w:color w:val="000000"/>
          <w:shd w:val="clear" w:color="auto" w:fill="FFFDFE"/>
        </w:rPr>
        <w:t xml:space="preserve"> </w:t>
      </w:r>
      <w:proofErr w:type="spellStart"/>
      <w:r w:rsidRPr="002330C0">
        <w:rPr>
          <w:rFonts w:cs="Times New Roman"/>
          <w:i/>
          <w:color w:val="000000"/>
          <w:shd w:val="clear" w:color="auto" w:fill="FFFDFE"/>
        </w:rPr>
        <w:t>Reporting</w:t>
      </w:r>
      <w:proofErr w:type="spellEnd"/>
      <w:r w:rsidRPr="002330C0">
        <w:rPr>
          <w:rFonts w:cs="Times New Roman"/>
          <w:i/>
          <w:color w:val="000000"/>
          <w:shd w:val="clear" w:color="auto" w:fill="FFFDFE"/>
        </w:rPr>
        <w:t xml:space="preserve"> </w:t>
      </w:r>
      <w:proofErr w:type="spellStart"/>
      <w:r w:rsidRPr="002330C0">
        <w:rPr>
          <w:rFonts w:cs="Times New Roman"/>
          <w:i/>
          <w:color w:val="000000"/>
          <w:shd w:val="clear" w:color="auto" w:fill="FFFDFE"/>
        </w:rPr>
        <w:t>Standards</w:t>
      </w:r>
      <w:proofErr w:type="spellEnd"/>
      <w:r w:rsidRPr="002330C0">
        <w:rPr>
          <w:rFonts w:cs="Times New Roman"/>
          <w:color w:val="000000"/>
          <w:shd w:val="clear" w:color="auto" w:fill="FFFDFE"/>
        </w:rPr>
        <w:t>.</w:t>
      </w:r>
      <w:r w:rsidRPr="002330C0">
        <w:rPr>
          <w:rStyle w:val="apple-converted-space"/>
          <w:rFonts w:cs="Times New Roman"/>
          <w:color w:val="000000"/>
          <w:shd w:val="clear" w:color="auto" w:fill="FFFDFE"/>
        </w:rPr>
        <w:t> [</w:t>
      </w:r>
      <w:proofErr w:type="spellStart"/>
      <w:r w:rsidRPr="002330C0">
        <w:rPr>
          <w:rStyle w:val="apple-converted-space"/>
          <w:rFonts w:cs="Times New Roman"/>
          <w:color w:val="000000"/>
          <w:shd w:val="clear" w:color="auto" w:fill="FFFDFE"/>
        </w:rPr>
        <w:t>online</w:t>
      </w:r>
      <w:proofErr w:type="spellEnd"/>
      <w:r w:rsidRPr="002330C0">
        <w:rPr>
          <w:rStyle w:val="apple-converted-space"/>
          <w:rFonts w:cs="Times New Roman"/>
          <w:color w:val="000000"/>
          <w:shd w:val="clear" w:color="auto" w:fill="FFFDFE"/>
        </w:rPr>
        <w:t>] [cit. 2016-03-03</w:t>
      </w:r>
      <w:r w:rsidRPr="002330C0">
        <w:rPr>
          <w:rStyle w:val="apple-converted-space"/>
          <w:rFonts w:cs="Times New Roman"/>
          <w:color w:val="000000"/>
          <w:shd w:val="clear" w:color="auto" w:fill="FFFDFE"/>
          <w:lang w:val="en-US"/>
        </w:rPr>
        <w:t xml:space="preserve">] </w:t>
      </w:r>
      <w:r w:rsidRPr="002330C0">
        <w:rPr>
          <w:rStyle w:val="apple-converted-space"/>
          <w:rFonts w:cs="Times New Roman"/>
          <w:color w:val="000000"/>
          <w:shd w:val="clear" w:color="auto" w:fill="FFFDFE"/>
        </w:rPr>
        <w:t>Dostupné z http://www.pwc.com/gx/en/mining/publications/assets/pwc-financial-reporting-in-the-mining-industry-2012.pdf</w:t>
      </w:r>
      <w:r>
        <w:rPr>
          <w:rStyle w:val="apple-converted-space"/>
          <w:rFonts w:cs="Times New Roman"/>
          <w:color w:val="000000"/>
          <w:shd w:val="clear" w:color="auto" w:fill="FFFDFE"/>
        </w:rPr>
        <w:t>, vlastný preklad</w:t>
      </w:r>
    </w:p>
  </w:footnote>
  <w:footnote w:id="22">
    <w:p w:rsidR="00D60A38" w:rsidRDefault="00D60A38">
      <w:pPr>
        <w:pStyle w:val="Textpoznmkypodiarou"/>
      </w:pPr>
      <w:r>
        <w:rPr>
          <w:rStyle w:val="Odkaznapoznmkupodiarou"/>
        </w:rPr>
        <w:footnoteRef/>
      </w:r>
      <w:r>
        <w:t xml:space="preserve"> údaj pochádza z evidencie spoločnosti</w:t>
      </w:r>
    </w:p>
  </w:footnote>
  <w:footnote w:id="23">
    <w:p w:rsidR="00D60A38" w:rsidRDefault="00D60A38">
      <w:pPr>
        <w:pStyle w:val="Textpoznmkypodiarou"/>
      </w:pPr>
      <w:r>
        <w:rPr>
          <w:rStyle w:val="Odkaznapoznmkupodiarou"/>
        </w:rPr>
        <w:footnoteRef/>
      </w:r>
      <w:r>
        <w:t xml:space="preserve"> REIFF, I.: </w:t>
      </w:r>
      <w:r w:rsidRPr="003612BB">
        <w:rPr>
          <w:i/>
        </w:rPr>
        <w:t>Sto rokov priemyselnej ťažby uhlia v Handlovej.</w:t>
      </w:r>
      <w:r>
        <w:t xml:space="preserve"> Handlová: Rada handlovského spolku, 2009.</w:t>
      </w:r>
    </w:p>
  </w:footnote>
  <w:footnote w:id="24">
    <w:p w:rsidR="00D60A38" w:rsidRDefault="00D60A38">
      <w:pPr>
        <w:pStyle w:val="Textpoznmkypodiarou"/>
      </w:pPr>
      <w:r>
        <w:rPr>
          <w:rStyle w:val="Odkaznapoznmkupodiarou"/>
        </w:rPr>
        <w:footnoteRef/>
      </w:r>
      <w:r>
        <w:t xml:space="preserve"> HBP, a.s.: </w:t>
      </w:r>
      <w:r w:rsidRPr="00E16760">
        <w:rPr>
          <w:i/>
        </w:rPr>
        <w:t>História. Sto rokov priemyselnej ťažby uhlia na Hornej Nitre</w:t>
      </w:r>
      <w:r w:rsidRPr="00E16760">
        <w:t>.</w:t>
      </w:r>
      <w:r>
        <w:t xml:space="preserve"> </w:t>
      </w:r>
      <w:r w:rsidRPr="00E16760">
        <w:t>[</w:t>
      </w:r>
      <w:proofErr w:type="spellStart"/>
      <w:r w:rsidRPr="00E16760">
        <w:t>online</w:t>
      </w:r>
      <w:proofErr w:type="spellEnd"/>
      <w:r w:rsidRPr="00E16760">
        <w:t xml:space="preserve">] [cit. </w:t>
      </w:r>
      <w:r>
        <w:t>2016-03-15</w:t>
      </w:r>
      <w:r w:rsidRPr="00E16760">
        <w:t>]</w:t>
      </w:r>
      <w:r>
        <w:t xml:space="preserve"> Dostupné z &lt;</w:t>
      </w:r>
      <w:r w:rsidRPr="00E16760">
        <w:t>http://www.hbp.sk/index.php/sk/spolocnost/historia</w:t>
      </w:r>
      <w:r>
        <w:t>&gt;</w:t>
      </w:r>
    </w:p>
  </w:footnote>
  <w:footnote w:id="25">
    <w:p w:rsidR="00D60A38" w:rsidRDefault="00D60A38" w:rsidP="002867E3">
      <w:pPr>
        <w:pStyle w:val="Textpoznmkypodiarou"/>
      </w:pPr>
      <w:r>
        <w:rPr>
          <w:rStyle w:val="Odkaznapoznmkupodiarou"/>
        </w:rPr>
        <w:footnoteRef/>
      </w:r>
      <w:r>
        <w:t xml:space="preserve"> Štatistický úrad SR, databáza </w:t>
      </w:r>
      <w:proofErr w:type="spellStart"/>
      <w:r>
        <w:t>STATdat</w:t>
      </w:r>
      <w:proofErr w:type="spellEnd"/>
      <w:r>
        <w:t>.</w:t>
      </w:r>
    </w:p>
  </w:footnote>
  <w:footnote w:id="26">
    <w:p w:rsidR="00D60A38" w:rsidRPr="007F6B7A" w:rsidRDefault="00D60A38" w:rsidP="002867E3">
      <w:pPr>
        <w:pStyle w:val="Textpoznmkypodiarou"/>
      </w:pPr>
      <w:r>
        <w:rPr>
          <w:rStyle w:val="Odkaznapoznmkupodiarou"/>
        </w:rPr>
        <w:footnoteRef/>
      </w:r>
      <w:r>
        <w:t xml:space="preserve"> údaj pochádza z evidencie spoločnosti</w:t>
      </w:r>
    </w:p>
  </w:footnote>
  <w:footnote w:id="27">
    <w:p w:rsidR="00D60A38" w:rsidRPr="00F03EB5" w:rsidRDefault="00D60A38">
      <w:pPr>
        <w:pStyle w:val="Textpoznmkypodiarou"/>
      </w:pPr>
      <w:r>
        <w:rPr>
          <w:rStyle w:val="Odkaznapoznmkupodiarou"/>
        </w:rPr>
        <w:footnoteRef/>
      </w:r>
      <w:r w:rsidRPr="007F6B7A">
        <w:t>HORNONITRIANSKE BANE PRIEVIDZA, A.S.:</w:t>
      </w:r>
      <w:r>
        <w:rPr>
          <w:i/>
        </w:rPr>
        <w:t xml:space="preserve"> </w:t>
      </w:r>
      <w:r w:rsidRPr="007F6B7A">
        <w:rPr>
          <w:i/>
        </w:rPr>
        <w:t>SMERNICA č. 10/2014 Podnikové postupy tvorby a použitia rezerv, ostatných záväzkov a vykázania podmienených záväzkov</w:t>
      </w:r>
      <w:r>
        <w:t xml:space="preserve">. </w:t>
      </w:r>
    </w:p>
  </w:footnote>
  <w:footnote w:id="28">
    <w:p w:rsidR="00D60A38" w:rsidRDefault="00D60A38">
      <w:pPr>
        <w:pStyle w:val="Textpoznmkypodiarou"/>
      </w:pPr>
      <w:r>
        <w:rPr>
          <w:rStyle w:val="Odkaznapoznmkupodiarou"/>
        </w:rPr>
        <w:footnoteRef/>
      </w:r>
      <w:r w:rsidRPr="007F6B7A">
        <w:t>HORNONITRIANSKE BANE PRIEVIDZA, A.S.:</w:t>
      </w:r>
      <w:r>
        <w:rPr>
          <w:i/>
        </w:rPr>
        <w:t xml:space="preserve"> </w:t>
      </w:r>
      <w:r w:rsidRPr="007F6B7A">
        <w:rPr>
          <w:i/>
        </w:rPr>
        <w:t>SMERNICA č. 10/2014 Podnikové postupy tvorby a použitia rezerv, ostatných záväzkov a vykázania podmienených záväzkov</w:t>
      </w:r>
      <w:r>
        <w:t>.</w:t>
      </w:r>
    </w:p>
  </w:footnote>
  <w:footnote w:id="29">
    <w:p w:rsidR="00D60A38" w:rsidRDefault="00D60A38" w:rsidP="00B42C39">
      <w:pPr>
        <w:pStyle w:val="Textpoznmkypodiarou"/>
      </w:pPr>
      <w:r>
        <w:rPr>
          <w:rStyle w:val="Odkaznapoznmkupodiarou"/>
        </w:rPr>
        <w:footnoteRef/>
      </w:r>
      <w:r>
        <w:t xml:space="preserve"> </w:t>
      </w:r>
      <w:r w:rsidRPr="00E16760">
        <w:rPr>
          <w:i/>
        </w:rPr>
        <w:t>Výsledky aukcií štátnych dlhopisov za rok 2015.</w:t>
      </w:r>
      <w:r>
        <w:t xml:space="preserve"> [</w:t>
      </w:r>
      <w:proofErr w:type="spellStart"/>
      <w:r>
        <w:t>online</w:t>
      </w:r>
      <w:proofErr w:type="spellEnd"/>
      <w:r>
        <w:t>] [cit. 2016-01-20]  Dostupné z &lt;</w:t>
      </w:r>
      <w:r w:rsidRPr="00D91049">
        <w:t>https://www.ardal.sk/_img/Documents/%C5%A0CP/%C5%A0D/Portf%C3%B3lio%20%C5%A0D/vysledkysd2014.htm</w:t>
      </w:r>
      <w:r>
        <w:t>&gt;</w:t>
      </w:r>
    </w:p>
  </w:footnote>
  <w:footnote w:id="30">
    <w:p w:rsidR="00D60A38" w:rsidRDefault="00D60A38" w:rsidP="007E52B5">
      <w:pPr>
        <w:pStyle w:val="Textpoznmkypodiarou"/>
      </w:pPr>
      <w:r>
        <w:rPr>
          <w:rStyle w:val="Odkaznapoznmkupodiarou"/>
        </w:rPr>
        <w:footnoteRef/>
      </w:r>
      <w:r>
        <w:t xml:space="preserve"> Investičné banské dielo - banské dielo, ktorého využitie sa predpokladá na niekoľko rokov</w:t>
      </w:r>
    </w:p>
  </w:footnote>
  <w:footnote w:id="31">
    <w:p w:rsidR="00D60A38" w:rsidRDefault="00D60A38" w:rsidP="00CC014C">
      <w:pPr>
        <w:pStyle w:val="Textpoznmkypodiarou"/>
      </w:pPr>
      <w:r>
        <w:rPr>
          <w:rStyle w:val="Odkaznapoznmkupodiarou"/>
        </w:rPr>
        <w:footnoteRef/>
      </w:r>
      <w:r>
        <w:t xml:space="preserve"> HBP, A.S: </w:t>
      </w:r>
      <w:r w:rsidRPr="0001063B">
        <w:rPr>
          <w:i/>
        </w:rPr>
        <w:t>Výročná správa za rok 2014.</w:t>
      </w:r>
    </w:p>
  </w:footnote>
  <w:footnote w:id="32">
    <w:p w:rsidR="00D60A38" w:rsidRDefault="00D60A38">
      <w:pPr>
        <w:pStyle w:val="Textpoznmkypodiarou"/>
      </w:pPr>
      <w:r>
        <w:rPr>
          <w:rStyle w:val="Odkaznapoznmkupodiarou"/>
        </w:rPr>
        <w:footnoteRef/>
      </w:r>
      <w:r>
        <w:t xml:space="preserve"> dňa 1.2.2016 bol kurz ČNB 27,020Kč/€, v celej práci používame pre zjednodušenie kurz 27Kč/€</w:t>
      </w:r>
    </w:p>
  </w:footnote>
  <w:footnote w:id="33">
    <w:p w:rsidR="00D60A38" w:rsidRPr="00B06903" w:rsidRDefault="00D60A38" w:rsidP="00CC014C">
      <w:pPr>
        <w:pStyle w:val="Textpoznmkypodiarou"/>
      </w:pPr>
      <w:r>
        <w:rPr>
          <w:rStyle w:val="Odkaznapoznmkupodiarou"/>
        </w:rPr>
        <w:footnoteRef/>
      </w:r>
      <w:r>
        <w:t xml:space="preserve">SEVEROČESKÉ DOLY, A.S.: </w:t>
      </w:r>
      <w:proofErr w:type="spellStart"/>
      <w:r w:rsidRPr="001D1367">
        <w:rPr>
          <w:i/>
        </w:rPr>
        <w:t>Sezona</w:t>
      </w:r>
      <w:proofErr w:type="spellEnd"/>
      <w:r w:rsidRPr="001D1367">
        <w:rPr>
          <w:i/>
        </w:rPr>
        <w:t xml:space="preserve"> 2014</w:t>
      </w:r>
      <w:r w:rsidRPr="00B06903">
        <w:t>.</w:t>
      </w:r>
      <w:r>
        <w:t xml:space="preserve"> </w:t>
      </w:r>
      <w:r w:rsidRPr="00B06903">
        <w:rPr>
          <w:lang w:val="en-US"/>
        </w:rPr>
        <w:t>[online] [cit. 2016-03-28]</w:t>
      </w:r>
      <w:r>
        <w:rPr>
          <w:lang w:val="en-US"/>
        </w:rPr>
        <w:t xml:space="preserve"> </w:t>
      </w:r>
      <w:proofErr w:type="spellStart"/>
      <w:r w:rsidRPr="00B06903">
        <w:rPr>
          <w:lang w:val="en-US"/>
        </w:rPr>
        <w:t>Dostupné</w:t>
      </w:r>
      <w:proofErr w:type="spellEnd"/>
      <w:r w:rsidRPr="00B06903">
        <w:rPr>
          <w:lang w:val="en-US"/>
        </w:rPr>
        <w:t xml:space="preserve"> z &lt;</w:t>
      </w:r>
      <w:r w:rsidRPr="00B06903">
        <w:t xml:space="preserve"> </w:t>
      </w:r>
      <w:r w:rsidRPr="00B06903">
        <w:rPr>
          <w:lang w:val="en-US"/>
        </w:rPr>
        <w:t>http://www.sdas.cz/vyrocni-zpravy/SD_VZ_2014.pdf &gt;.</w:t>
      </w:r>
    </w:p>
  </w:footnote>
  <w:footnote w:id="34">
    <w:p w:rsidR="00D60A38" w:rsidRDefault="00D60A38">
      <w:pPr>
        <w:pStyle w:val="Textpoznmkypodiarou"/>
      </w:pPr>
      <w:r>
        <w:rPr>
          <w:rStyle w:val="Odkaznapoznmkupodiarou"/>
        </w:rPr>
        <w:footnoteRef/>
      </w:r>
      <w:r>
        <w:t xml:space="preserve"> </w:t>
      </w:r>
      <w:proofErr w:type="spellStart"/>
      <w:r w:rsidRPr="008E7113">
        <w:rPr>
          <w:i/>
        </w:rPr>
        <w:t>Státní</w:t>
      </w:r>
      <w:proofErr w:type="spellEnd"/>
      <w:r w:rsidRPr="008E7113">
        <w:rPr>
          <w:i/>
        </w:rPr>
        <w:t xml:space="preserve"> </w:t>
      </w:r>
      <w:proofErr w:type="spellStart"/>
      <w:r w:rsidRPr="008E7113">
        <w:rPr>
          <w:i/>
        </w:rPr>
        <w:t>báňská</w:t>
      </w:r>
      <w:proofErr w:type="spellEnd"/>
      <w:r w:rsidRPr="008E7113">
        <w:rPr>
          <w:i/>
        </w:rPr>
        <w:t xml:space="preserve"> správa České republiky: </w:t>
      </w:r>
      <w:proofErr w:type="spellStart"/>
      <w:r w:rsidRPr="008E7113">
        <w:rPr>
          <w:i/>
        </w:rPr>
        <w:t>statistiky</w:t>
      </w:r>
      <w:proofErr w:type="spellEnd"/>
      <w:r w:rsidRPr="008E7113">
        <w:rPr>
          <w:i/>
        </w:rPr>
        <w:t>.</w:t>
      </w:r>
      <w:r>
        <w:rPr>
          <w:i/>
        </w:rPr>
        <w:t xml:space="preserve">  </w:t>
      </w:r>
      <w:r>
        <w:rPr>
          <w:lang w:val="en-US"/>
        </w:rPr>
        <w:t>[online] [2016-03-21]</w:t>
      </w:r>
      <w:r>
        <w:t xml:space="preserve"> Dostupné z &lt;</w:t>
      </w:r>
      <w:r w:rsidRPr="008E7113">
        <w:t xml:space="preserve"> http://www.cbusbs.cz/index.php/statistika.html </w:t>
      </w:r>
      <w:r>
        <w:t>&gt;</w:t>
      </w:r>
    </w:p>
  </w:footnote>
  <w:footnote w:id="35">
    <w:p w:rsidR="00D60A38" w:rsidRPr="008E7113" w:rsidRDefault="00D60A38" w:rsidP="00CC014C">
      <w:pPr>
        <w:pStyle w:val="Textpoznmkypodiarou"/>
      </w:pPr>
      <w:r>
        <w:rPr>
          <w:rStyle w:val="Odkaznapoznmkupodiarou"/>
        </w:rPr>
        <w:footnoteRef/>
      </w:r>
      <w:r>
        <w:t xml:space="preserve"> </w:t>
      </w:r>
      <w:r w:rsidRPr="00751072">
        <w:t>Taktiež.</w:t>
      </w:r>
    </w:p>
  </w:footnote>
  <w:footnote w:id="36">
    <w:p w:rsidR="00D60A38" w:rsidRDefault="00D60A38">
      <w:pPr>
        <w:pStyle w:val="Textpoznmkypodiarou"/>
      </w:pPr>
      <w:r>
        <w:rPr>
          <w:rStyle w:val="Odkaznapoznmkupodiarou"/>
        </w:rPr>
        <w:footnoteRef/>
      </w:r>
      <w:r>
        <w:t xml:space="preserve"> </w:t>
      </w:r>
      <w:r>
        <w:t>V roku 2016 už bolo dokonca vydaných niekoľko dlhopisov so záporným akceptovaným výnosom.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646EE9"/>
    <w:multiLevelType w:val="hybridMultilevel"/>
    <w:tmpl w:val="6A105F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525F5A31"/>
    <w:multiLevelType w:val="hybridMultilevel"/>
    <w:tmpl w:val="A532EA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58AA4224"/>
    <w:multiLevelType w:val="hybridMultilevel"/>
    <w:tmpl w:val="47AC28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62AD578B"/>
    <w:multiLevelType w:val="hybridMultilevel"/>
    <w:tmpl w:val="56EE81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765A3E3D"/>
    <w:multiLevelType w:val="hybridMultilevel"/>
    <w:tmpl w:val="CD082C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799D5D78"/>
    <w:multiLevelType w:val="hybridMultilevel"/>
    <w:tmpl w:val="3350D8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7BED06C1"/>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num w:numId="1">
    <w:abstractNumId w:val="6"/>
  </w:num>
  <w:num w:numId="2">
    <w:abstractNumId w:val="0"/>
  </w:num>
  <w:num w:numId="3">
    <w:abstractNumId w:val="2"/>
  </w:num>
  <w:num w:numId="4">
    <w:abstractNumId w:val="1"/>
  </w:num>
  <w:num w:numId="5">
    <w:abstractNumId w:val="4"/>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proofState w:spelling="clean" w:grammar="clean"/>
  <w:defaultTabStop w:val="709"/>
  <w:hyphenationZone w:val="425"/>
  <w:characterSpacingControl w:val="doNotCompress"/>
  <w:footnotePr>
    <w:footnote w:id="-1"/>
    <w:footnote w:id="0"/>
  </w:footnotePr>
  <w:endnotePr>
    <w:endnote w:id="-1"/>
    <w:endnote w:id="0"/>
  </w:endnotePr>
  <w:compat/>
  <w:rsids>
    <w:rsidRoot w:val="00154127"/>
    <w:rsid w:val="000075B2"/>
    <w:rsid w:val="000101D8"/>
    <w:rsid w:val="0001063B"/>
    <w:rsid w:val="000177CD"/>
    <w:rsid w:val="00022152"/>
    <w:rsid w:val="000345D2"/>
    <w:rsid w:val="00037AC0"/>
    <w:rsid w:val="00042254"/>
    <w:rsid w:val="00043FA3"/>
    <w:rsid w:val="00056D9F"/>
    <w:rsid w:val="00057FBF"/>
    <w:rsid w:val="00061B28"/>
    <w:rsid w:val="000676BE"/>
    <w:rsid w:val="0007177C"/>
    <w:rsid w:val="00076CC1"/>
    <w:rsid w:val="000771CE"/>
    <w:rsid w:val="0008755B"/>
    <w:rsid w:val="000913AE"/>
    <w:rsid w:val="000945E8"/>
    <w:rsid w:val="000A0D9C"/>
    <w:rsid w:val="000A1461"/>
    <w:rsid w:val="000B1BC2"/>
    <w:rsid w:val="000B3EE8"/>
    <w:rsid w:val="000B5FE0"/>
    <w:rsid w:val="000C2630"/>
    <w:rsid w:val="000C3401"/>
    <w:rsid w:val="000C3FF4"/>
    <w:rsid w:val="000D012E"/>
    <w:rsid w:val="000E282C"/>
    <w:rsid w:val="000E4423"/>
    <w:rsid w:val="000F0421"/>
    <w:rsid w:val="000F77A5"/>
    <w:rsid w:val="00103589"/>
    <w:rsid w:val="00103D45"/>
    <w:rsid w:val="00113F8C"/>
    <w:rsid w:val="0011634B"/>
    <w:rsid w:val="00123F56"/>
    <w:rsid w:val="001260FC"/>
    <w:rsid w:val="001313E8"/>
    <w:rsid w:val="00131CE1"/>
    <w:rsid w:val="001338FC"/>
    <w:rsid w:val="00133BEA"/>
    <w:rsid w:val="00134F08"/>
    <w:rsid w:val="001418B1"/>
    <w:rsid w:val="0015061A"/>
    <w:rsid w:val="00152D06"/>
    <w:rsid w:val="00154127"/>
    <w:rsid w:val="00155780"/>
    <w:rsid w:val="00164C36"/>
    <w:rsid w:val="00171CE8"/>
    <w:rsid w:val="00184163"/>
    <w:rsid w:val="00185945"/>
    <w:rsid w:val="001861AE"/>
    <w:rsid w:val="00193C87"/>
    <w:rsid w:val="001B0D60"/>
    <w:rsid w:val="001B1050"/>
    <w:rsid w:val="001B25A3"/>
    <w:rsid w:val="001B39BA"/>
    <w:rsid w:val="001B71C5"/>
    <w:rsid w:val="001B7250"/>
    <w:rsid w:val="001C4002"/>
    <w:rsid w:val="001C4FF7"/>
    <w:rsid w:val="001C5AD5"/>
    <w:rsid w:val="001D7DA7"/>
    <w:rsid w:val="001E3191"/>
    <w:rsid w:val="001F4681"/>
    <w:rsid w:val="001F62F2"/>
    <w:rsid w:val="00205ED9"/>
    <w:rsid w:val="00211897"/>
    <w:rsid w:val="002123D1"/>
    <w:rsid w:val="00215905"/>
    <w:rsid w:val="00225868"/>
    <w:rsid w:val="0023229D"/>
    <w:rsid w:val="00232634"/>
    <w:rsid w:val="00232CE5"/>
    <w:rsid w:val="002330C0"/>
    <w:rsid w:val="0026252F"/>
    <w:rsid w:val="002648B5"/>
    <w:rsid w:val="0026646F"/>
    <w:rsid w:val="00275D11"/>
    <w:rsid w:val="00281A05"/>
    <w:rsid w:val="00285E98"/>
    <w:rsid w:val="002867E3"/>
    <w:rsid w:val="00292037"/>
    <w:rsid w:val="00292073"/>
    <w:rsid w:val="00292DD0"/>
    <w:rsid w:val="00296F85"/>
    <w:rsid w:val="002A1CD5"/>
    <w:rsid w:val="002A71FB"/>
    <w:rsid w:val="002A7912"/>
    <w:rsid w:val="002B5C53"/>
    <w:rsid w:val="002B62DF"/>
    <w:rsid w:val="002B6F02"/>
    <w:rsid w:val="002D02B0"/>
    <w:rsid w:val="002D74A7"/>
    <w:rsid w:val="002E2412"/>
    <w:rsid w:val="002E290C"/>
    <w:rsid w:val="002E5243"/>
    <w:rsid w:val="002E5A51"/>
    <w:rsid w:val="002F5604"/>
    <w:rsid w:val="00304E6F"/>
    <w:rsid w:val="00310444"/>
    <w:rsid w:val="0031198A"/>
    <w:rsid w:val="00313205"/>
    <w:rsid w:val="003137DA"/>
    <w:rsid w:val="003148A8"/>
    <w:rsid w:val="0031512B"/>
    <w:rsid w:val="00317A09"/>
    <w:rsid w:val="00340FAB"/>
    <w:rsid w:val="00351EB8"/>
    <w:rsid w:val="00353E07"/>
    <w:rsid w:val="0035660B"/>
    <w:rsid w:val="0036189C"/>
    <w:rsid w:val="00365118"/>
    <w:rsid w:val="00373B6A"/>
    <w:rsid w:val="00383718"/>
    <w:rsid w:val="00390AAB"/>
    <w:rsid w:val="00395D35"/>
    <w:rsid w:val="003A1532"/>
    <w:rsid w:val="003B3B55"/>
    <w:rsid w:val="003B6522"/>
    <w:rsid w:val="003C0B23"/>
    <w:rsid w:val="003D19E2"/>
    <w:rsid w:val="003E0C41"/>
    <w:rsid w:val="003E2D8F"/>
    <w:rsid w:val="003F11FE"/>
    <w:rsid w:val="003F75E5"/>
    <w:rsid w:val="00402458"/>
    <w:rsid w:val="00406544"/>
    <w:rsid w:val="004076DB"/>
    <w:rsid w:val="00411006"/>
    <w:rsid w:val="00414BF6"/>
    <w:rsid w:val="00451F06"/>
    <w:rsid w:val="0046463F"/>
    <w:rsid w:val="004671F0"/>
    <w:rsid w:val="00471711"/>
    <w:rsid w:val="00472FB7"/>
    <w:rsid w:val="00474EBC"/>
    <w:rsid w:val="00475931"/>
    <w:rsid w:val="00482773"/>
    <w:rsid w:val="00486345"/>
    <w:rsid w:val="00495F76"/>
    <w:rsid w:val="004964D8"/>
    <w:rsid w:val="0049772C"/>
    <w:rsid w:val="004A125F"/>
    <w:rsid w:val="004B1638"/>
    <w:rsid w:val="004B48C2"/>
    <w:rsid w:val="004B6B84"/>
    <w:rsid w:val="004C1C5A"/>
    <w:rsid w:val="004C33D0"/>
    <w:rsid w:val="004C78EE"/>
    <w:rsid w:val="004D2112"/>
    <w:rsid w:val="004D2AD8"/>
    <w:rsid w:val="004E16ED"/>
    <w:rsid w:val="004F76C8"/>
    <w:rsid w:val="00500657"/>
    <w:rsid w:val="00513276"/>
    <w:rsid w:val="00513479"/>
    <w:rsid w:val="00515732"/>
    <w:rsid w:val="00515819"/>
    <w:rsid w:val="00533914"/>
    <w:rsid w:val="00533FBA"/>
    <w:rsid w:val="005346D0"/>
    <w:rsid w:val="00535994"/>
    <w:rsid w:val="005479CB"/>
    <w:rsid w:val="005546F7"/>
    <w:rsid w:val="0055719E"/>
    <w:rsid w:val="00560A49"/>
    <w:rsid w:val="0056117C"/>
    <w:rsid w:val="00563901"/>
    <w:rsid w:val="005736AB"/>
    <w:rsid w:val="005873F4"/>
    <w:rsid w:val="00590A06"/>
    <w:rsid w:val="00591AC0"/>
    <w:rsid w:val="00595DC5"/>
    <w:rsid w:val="00596053"/>
    <w:rsid w:val="005B32FF"/>
    <w:rsid w:val="005B658E"/>
    <w:rsid w:val="005D0187"/>
    <w:rsid w:val="005D13BC"/>
    <w:rsid w:val="005D1D30"/>
    <w:rsid w:val="005D3111"/>
    <w:rsid w:val="005D55C4"/>
    <w:rsid w:val="005E51F7"/>
    <w:rsid w:val="005E6FC2"/>
    <w:rsid w:val="005E7821"/>
    <w:rsid w:val="005F1FF7"/>
    <w:rsid w:val="005F761B"/>
    <w:rsid w:val="00607F29"/>
    <w:rsid w:val="00624688"/>
    <w:rsid w:val="0062489F"/>
    <w:rsid w:val="00625380"/>
    <w:rsid w:val="00631B8A"/>
    <w:rsid w:val="00633DA4"/>
    <w:rsid w:val="0063494D"/>
    <w:rsid w:val="0063725C"/>
    <w:rsid w:val="00641022"/>
    <w:rsid w:val="00656FFA"/>
    <w:rsid w:val="00681747"/>
    <w:rsid w:val="00683DF9"/>
    <w:rsid w:val="00691181"/>
    <w:rsid w:val="00697600"/>
    <w:rsid w:val="00697A27"/>
    <w:rsid w:val="006A2210"/>
    <w:rsid w:val="006C04D6"/>
    <w:rsid w:val="006C1337"/>
    <w:rsid w:val="006C5AD5"/>
    <w:rsid w:val="006D3F0B"/>
    <w:rsid w:val="006D6822"/>
    <w:rsid w:val="006D6FC7"/>
    <w:rsid w:val="00703B3A"/>
    <w:rsid w:val="00706773"/>
    <w:rsid w:val="00725508"/>
    <w:rsid w:val="00726D10"/>
    <w:rsid w:val="0073227D"/>
    <w:rsid w:val="007351C2"/>
    <w:rsid w:val="007365C7"/>
    <w:rsid w:val="007503E9"/>
    <w:rsid w:val="00751072"/>
    <w:rsid w:val="00752DAD"/>
    <w:rsid w:val="007667A8"/>
    <w:rsid w:val="00770924"/>
    <w:rsid w:val="007709DD"/>
    <w:rsid w:val="00772488"/>
    <w:rsid w:val="00772DD2"/>
    <w:rsid w:val="00795BD0"/>
    <w:rsid w:val="007A27B4"/>
    <w:rsid w:val="007A312A"/>
    <w:rsid w:val="007B00FC"/>
    <w:rsid w:val="007B50F0"/>
    <w:rsid w:val="007B5A64"/>
    <w:rsid w:val="007B630B"/>
    <w:rsid w:val="007C6794"/>
    <w:rsid w:val="007D498E"/>
    <w:rsid w:val="007D7019"/>
    <w:rsid w:val="007E52B5"/>
    <w:rsid w:val="007E7B01"/>
    <w:rsid w:val="007F086C"/>
    <w:rsid w:val="007F2B43"/>
    <w:rsid w:val="007F3CC1"/>
    <w:rsid w:val="007F6324"/>
    <w:rsid w:val="007F6B7A"/>
    <w:rsid w:val="0080011A"/>
    <w:rsid w:val="00801581"/>
    <w:rsid w:val="00801F18"/>
    <w:rsid w:val="008074F7"/>
    <w:rsid w:val="00810ACE"/>
    <w:rsid w:val="008168B8"/>
    <w:rsid w:val="00821B11"/>
    <w:rsid w:val="008306B0"/>
    <w:rsid w:val="00834069"/>
    <w:rsid w:val="00846F09"/>
    <w:rsid w:val="0086705C"/>
    <w:rsid w:val="008757F6"/>
    <w:rsid w:val="00882626"/>
    <w:rsid w:val="0088569E"/>
    <w:rsid w:val="00890195"/>
    <w:rsid w:val="008A42BD"/>
    <w:rsid w:val="008A45B8"/>
    <w:rsid w:val="008A46EF"/>
    <w:rsid w:val="008B0E89"/>
    <w:rsid w:val="008B588B"/>
    <w:rsid w:val="008B5EA8"/>
    <w:rsid w:val="008C567A"/>
    <w:rsid w:val="008E3408"/>
    <w:rsid w:val="008E5967"/>
    <w:rsid w:val="008E7113"/>
    <w:rsid w:val="008F20CC"/>
    <w:rsid w:val="008F4354"/>
    <w:rsid w:val="008F57FF"/>
    <w:rsid w:val="008F62C6"/>
    <w:rsid w:val="0090445B"/>
    <w:rsid w:val="009146DB"/>
    <w:rsid w:val="00931B24"/>
    <w:rsid w:val="0093374D"/>
    <w:rsid w:val="009362A7"/>
    <w:rsid w:val="009368CF"/>
    <w:rsid w:val="00952194"/>
    <w:rsid w:val="00952D76"/>
    <w:rsid w:val="00961EBA"/>
    <w:rsid w:val="0096713D"/>
    <w:rsid w:val="00974ADE"/>
    <w:rsid w:val="00983B8D"/>
    <w:rsid w:val="009945E5"/>
    <w:rsid w:val="009A3649"/>
    <w:rsid w:val="009A3D21"/>
    <w:rsid w:val="009A763E"/>
    <w:rsid w:val="009B054F"/>
    <w:rsid w:val="009B0680"/>
    <w:rsid w:val="009B1CCC"/>
    <w:rsid w:val="009B639A"/>
    <w:rsid w:val="009C203E"/>
    <w:rsid w:val="009C3136"/>
    <w:rsid w:val="009C4ACC"/>
    <w:rsid w:val="009D170E"/>
    <w:rsid w:val="009D6076"/>
    <w:rsid w:val="009D616E"/>
    <w:rsid w:val="009D6337"/>
    <w:rsid w:val="009D72B1"/>
    <w:rsid w:val="009F1F9B"/>
    <w:rsid w:val="009F391C"/>
    <w:rsid w:val="009F7ACA"/>
    <w:rsid w:val="009F7E11"/>
    <w:rsid w:val="00A01CDB"/>
    <w:rsid w:val="00A07A70"/>
    <w:rsid w:val="00A132B1"/>
    <w:rsid w:val="00A13D73"/>
    <w:rsid w:val="00A16AD9"/>
    <w:rsid w:val="00A16F56"/>
    <w:rsid w:val="00A2077E"/>
    <w:rsid w:val="00A270F9"/>
    <w:rsid w:val="00A31FA5"/>
    <w:rsid w:val="00A360DF"/>
    <w:rsid w:val="00A639D0"/>
    <w:rsid w:val="00A74B37"/>
    <w:rsid w:val="00A763C7"/>
    <w:rsid w:val="00A76803"/>
    <w:rsid w:val="00A80790"/>
    <w:rsid w:val="00A913D8"/>
    <w:rsid w:val="00A940A0"/>
    <w:rsid w:val="00AA3BF8"/>
    <w:rsid w:val="00AA7BB2"/>
    <w:rsid w:val="00AC3227"/>
    <w:rsid w:val="00AC561E"/>
    <w:rsid w:val="00AC5A10"/>
    <w:rsid w:val="00AC7319"/>
    <w:rsid w:val="00AD18A6"/>
    <w:rsid w:val="00AD5153"/>
    <w:rsid w:val="00AD5E03"/>
    <w:rsid w:val="00AE18F0"/>
    <w:rsid w:val="00AE23B9"/>
    <w:rsid w:val="00AE58AB"/>
    <w:rsid w:val="00AF1D8B"/>
    <w:rsid w:val="00AF4FB4"/>
    <w:rsid w:val="00AF514E"/>
    <w:rsid w:val="00AF6671"/>
    <w:rsid w:val="00B004AD"/>
    <w:rsid w:val="00B06903"/>
    <w:rsid w:val="00B40BBE"/>
    <w:rsid w:val="00B41148"/>
    <w:rsid w:val="00B425C6"/>
    <w:rsid w:val="00B42C39"/>
    <w:rsid w:val="00B47256"/>
    <w:rsid w:val="00B5642C"/>
    <w:rsid w:val="00B56B0B"/>
    <w:rsid w:val="00B60251"/>
    <w:rsid w:val="00B60295"/>
    <w:rsid w:val="00B76585"/>
    <w:rsid w:val="00B76BE1"/>
    <w:rsid w:val="00B77BEF"/>
    <w:rsid w:val="00B83808"/>
    <w:rsid w:val="00B872C0"/>
    <w:rsid w:val="00B910DE"/>
    <w:rsid w:val="00BC19CF"/>
    <w:rsid w:val="00BC2B50"/>
    <w:rsid w:val="00BC52D7"/>
    <w:rsid w:val="00BD0F03"/>
    <w:rsid w:val="00BF1D21"/>
    <w:rsid w:val="00BF4635"/>
    <w:rsid w:val="00BF7313"/>
    <w:rsid w:val="00C03A9A"/>
    <w:rsid w:val="00C05A54"/>
    <w:rsid w:val="00C07A72"/>
    <w:rsid w:val="00C07E57"/>
    <w:rsid w:val="00C1522A"/>
    <w:rsid w:val="00C32CB9"/>
    <w:rsid w:val="00C35CED"/>
    <w:rsid w:val="00C440FD"/>
    <w:rsid w:val="00C47EA1"/>
    <w:rsid w:val="00C674C7"/>
    <w:rsid w:val="00C715E9"/>
    <w:rsid w:val="00C730A0"/>
    <w:rsid w:val="00C75914"/>
    <w:rsid w:val="00C76878"/>
    <w:rsid w:val="00C82C6C"/>
    <w:rsid w:val="00C82E02"/>
    <w:rsid w:val="00C93B43"/>
    <w:rsid w:val="00C9682C"/>
    <w:rsid w:val="00CA0378"/>
    <w:rsid w:val="00CA6464"/>
    <w:rsid w:val="00CB4BD2"/>
    <w:rsid w:val="00CC014C"/>
    <w:rsid w:val="00CC7133"/>
    <w:rsid w:val="00CD6012"/>
    <w:rsid w:val="00CD6BED"/>
    <w:rsid w:val="00CE28D1"/>
    <w:rsid w:val="00CE3FB5"/>
    <w:rsid w:val="00CE5856"/>
    <w:rsid w:val="00CE65F8"/>
    <w:rsid w:val="00CE67D5"/>
    <w:rsid w:val="00CF0876"/>
    <w:rsid w:val="00D02645"/>
    <w:rsid w:val="00D03CC2"/>
    <w:rsid w:val="00D152C3"/>
    <w:rsid w:val="00D16405"/>
    <w:rsid w:val="00D35D77"/>
    <w:rsid w:val="00D40B55"/>
    <w:rsid w:val="00D60A38"/>
    <w:rsid w:val="00D6237E"/>
    <w:rsid w:val="00D647EC"/>
    <w:rsid w:val="00D73DA9"/>
    <w:rsid w:val="00D75110"/>
    <w:rsid w:val="00D86224"/>
    <w:rsid w:val="00D91049"/>
    <w:rsid w:val="00DA1ADE"/>
    <w:rsid w:val="00DA5535"/>
    <w:rsid w:val="00DB6B28"/>
    <w:rsid w:val="00DB79D6"/>
    <w:rsid w:val="00DC2C6C"/>
    <w:rsid w:val="00DC51AA"/>
    <w:rsid w:val="00DC5D09"/>
    <w:rsid w:val="00DC5D64"/>
    <w:rsid w:val="00DC5DD0"/>
    <w:rsid w:val="00DD225A"/>
    <w:rsid w:val="00DD2453"/>
    <w:rsid w:val="00DD4245"/>
    <w:rsid w:val="00DE515F"/>
    <w:rsid w:val="00E16760"/>
    <w:rsid w:val="00E172F8"/>
    <w:rsid w:val="00E33DA0"/>
    <w:rsid w:val="00E34AA7"/>
    <w:rsid w:val="00E510EF"/>
    <w:rsid w:val="00E56496"/>
    <w:rsid w:val="00E67012"/>
    <w:rsid w:val="00E671A0"/>
    <w:rsid w:val="00E74AD2"/>
    <w:rsid w:val="00E75A23"/>
    <w:rsid w:val="00E82859"/>
    <w:rsid w:val="00E84C3C"/>
    <w:rsid w:val="00E97FB5"/>
    <w:rsid w:val="00EA083B"/>
    <w:rsid w:val="00EA68D3"/>
    <w:rsid w:val="00EB02DA"/>
    <w:rsid w:val="00EC0136"/>
    <w:rsid w:val="00EC1179"/>
    <w:rsid w:val="00EC4F5C"/>
    <w:rsid w:val="00ED239D"/>
    <w:rsid w:val="00ED560F"/>
    <w:rsid w:val="00ED7418"/>
    <w:rsid w:val="00ED79E0"/>
    <w:rsid w:val="00EE677D"/>
    <w:rsid w:val="00F016E4"/>
    <w:rsid w:val="00F03EB5"/>
    <w:rsid w:val="00F13445"/>
    <w:rsid w:val="00F277C9"/>
    <w:rsid w:val="00F36BD1"/>
    <w:rsid w:val="00F372B9"/>
    <w:rsid w:val="00F46270"/>
    <w:rsid w:val="00F46FF4"/>
    <w:rsid w:val="00F535C1"/>
    <w:rsid w:val="00F547D1"/>
    <w:rsid w:val="00F630EF"/>
    <w:rsid w:val="00F633F4"/>
    <w:rsid w:val="00F65D66"/>
    <w:rsid w:val="00F6605F"/>
    <w:rsid w:val="00F67391"/>
    <w:rsid w:val="00F82507"/>
    <w:rsid w:val="00F82895"/>
    <w:rsid w:val="00F84C58"/>
    <w:rsid w:val="00F85175"/>
    <w:rsid w:val="00F9304F"/>
    <w:rsid w:val="00FA795D"/>
    <w:rsid w:val="00FB3E46"/>
    <w:rsid w:val="00FB52F9"/>
    <w:rsid w:val="00FF1E4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F7E11"/>
    <w:rPr>
      <w:rFonts w:ascii="Times New Roman" w:hAnsi="Times New Roman"/>
      <w:sz w:val="24"/>
    </w:rPr>
  </w:style>
  <w:style w:type="paragraph" w:styleId="Nadpis1">
    <w:name w:val="heading 1"/>
    <w:basedOn w:val="Normlny"/>
    <w:next w:val="Normlny"/>
    <w:link w:val="Nadpis1Char"/>
    <w:autoRedefine/>
    <w:uiPriority w:val="9"/>
    <w:qFormat/>
    <w:rsid w:val="007F6324"/>
    <w:pPr>
      <w:keepNext/>
      <w:keepLines/>
      <w:pageBreakBefore/>
      <w:numPr>
        <w:numId w:val="1"/>
      </w:numPr>
      <w:spacing w:before="200" w:after="200"/>
      <w:ind w:left="431" w:hanging="431"/>
      <w:outlineLvl w:val="0"/>
    </w:pPr>
    <w:rPr>
      <w:rFonts w:eastAsiaTheme="majorEastAsia" w:cstheme="majorBidi"/>
      <w:b/>
      <w:bCs/>
      <w:color w:val="000000" w:themeColor="text1"/>
      <w:sz w:val="32"/>
      <w:szCs w:val="28"/>
    </w:rPr>
  </w:style>
  <w:style w:type="paragraph" w:styleId="Nadpis2">
    <w:name w:val="heading 2"/>
    <w:basedOn w:val="Normlny"/>
    <w:next w:val="Normlny"/>
    <w:link w:val="Nadpis2Char"/>
    <w:uiPriority w:val="9"/>
    <w:unhideWhenUsed/>
    <w:qFormat/>
    <w:rsid w:val="007F6324"/>
    <w:pPr>
      <w:keepNext/>
      <w:keepLines/>
      <w:numPr>
        <w:ilvl w:val="1"/>
        <w:numId w:val="1"/>
      </w:numPr>
      <w:spacing w:before="200" w:after="200"/>
      <w:ind w:left="578" w:hanging="578"/>
      <w:outlineLvl w:val="1"/>
    </w:pPr>
    <w:rPr>
      <w:rFonts w:eastAsiaTheme="majorEastAsia" w:cstheme="majorBidi"/>
      <w:b/>
      <w:bCs/>
      <w:color w:val="000000" w:themeColor="text1"/>
      <w:sz w:val="28"/>
      <w:szCs w:val="26"/>
    </w:rPr>
  </w:style>
  <w:style w:type="paragraph" w:styleId="Nadpis3">
    <w:name w:val="heading 3"/>
    <w:basedOn w:val="Normlny"/>
    <w:next w:val="Normlny"/>
    <w:link w:val="Nadpis3Char"/>
    <w:uiPriority w:val="9"/>
    <w:unhideWhenUsed/>
    <w:qFormat/>
    <w:rsid w:val="007F6324"/>
    <w:pPr>
      <w:keepNext/>
      <w:keepLines/>
      <w:numPr>
        <w:ilvl w:val="2"/>
        <w:numId w:val="1"/>
      </w:numPr>
      <w:spacing w:before="200" w:after="200"/>
      <w:outlineLvl w:val="2"/>
    </w:pPr>
    <w:rPr>
      <w:rFonts w:eastAsiaTheme="majorEastAsia" w:cstheme="majorBidi"/>
      <w:b/>
      <w:bCs/>
      <w:color w:val="000000" w:themeColor="text1"/>
    </w:rPr>
  </w:style>
  <w:style w:type="paragraph" w:styleId="Nadpis4">
    <w:name w:val="heading 4"/>
    <w:basedOn w:val="Normlny"/>
    <w:next w:val="Normlny"/>
    <w:link w:val="Nadpis4Char"/>
    <w:uiPriority w:val="9"/>
    <w:semiHidden/>
    <w:unhideWhenUsed/>
    <w:qFormat/>
    <w:rsid w:val="00154127"/>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154127"/>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semiHidden/>
    <w:unhideWhenUsed/>
    <w:qFormat/>
    <w:rsid w:val="00154127"/>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iPriority w:val="9"/>
    <w:semiHidden/>
    <w:unhideWhenUsed/>
    <w:qFormat/>
    <w:rsid w:val="00154127"/>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154127"/>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y"/>
    <w:next w:val="Normlny"/>
    <w:link w:val="Nadpis9Char"/>
    <w:uiPriority w:val="9"/>
    <w:semiHidden/>
    <w:unhideWhenUsed/>
    <w:qFormat/>
    <w:rsid w:val="00154127"/>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F6324"/>
    <w:rPr>
      <w:rFonts w:ascii="Times New Roman" w:eastAsiaTheme="majorEastAsia" w:hAnsi="Times New Roman" w:cstheme="majorBidi"/>
      <w:b/>
      <w:bCs/>
      <w:color w:val="000000" w:themeColor="text1"/>
      <w:sz w:val="32"/>
      <w:szCs w:val="28"/>
    </w:rPr>
  </w:style>
  <w:style w:type="character" w:customStyle="1" w:styleId="Nadpis2Char">
    <w:name w:val="Nadpis 2 Char"/>
    <w:basedOn w:val="Predvolenpsmoodseku"/>
    <w:link w:val="Nadpis2"/>
    <w:uiPriority w:val="9"/>
    <w:rsid w:val="007F6324"/>
    <w:rPr>
      <w:rFonts w:ascii="Times New Roman" w:eastAsiaTheme="majorEastAsia" w:hAnsi="Times New Roman" w:cstheme="majorBidi"/>
      <w:b/>
      <w:bCs/>
      <w:color w:val="000000" w:themeColor="text1"/>
      <w:sz w:val="28"/>
      <w:szCs w:val="26"/>
    </w:rPr>
  </w:style>
  <w:style w:type="character" w:customStyle="1" w:styleId="Nadpis3Char">
    <w:name w:val="Nadpis 3 Char"/>
    <w:basedOn w:val="Predvolenpsmoodseku"/>
    <w:link w:val="Nadpis3"/>
    <w:uiPriority w:val="9"/>
    <w:rsid w:val="007F6324"/>
    <w:rPr>
      <w:rFonts w:ascii="Times New Roman" w:eastAsiaTheme="majorEastAsia" w:hAnsi="Times New Roman" w:cstheme="majorBidi"/>
      <w:b/>
      <w:bCs/>
      <w:color w:val="000000" w:themeColor="text1"/>
      <w:sz w:val="24"/>
    </w:rPr>
  </w:style>
  <w:style w:type="character" w:customStyle="1" w:styleId="Nadpis4Char">
    <w:name w:val="Nadpis 4 Char"/>
    <w:basedOn w:val="Predvolenpsmoodseku"/>
    <w:link w:val="Nadpis4"/>
    <w:uiPriority w:val="9"/>
    <w:semiHidden/>
    <w:rsid w:val="00154127"/>
    <w:rPr>
      <w:rFonts w:asciiTheme="majorHAnsi" w:eastAsiaTheme="majorEastAsia" w:hAnsiTheme="majorHAnsi" w:cstheme="majorBidi"/>
      <w:b/>
      <w:bCs/>
      <w:i/>
      <w:iCs/>
      <w:color w:val="4F81BD" w:themeColor="accent1"/>
      <w:sz w:val="24"/>
    </w:rPr>
  </w:style>
  <w:style w:type="character" w:customStyle="1" w:styleId="Nadpis5Char">
    <w:name w:val="Nadpis 5 Char"/>
    <w:basedOn w:val="Predvolenpsmoodseku"/>
    <w:link w:val="Nadpis5"/>
    <w:uiPriority w:val="9"/>
    <w:semiHidden/>
    <w:rsid w:val="00154127"/>
    <w:rPr>
      <w:rFonts w:asciiTheme="majorHAnsi" w:eastAsiaTheme="majorEastAsia" w:hAnsiTheme="majorHAnsi" w:cstheme="majorBidi"/>
      <w:color w:val="243F60" w:themeColor="accent1" w:themeShade="7F"/>
      <w:sz w:val="24"/>
    </w:rPr>
  </w:style>
  <w:style w:type="character" w:customStyle="1" w:styleId="Nadpis6Char">
    <w:name w:val="Nadpis 6 Char"/>
    <w:basedOn w:val="Predvolenpsmoodseku"/>
    <w:link w:val="Nadpis6"/>
    <w:uiPriority w:val="9"/>
    <w:semiHidden/>
    <w:rsid w:val="00154127"/>
    <w:rPr>
      <w:rFonts w:asciiTheme="majorHAnsi" w:eastAsiaTheme="majorEastAsia" w:hAnsiTheme="majorHAnsi" w:cstheme="majorBidi"/>
      <w:i/>
      <w:iCs/>
      <w:color w:val="243F60" w:themeColor="accent1" w:themeShade="7F"/>
      <w:sz w:val="24"/>
    </w:rPr>
  </w:style>
  <w:style w:type="character" w:customStyle="1" w:styleId="Nadpis7Char">
    <w:name w:val="Nadpis 7 Char"/>
    <w:basedOn w:val="Predvolenpsmoodseku"/>
    <w:link w:val="Nadpis7"/>
    <w:uiPriority w:val="9"/>
    <w:semiHidden/>
    <w:rsid w:val="00154127"/>
    <w:rPr>
      <w:rFonts w:asciiTheme="majorHAnsi" w:eastAsiaTheme="majorEastAsia" w:hAnsiTheme="majorHAnsi" w:cstheme="majorBidi"/>
      <w:i/>
      <w:iCs/>
      <w:color w:val="404040" w:themeColor="text1" w:themeTint="BF"/>
      <w:sz w:val="24"/>
    </w:rPr>
  </w:style>
  <w:style w:type="character" w:customStyle="1" w:styleId="Nadpis8Char">
    <w:name w:val="Nadpis 8 Char"/>
    <w:basedOn w:val="Predvolenpsmoodseku"/>
    <w:link w:val="Nadpis8"/>
    <w:uiPriority w:val="9"/>
    <w:semiHidden/>
    <w:rsid w:val="00154127"/>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Predvolenpsmoodseku"/>
    <w:link w:val="Nadpis9"/>
    <w:uiPriority w:val="9"/>
    <w:semiHidden/>
    <w:rsid w:val="00154127"/>
    <w:rPr>
      <w:rFonts w:asciiTheme="majorHAnsi" w:eastAsiaTheme="majorEastAsia" w:hAnsiTheme="majorHAnsi" w:cstheme="majorBidi"/>
      <w:i/>
      <w:iCs/>
      <w:color w:val="404040" w:themeColor="text1" w:themeTint="BF"/>
      <w:sz w:val="20"/>
      <w:szCs w:val="20"/>
    </w:rPr>
  </w:style>
  <w:style w:type="paragraph" w:styleId="truktradokumentu">
    <w:name w:val="Document Map"/>
    <w:basedOn w:val="Normlny"/>
    <w:link w:val="truktradokumentuChar"/>
    <w:uiPriority w:val="99"/>
    <w:semiHidden/>
    <w:unhideWhenUsed/>
    <w:rsid w:val="00154127"/>
    <w:pPr>
      <w:spacing w:line="240" w:lineRule="auto"/>
    </w:pPr>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154127"/>
    <w:rPr>
      <w:rFonts w:ascii="Tahoma" w:hAnsi="Tahoma" w:cs="Tahoma"/>
      <w:sz w:val="16"/>
      <w:szCs w:val="16"/>
    </w:rPr>
  </w:style>
  <w:style w:type="paragraph" w:styleId="Textpoznmkypodiarou">
    <w:name w:val="footnote text"/>
    <w:basedOn w:val="Normlny"/>
    <w:link w:val="TextpoznmkypodiarouChar"/>
    <w:uiPriority w:val="99"/>
    <w:unhideWhenUsed/>
    <w:rsid w:val="00154127"/>
    <w:pPr>
      <w:spacing w:line="240" w:lineRule="auto"/>
    </w:pPr>
    <w:rPr>
      <w:sz w:val="20"/>
      <w:szCs w:val="20"/>
    </w:rPr>
  </w:style>
  <w:style w:type="character" w:customStyle="1" w:styleId="TextpoznmkypodiarouChar">
    <w:name w:val="Text poznámky pod čiarou Char"/>
    <w:basedOn w:val="Predvolenpsmoodseku"/>
    <w:link w:val="Textpoznmkypodiarou"/>
    <w:uiPriority w:val="99"/>
    <w:rsid w:val="00154127"/>
    <w:rPr>
      <w:rFonts w:ascii="Times New Roman" w:hAnsi="Times New Roman"/>
      <w:sz w:val="20"/>
      <w:szCs w:val="20"/>
    </w:rPr>
  </w:style>
  <w:style w:type="character" w:styleId="Odkaznapoznmkupodiarou">
    <w:name w:val="footnote reference"/>
    <w:basedOn w:val="Predvolenpsmoodseku"/>
    <w:uiPriority w:val="99"/>
    <w:semiHidden/>
    <w:unhideWhenUsed/>
    <w:rsid w:val="00154127"/>
    <w:rPr>
      <w:vertAlign w:val="superscript"/>
    </w:rPr>
  </w:style>
  <w:style w:type="table" w:styleId="Mriekatabuky">
    <w:name w:val="Table Grid"/>
    <w:basedOn w:val="Normlnatabuka"/>
    <w:uiPriority w:val="59"/>
    <w:rsid w:val="002D02B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ekzoznamu">
    <w:name w:val="List Paragraph"/>
    <w:basedOn w:val="Normlny"/>
    <w:uiPriority w:val="34"/>
    <w:qFormat/>
    <w:rsid w:val="00B56B0B"/>
    <w:pPr>
      <w:ind w:left="720"/>
      <w:contextualSpacing/>
    </w:pPr>
  </w:style>
  <w:style w:type="paragraph" w:styleId="Textbubliny">
    <w:name w:val="Balloon Text"/>
    <w:basedOn w:val="Normlny"/>
    <w:link w:val="TextbublinyChar"/>
    <w:uiPriority w:val="99"/>
    <w:semiHidden/>
    <w:unhideWhenUsed/>
    <w:rsid w:val="00C32CB9"/>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32CB9"/>
    <w:rPr>
      <w:rFonts w:ascii="Tahoma" w:hAnsi="Tahoma" w:cs="Tahoma"/>
      <w:sz w:val="16"/>
      <w:szCs w:val="16"/>
    </w:rPr>
  </w:style>
  <w:style w:type="character" w:styleId="Textzstupnhosymbolu">
    <w:name w:val="Placeholder Text"/>
    <w:basedOn w:val="Predvolenpsmoodseku"/>
    <w:uiPriority w:val="99"/>
    <w:semiHidden/>
    <w:rsid w:val="00340FAB"/>
    <w:rPr>
      <w:color w:val="808080"/>
    </w:rPr>
  </w:style>
  <w:style w:type="table" w:customStyle="1" w:styleId="Svetlzoznam1">
    <w:name w:val="Svetlý zoznam1"/>
    <w:basedOn w:val="Normlnatabuka"/>
    <w:uiPriority w:val="61"/>
    <w:rsid w:val="00ED7418"/>
    <w:pPr>
      <w:spacing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lavika">
    <w:name w:val="header"/>
    <w:basedOn w:val="Normlny"/>
    <w:link w:val="HlavikaChar"/>
    <w:uiPriority w:val="99"/>
    <w:semiHidden/>
    <w:unhideWhenUsed/>
    <w:rsid w:val="00BF4635"/>
    <w:pPr>
      <w:tabs>
        <w:tab w:val="center" w:pos="4536"/>
        <w:tab w:val="right" w:pos="9072"/>
      </w:tabs>
      <w:spacing w:line="240" w:lineRule="auto"/>
    </w:pPr>
  </w:style>
  <w:style w:type="character" w:customStyle="1" w:styleId="HlavikaChar">
    <w:name w:val="Hlavička Char"/>
    <w:basedOn w:val="Predvolenpsmoodseku"/>
    <w:link w:val="Hlavika"/>
    <w:uiPriority w:val="99"/>
    <w:semiHidden/>
    <w:rsid w:val="00BF4635"/>
    <w:rPr>
      <w:rFonts w:ascii="Times New Roman" w:hAnsi="Times New Roman"/>
      <w:sz w:val="24"/>
    </w:rPr>
  </w:style>
  <w:style w:type="paragraph" w:styleId="Pta">
    <w:name w:val="footer"/>
    <w:basedOn w:val="Normlny"/>
    <w:link w:val="PtaChar"/>
    <w:uiPriority w:val="99"/>
    <w:unhideWhenUsed/>
    <w:rsid w:val="00BF4635"/>
    <w:pPr>
      <w:tabs>
        <w:tab w:val="center" w:pos="4536"/>
        <w:tab w:val="right" w:pos="9072"/>
      </w:tabs>
      <w:spacing w:line="240" w:lineRule="auto"/>
    </w:pPr>
  </w:style>
  <w:style w:type="character" w:customStyle="1" w:styleId="PtaChar">
    <w:name w:val="Päta Char"/>
    <w:basedOn w:val="Predvolenpsmoodseku"/>
    <w:link w:val="Pta"/>
    <w:uiPriority w:val="99"/>
    <w:rsid w:val="00BF4635"/>
    <w:rPr>
      <w:rFonts w:ascii="Times New Roman" w:hAnsi="Times New Roman"/>
      <w:sz w:val="24"/>
    </w:rPr>
  </w:style>
  <w:style w:type="character" w:customStyle="1" w:styleId="apple-converted-space">
    <w:name w:val="apple-converted-space"/>
    <w:basedOn w:val="Predvolenpsmoodseku"/>
    <w:rsid w:val="00F535C1"/>
  </w:style>
  <w:style w:type="paragraph" w:styleId="Hlavikaobsahu">
    <w:name w:val="TOC Heading"/>
    <w:basedOn w:val="Nadpis1"/>
    <w:next w:val="Normlny"/>
    <w:uiPriority w:val="39"/>
    <w:semiHidden/>
    <w:unhideWhenUsed/>
    <w:qFormat/>
    <w:rsid w:val="00CC7133"/>
    <w:pPr>
      <w:pageBreakBefore w:val="0"/>
      <w:numPr>
        <w:numId w:val="0"/>
      </w:numPr>
      <w:spacing w:line="276" w:lineRule="auto"/>
      <w:jc w:val="left"/>
      <w:outlineLvl w:val="9"/>
    </w:pPr>
    <w:rPr>
      <w:rFonts w:asciiTheme="majorHAnsi" w:hAnsiTheme="majorHAnsi"/>
      <w:color w:val="365F91" w:themeColor="accent1" w:themeShade="BF"/>
      <w:sz w:val="28"/>
    </w:rPr>
  </w:style>
  <w:style w:type="paragraph" w:styleId="Obsah1">
    <w:name w:val="toc 1"/>
    <w:basedOn w:val="Normlny"/>
    <w:next w:val="Normlny"/>
    <w:autoRedefine/>
    <w:uiPriority w:val="39"/>
    <w:unhideWhenUsed/>
    <w:rsid w:val="00CC7133"/>
    <w:pPr>
      <w:spacing w:after="100"/>
    </w:pPr>
  </w:style>
  <w:style w:type="paragraph" w:styleId="Obsah2">
    <w:name w:val="toc 2"/>
    <w:basedOn w:val="Normlny"/>
    <w:next w:val="Normlny"/>
    <w:autoRedefine/>
    <w:uiPriority w:val="39"/>
    <w:unhideWhenUsed/>
    <w:rsid w:val="00CC7133"/>
    <w:pPr>
      <w:spacing w:after="100"/>
      <w:ind w:left="240"/>
    </w:pPr>
  </w:style>
  <w:style w:type="paragraph" w:styleId="Obsah3">
    <w:name w:val="toc 3"/>
    <w:basedOn w:val="Normlny"/>
    <w:next w:val="Normlny"/>
    <w:autoRedefine/>
    <w:uiPriority w:val="39"/>
    <w:unhideWhenUsed/>
    <w:rsid w:val="00CC7133"/>
    <w:pPr>
      <w:spacing w:after="100"/>
      <w:ind w:left="480"/>
    </w:pPr>
  </w:style>
  <w:style w:type="character" w:styleId="Hypertextovprepojenie">
    <w:name w:val="Hyperlink"/>
    <w:basedOn w:val="Predvolenpsmoodseku"/>
    <w:uiPriority w:val="99"/>
    <w:unhideWhenUsed/>
    <w:rsid w:val="00CC7133"/>
    <w:rPr>
      <w:color w:val="0000FF" w:themeColor="hyperlink"/>
      <w:u w:val="single"/>
    </w:rPr>
  </w:style>
  <w:style w:type="paragraph" w:styleId="Bezriadkovania">
    <w:name w:val="No Spacing"/>
    <w:uiPriority w:val="1"/>
    <w:qFormat/>
    <w:rsid w:val="009F7E11"/>
    <w:pPr>
      <w:spacing w:line="240" w:lineRule="auto"/>
    </w:pPr>
    <w:rPr>
      <w:rFonts w:ascii="Times New Roman" w:hAnsi="Times New Roman"/>
      <w:sz w:val="24"/>
    </w:rPr>
  </w:style>
  <w:style w:type="paragraph" w:styleId="Zkladntext">
    <w:name w:val="Body Text"/>
    <w:basedOn w:val="Normlny"/>
    <w:link w:val="ZkladntextChar"/>
    <w:uiPriority w:val="99"/>
    <w:rsid w:val="00193C87"/>
    <w:pPr>
      <w:spacing w:line="240" w:lineRule="auto"/>
    </w:pPr>
    <w:rPr>
      <w:rFonts w:ascii="Verdana" w:eastAsia="Times New Roman" w:hAnsi="Verdana" w:cs="Times New Roman"/>
      <w:sz w:val="20"/>
      <w:szCs w:val="24"/>
      <w:lang w:val="cs-CZ" w:eastAsia="cs-CZ"/>
    </w:rPr>
  </w:style>
  <w:style w:type="character" w:customStyle="1" w:styleId="ZkladntextChar">
    <w:name w:val="Základný text Char"/>
    <w:basedOn w:val="Predvolenpsmoodseku"/>
    <w:link w:val="Zkladntext"/>
    <w:uiPriority w:val="99"/>
    <w:rsid w:val="00193C87"/>
    <w:rPr>
      <w:rFonts w:ascii="Verdana" w:eastAsia="Times New Roman" w:hAnsi="Verdana" w:cs="Times New Roman"/>
      <w:sz w:val="20"/>
      <w:szCs w:val="24"/>
      <w:lang w:val="cs-CZ" w:eastAsia="cs-CZ"/>
    </w:rPr>
  </w:style>
  <w:style w:type="paragraph" w:customStyle="1" w:styleId="Diplomka-textodstavce">
    <w:name w:val="Diplomka - text odstavce"/>
    <w:uiPriority w:val="99"/>
    <w:rsid w:val="00193C87"/>
    <w:pPr>
      <w:suppressAutoHyphens/>
      <w:spacing w:before="120" w:after="120"/>
    </w:pPr>
    <w:rPr>
      <w:rFonts w:ascii="Times New Roman" w:eastAsia="Calibri" w:hAnsi="Times New Roman" w:cs="Times New Roman"/>
      <w:sz w:val="24"/>
      <w:szCs w:val="20"/>
      <w:lang w:val="cs-CZ" w:eastAsia="ar-SA"/>
    </w:rPr>
  </w:style>
</w:styles>
</file>

<file path=word/webSettings.xml><?xml version="1.0" encoding="utf-8"?>
<w:webSettings xmlns:r="http://schemas.openxmlformats.org/officeDocument/2006/relationships" xmlns:w="http://schemas.openxmlformats.org/wordprocessingml/2006/main">
  <w:divs>
    <w:div w:id="306666954">
      <w:bodyDiv w:val="1"/>
      <w:marLeft w:val="0"/>
      <w:marRight w:val="0"/>
      <w:marTop w:val="0"/>
      <w:marBottom w:val="0"/>
      <w:divBdr>
        <w:top w:val="none" w:sz="0" w:space="0" w:color="auto"/>
        <w:left w:val="none" w:sz="0" w:space="0" w:color="auto"/>
        <w:bottom w:val="none" w:sz="0" w:space="0" w:color="auto"/>
        <w:right w:val="none" w:sz="0" w:space="0" w:color="auto"/>
      </w:divBdr>
    </w:div>
    <w:div w:id="558983978">
      <w:bodyDiv w:val="1"/>
      <w:marLeft w:val="0"/>
      <w:marRight w:val="0"/>
      <w:marTop w:val="0"/>
      <w:marBottom w:val="0"/>
      <w:divBdr>
        <w:top w:val="none" w:sz="0" w:space="0" w:color="auto"/>
        <w:left w:val="none" w:sz="0" w:space="0" w:color="auto"/>
        <w:bottom w:val="none" w:sz="0" w:space="0" w:color="auto"/>
        <w:right w:val="none" w:sz="0" w:space="0" w:color="auto"/>
      </w:divBdr>
    </w:div>
    <w:div w:id="705259412">
      <w:bodyDiv w:val="1"/>
      <w:marLeft w:val="0"/>
      <w:marRight w:val="0"/>
      <w:marTop w:val="0"/>
      <w:marBottom w:val="0"/>
      <w:divBdr>
        <w:top w:val="none" w:sz="0" w:space="0" w:color="auto"/>
        <w:left w:val="none" w:sz="0" w:space="0" w:color="auto"/>
        <w:bottom w:val="none" w:sz="0" w:space="0" w:color="auto"/>
        <w:right w:val="none" w:sz="0" w:space="0" w:color="auto"/>
      </w:divBdr>
    </w:div>
    <w:div w:id="821581503">
      <w:bodyDiv w:val="1"/>
      <w:marLeft w:val="0"/>
      <w:marRight w:val="0"/>
      <w:marTop w:val="0"/>
      <w:marBottom w:val="0"/>
      <w:divBdr>
        <w:top w:val="none" w:sz="0" w:space="0" w:color="auto"/>
        <w:left w:val="none" w:sz="0" w:space="0" w:color="auto"/>
        <w:bottom w:val="none" w:sz="0" w:space="0" w:color="auto"/>
        <w:right w:val="none" w:sz="0" w:space="0" w:color="auto"/>
      </w:divBdr>
    </w:div>
    <w:div w:id="896621569">
      <w:bodyDiv w:val="1"/>
      <w:marLeft w:val="0"/>
      <w:marRight w:val="0"/>
      <w:marTop w:val="0"/>
      <w:marBottom w:val="0"/>
      <w:divBdr>
        <w:top w:val="none" w:sz="0" w:space="0" w:color="auto"/>
        <w:left w:val="none" w:sz="0" w:space="0" w:color="auto"/>
        <w:bottom w:val="none" w:sz="0" w:space="0" w:color="auto"/>
        <w:right w:val="none" w:sz="0" w:space="0" w:color="auto"/>
      </w:divBdr>
    </w:div>
    <w:div w:id="984090184">
      <w:bodyDiv w:val="1"/>
      <w:marLeft w:val="0"/>
      <w:marRight w:val="0"/>
      <w:marTop w:val="0"/>
      <w:marBottom w:val="0"/>
      <w:divBdr>
        <w:top w:val="none" w:sz="0" w:space="0" w:color="auto"/>
        <w:left w:val="none" w:sz="0" w:space="0" w:color="auto"/>
        <w:bottom w:val="none" w:sz="0" w:space="0" w:color="auto"/>
        <w:right w:val="none" w:sz="0" w:space="0" w:color="auto"/>
      </w:divBdr>
    </w:div>
    <w:div w:id="1257903671">
      <w:bodyDiv w:val="1"/>
      <w:marLeft w:val="0"/>
      <w:marRight w:val="0"/>
      <w:marTop w:val="0"/>
      <w:marBottom w:val="0"/>
      <w:divBdr>
        <w:top w:val="none" w:sz="0" w:space="0" w:color="auto"/>
        <w:left w:val="none" w:sz="0" w:space="0" w:color="auto"/>
        <w:bottom w:val="none" w:sz="0" w:space="0" w:color="auto"/>
        <w:right w:val="none" w:sz="0" w:space="0" w:color="auto"/>
      </w:divBdr>
    </w:div>
    <w:div w:id="1355494588">
      <w:bodyDiv w:val="1"/>
      <w:marLeft w:val="0"/>
      <w:marRight w:val="0"/>
      <w:marTop w:val="0"/>
      <w:marBottom w:val="0"/>
      <w:divBdr>
        <w:top w:val="none" w:sz="0" w:space="0" w:color="auto"/>
        <w:left w:val="none" w:sz="0" w:space="0" w:color="auto"/>
        <w:bottom w:val="none" w:sz="0" w:space="0" w:color="auto"/>
        <w:right w:val="none" w:sz="0" w:space="0" w:color="auto"/>
      </w:divBdr>
    </w:div>
    <w:div w:id="1462966820">
      <w:bodyDiv w:val="1"/>
      <w:marLeft w:val="0"/>
      <w:marRight w:val="0"/>
      <w:marTop w:val="0"/>
      <w:marBottom w:val="0"/>
      <w:divBdr>
        <w:top w:val="none" w:sz="0" w:space="0" w:color="auto"/>
        <w:left w:val="none" w:sz="0" w:space="0" w:color="auto"/>
        <w:bottom w:val="none" w:sz="0" w:space="0" w:color="auto"/>
        <w:right w:val="none" w:sz="0" w:space="0" w:color="auto"/>
      </w:divBdr>
    </w:div>
    <w:div w:id="1664238876">
      <w:bodyDiv w:val="1"/>
      <w:marLeft w:val="0"/>
      <w:marRight w:val="0"/>
      <w:marTop w:val="0"/>
      <w:marBottom w:val="0"/>
      <w:divBdr>
        <w:top w:val="none" w:sz="0" w:space="0" w:color="auto"/>
        <w:left w:val="none" w:sz="0" w:space="0" w:color="auto"/>
        <w:bottom w:val="none" w:sz="0" w:space="0" w:color="auto"/>
        <w:right w:val="none" w:sz="0" w:space="0" w:color="auto"/>
      </w:divBdr>
    </w:div>
    <w:div w:id="1834292933">
      <w:bodyDiv w:val="1"/>
      <w:marLeft w:val="0"/>
      <w:marRight w:val="0"/>
      <w:marTop w:val="0"/>
      <w:marBottom w:val="0"/>
      <w:divBdr>
        <w:top w:val="none" w:sz="0" w:space="0" w:color="auto"/>
        <w:left w:val="none" w:sz="0" w:space="0" w:color="auto"/>
        <w:bottom w:val="none" w:sz="0" w:space="0" w:color="auto"/>
        <w:right w:val="none" w:sz="0" w:space="0" w:color="auto"/>
      </w:divBdr>
    </w:div>
    <w:div w:id="194425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Pracovn__h_rok_programu_Microsoft_Office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Pracovn__h_rok_programu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sk-SK"/>
  <c:style val="35"/>
  <c:chart>
    <c:autoTitleDeleted val="1"/>
    <c:plotArea>
      <c:layout/>
      <c:pieChart>
        <c:varyColors val="1"/>
        <c:ser>
          <c:idx val="0"/>
          <c:order val="0"/>
          <c:tx>
            <c:strRef>
              <c:f>Hárok1!$B$1</c:f>
              <c:strCache>
                <c:ptCount val="1"/>
                <c:pt idx="0">
                  <c:v>Objem rezerv v pasívach Severočeské doly, a.s.</c:v>
                </c:pt>
              </c:strCache>
            </c:strRef>
          </c:tx>
          <c:spPr>
            <a:ln>
              <a:noFill/>
            </a:ln>
          </c:spPr>
          <c:cat>
            <c:strRef>
              <c:f>Hárok1!$A$2:$A$3</c:f>
              <c:strCache>
                <c:ptCount val="2"/>
                <c:pt idx="0">
                  <c:v>Rezervy</c:v>
                </c:pt>
                <c:pt idx="1">
                  <c:v>Ostatné pasíva</c:v>
                </c:pt>
              </c:strCache>
            </c:strRef>
          </c:cat>
          <c:val>
            <c:numRef>
              <c:f>Hárok1!$B$2:$B$3</c:f>
              <c:numCache>
                <c:formatCode>General</c:formatCode>
                <c:ptCount val="2"/>
                <c:pt idx="0">
                  <c:v>249.96</c:v>
                </c:pt>
                <c:pt idx="1">
                  <c:v>974.63</c:v>
                </c:pt>
              </c:numCache>
            </c:numRef>
          </c:val>
        </c:ser>
        <c:firstSliceAng val="0"/>
      </c:pieChart>
    </c:plotArea>
    <c:legend>
      <c:legendPos val="r"/>
    </c:legend>
    <c:plotVisOnly val="1"/>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sk-SK"/>
  <c:style val="3"/>
  <c:chart>
    <c:autoTitleDeleted val="1"/>
    <c:plotArea>
      <c:layout>
        <c:manualLayout>
          <c:layoutTarget val="inner"/>
          <c:xMode val="edge"/>
          <c:yMode val="edge"/>
          <c:x val="6.1111111111111123E-2"/>
          <c:y val="0.22806224979453324"/>
          <c:w val="0.57091951006124231"/>
          <c:h val="0.69202364855908305"/>
        </c:manualLayout>
      </c:layout>
      <c:pieChart>
        <c:varyColors val="1"/>
        <c:ser>
          <c:idx val="0"/>
          <c:order val="0"/>
          <c:tx>
            <c:strRef>
              <c:f>Hárok1!$B$1</c:f>
              <c:strCache>
                <c:ptCount val="1"/>
                <c:pt idx="0">
                  <c:v>Objem rezerv va pasívach HBP, a.s.</c:v>
                </c:pt>
              </c:strCache>
            </c:strRef>
          </c:tx>
          <c:cat>
            <c:strRef>
              <c:f>Hárok1!$A$2:$A$3</c:f>
              <c:strCache>
                <c:ptCount val="2"/>
                <c:pt idx="0">
                  <c:v>Rezervy</c:v>
                </c:pt>
                <c:pt idx="1">
                  <c:v>Ostatné pasíva</c:v>
                </c:pt>
              </c:strCache>
            </c:strRef>
          </c:cat>
          <c:val>
            <c:numRef>
              <c:f>Hárok1!$B$2:$B$3</c:f>
              <c:numCache>
                <c:formatCode>General</c:formatCode>
                <c:ptCount val="2"/>
                <c:pt idx="0">
                  <c:v>9657.42</c:v>
                </c:pt>
                <c:pt idx="1">
                  <c:v>112633.606</c:v>
                </c:pt>
              </c:numCache>
            </c:numRef>
          </c:val>
        </c:ser>
        <c:firstSliceAng val="0"/>
      </c:pieChart>
    </c:plotArea>
    <c:legend>
      <c:legendPos val="r"/>
    </c:legend>
    <c:plotVisOnly val="1"/>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sk-SK"/>
  <c:style val="3"/>
  <c:chart>
    <c:autoTitleDeleted val="1"/>
    <c:plotArea>
      <c:layout/>
      <c:pieChart>
        <c:varyColors val="1"/>
        <c:ser>
          <c:idx val="0"/>
          <c:order val="0"/>
          <c:tx>
            <c:strRef>
              <c:f>Hárok1!$B$1</c:f>
              <c:strCache>
                <c:ptCount val="1"/>
                <c:pt idx="0">
                  <c:v>Severní energetická, a.s.</c:v>
                </c:pt>
              </c:strCache>
            </c:strRef>
          </c:tx>
          <c:cat>
            <c:strRef>
              <c:f>Hárok1!$A$2:$A$3</c:f>
              <c:strCache>
                <c:ptCount val="2"/>
                <c:pt idx="0">
                  <c:v>Rezervy</c:v>
                </c:pt>
                <c:pt idx="1">
                  <c:v>Ostatné pasíva</c:v>
                </c:pt>
              </c:strCache>
            </c:strRef>
          </c:cat>
          <c:val>
            <c:numRef>
              <c:f>Hárok1!$B$2:$B$3</c:f>
              <c:numCache>
                <c:formatCode>General</c:formatCode>
                <c:ptCount val="2"/>
                <c:pt idx="0">
                  <c:v>137.82000000000042</c:v>
                </c:pt>
                <c:pt idx="1">
                  <c:v>390.71</c:v>
                </c:pt>
              </c:numCache>
            </c:numRef>
          </c:val>
        </c:ser>
        <c:firstSliceAng val="0"/>
      </c:pieChart>
    </c:plotArea>
    <c:legend>
      <c:legendPos val="r"/>
    </c:legend>
    <c:plotVisOnly val="1"/>
  </c:chart>
  <c:spPr>
    <a:ln>
      <a:noFill/>
    </a:ln>
  </c:spPr>
  <c:externalData r:id="rId1"/>
</c:chartSpace>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D39BBB-03D1-4472-8C14-738721A31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14338</TotalTime>
  <Pages>68</Pages>
  <Words>14461</Words>
  <Characters>82430</Characters>
  <Application>Microsoft Office Word</Application>
  <DocSecurity>0</DocSecurity>
  <Lines>686</Lines>
  <Paragraphs>193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96698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Blackberry</dc:creator>
  <cp:keywords/>
  <dc:description/>
  <cp:lastModifiedBy>Blackberry</cp:lastModifiedBy>
  <cp:revision>157</cp:revision>
  <cp:lastPrinted>2016-04-05T08:37:00Z</cp:lastPrinted>
  <dcterms:created xsi:type="dcterms:W3CDTF">2015-11-13T18:48:00Z</dcterms:created>
  <dcterms:modified xsi:type="dcterms:W3CDTF">2016-04-19T06:21:00Z</dcterms:modified>
</cp:coreProperties>
</file>